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ARIA → Agentic AI Company OS: 360° Productization Report</w:t>
      </w:r>
    </w:p>
    <w:p>
      <w:r>
        <w:rPr>
          <w:b/>
          <w:color w:val="555F6E"/>
          <w:sz w:val="18"/>
        </w:rPr>
        <w:t>Date:</w:t>
      </w:r>
      <w:r>
        <w:rPr>
          <w:color w:val="555F6E"/>
          <w:sz w:val="18"/>
        </w:rPr>
        <w:t xml:space="preserve"> 2026-07-20 · </w:t>
      </w:r>
      <w:r>
        <w:rPr>
          <w:b/>
          <w:color w:val="555F6E"/>
          <w:sz w:val="18"/>
        </w:rPr>
        <w:t>Prepared by:</w:t>
      </w:r>
      <w:r>
        <w:rPr>
          <w:color w:val="555F6E"/>
          <w:sz w:val="18"/>
        </w:rPr>
        <w:t xml:space="preserve"> Claude (Fable 5) on Steven Petrov's instruction · </w:t>
      </w:r>
      <w:r>
        <w:rPr>
          <w:b/>
          <w:color w:val="555F6E"/>
          <w:sz w:val="18"/>
        </w:rPr>
        <w:t>Status:</w:t>
      </w:r>
      <w:r>
        <w:rPr>
          <w:color w:val="555F6E"/>
          <w:sz w:val="18"/>
        </w:rPr>
        <w:t xml:space="preserve"> v1.0 — for leadership review</w:t>
      </w:r>
    </w:p>
    <w:p>
      <w:r>
        <w:rPr>
          <w:b/>
          <w:color w:val="555F6E"/>
          <w:sz w:val="18"/>
        </w:rPr>
        <w:t>Sources:</w:t>
      </w:r>
      <w:r>
        <w:rPr>
          <w:color w:val="555F6E"/>
          <w:sz w:val="18"/>
        </w:rPr>
        <w:t xml:space="preserve"> aiassist-os codebase (full technical map), Brain vault + </w:t>
      </w:r>
      <w:r>
        <w:rPr>
          <w:rFonts w:ascii="Consolas" w:hAnsi="Consolas"/>
          <w:color w:val="555F6E"/>
          <w:sz w:val="18"/>
        </w:rPr>
        <w:t>_Brain Governance</w:t>
      </w:r>
      <w:r>
        <w:rPr>
          <w:color w:val="555F6E"/>
          <w:sz w:val="18"/>
        </w:rPr>
        <w:t xml:space="preserve"> doctrine, Product Ecosystem Upgrade Executive Summary (May 2026), AI Value Blueprint KB + skills-v4, ICP Master Strategy, Sales Qualification Card, live ClickUp/HOT signals as of 2026-07-20.</w:t>
      </w:r>
    </w:p>
    <w:p>
      <w:pPr>
        <w:pStyle w:val="Heading2"/>
      </w:pPr>
      <w:r>
        <w:t>0. Executive Summary</w:t>
      </w:r>
    </w:p>
    <w:p>
      <w:r>
        <w:t xml:space="preserve">ARIA today is a </w:t>
      </w:r>
      <w:r>
        <w:rPr>
          <w:b/>
        </w:rPr>
        <w:t>working, dogfooded, single-tenant Agentic AI Company OS</w:t>
      </w:r>
      <w:r>
        <w:t xml:space="preserve"> running AIAssist BG's own leadership layer: a governed knowledge vault (the Brain), a Jarvis-grade chat/voice console grounded in live ClickUp + EOS + Google Workspace, a per-user Daily Brief engine with a strict grounding contract, an autonomous agent fleet (TRUTH, CHRONICLE, FILER, SCRIBE, SAGE, AURORA), and a trust architecture (owner-gated writes, no deletes, append-only audit log, drift detection) that is genuinely differentiated. The benchmark proof exists (Brain 5–0 vs. default retrieval, 2.4× faster, ~5× cheaper) and the sales narrative — </w:t>
      </w:r>
      <w:r>
        <w:rPr>
          <w:b/>
        </w:rPr>
        <w:t>"we run on what we sell"</w:t>
      </w:r>
      <w:r>
        <w:t xml:space="preserve"> — is already written into the governance docs.</w:t>
      </w:r>
    </w:p>
    <w:p>
      <w:r>
        <w:t xml:space="preserve">What ARIA is </w:t>
      </w:r>
      <w:r>
        <w:rPr>
          <w:b/>
        </w:rPr>
        <w:t>not</w:t>
      </w:r>
      <w:r>
        <w:t xml:space="preserve"> yet: a product. The codebase has </w:t>
      </w:r>
      <w:r>
        <w:rPr>
          <w:b/>
        </w:rPr>
        <w:t>11 enumerated single-tenant assumptions</w:t>
      </w:r>
      <w:r>
        <w:t xml:space="preserve"> (hardcoded ClickUp space IDs, a TypeScript-compiled company identity, a name-keyed department map, one shared API bill, a build-time-baked brain snapshot, no tenant column anywhere), several security items that are acceptable for an internal tool but disqualifying for a multi-client SaaS (plaintext managed passwords, plaintext Google refresh tokens, unauthenticated task-data endpoints), and no offer document, price, or delivery playbook.</w:t>
      </w:r>
    </w:p>
    <w:p>
      <w:r>
        <w:rPr>
          <w:b/>
        </w:rPr>
        <w:t>The recommendation in one paragraph:</w:t>
      </w:r>
      <w:r>
        <w:t xml:space="preserve"> productize ARIA as an </w:t>
      </w:r>
      <w:r>
        <w:rPr>
          <w:b/>
        </w:rPr>
        <w:t>instance-per-client "Foundry" model</w:t>
      </w:r>
      <w:r>
        <w:t xml:space="preserve">, not a pooled multi-tenant SaaS, at least through the first 10–15 clients. One golden template repo + a machine-readable </w:t>
      </w:r>
      <w:r>
        <w:rPr>
          <w:b/>
        </w:rPr>
        <w:t>Tenant Config Pack</w:t>
      </w:r>
      <w:r>
        <w:t xml:space="preserve"> (which the AI Value Blueprint's Compressed Client Dossier already ~70% generates) + per-client Supabase/Vercel/API keys. Sell it in three tiers — </w:t>
      </w:r>
      <w:r>
        <w:rPr>
          <w:b/>
        </w:rPr>
        <w:t>Standard (€35K + €2,500/mo), Pro (€65K + €5,000/mo), Premium (€110K + €9,000/mo)</w:t>
      </w:r>
      <w:r>
        <w:t xml:space="preserve"> — plus </w:t>
      </w:r>
      <w:r>
        <w:rPr>
          <w:b/>
        </w:rPr>
        <w:t>Custom (from €180K, scoped)</w:t>
      </w:r>
      <w:r>
        <w:t xml:space="preserve">, positioned as the </w:t>
      </w:r>
      <w:r>
        <w:rPr>
          <w:i/>
        </w:rPr>
        <w:t>mandatory next rung</w:t>
      </w:r>
      <w:r>
        <w:t xml:space="preserve"> after the Blueprint: the Blueprint diagnoses, ARIA operationalizes. This fills the empty €25K–€75K gap in the current offer ladder, converts a 90%-margin diagnostic into recurring revenue, and directly serves the Q3 rocks (Service Delivery System Build, Product Portfolio Upgrade) and the 2029 V/TO target (€5M–€8M at ~€15K average deal — ARIA retainers alone can carry a third of that).</w:t>
      </w:r>
    </w:p>
    <w:p>
      <w:r>
        <w:br w:type="page"/>
      </w:r>
    </w:p>
    <w:p>
      <w:pPr>
        <w:pStyle w:val="Heading1"/>
      </w:pPr>
      <w:r>
        <w:t>PART I — 360° Analysis: What ARIA Actually Is Today</w:t>
      </w:r>
    </w:p>
    <w:p>
      <w:r>
        <w:t xml:space="preserve">Each dimension below ends with the </w:t>
      </w:r>
      <w:r>
        <w:rPr>
          <w:b/>
        </w:rPr>
        <w:t>productization implication</w:t>
      </w:r>
      <w:r>
        <w:t xml:space="preserve"> — what transfers to a sellable product as-is, and what must change.</w:t>
      </w:r>
    </w:p>
    <w:p>
      <w:pPr>
        <w:pStyle w:val="Heading2"/>
      </w:pPr>
      <w:r>
        <w:t>1. Overall Concept &amp; Logic</w:t>
      </w:r>
    </w:p>
    <w:p>
      <w:r>
        <w:t xml:space="preserve">ARIA's core thesis is a </w:t>
      </w:r>
      <w:r>
        <w:rPr>
          <w:b/>
        </w:rPr>
        <w:t>three-tier Agentic Operating System</w:t>
      </w:r>
      <w:r>
        <w:t xml:space="preserve"> (from the Brain constitution, </w:t>
      </w:r>
      <w:r>
        <w:rPr>
          <w:rFonts w:ascii="Consolas" w:hAnsi="Consolas"/>
          <w:color w:val="8A2E2E"/>
          <w:sz w:val="19"/>
        </w:rPr>
        <w:t>AIAssist_Brain_360_Structure_Report_v1.0.md</w:t>
      </w:r>
      <w:r>
        <w:t>):</w:t>
      </w:r>
    </w:p>
    <w:p>
      <w:pPr>
        <w:pStyle w:val="ListNumber"/>
      </w:pPr>
      <w:r>
        <w:rPr>
          <w:b/>
        </w:rPr>
        <w:t>Interaction tier</w:t>
      </w:r>
      <w:r>
        <w:t xml:space="preserve"> — where humans meet the system: the ARIA web console (chat + voice), Telegram via Hermes, Cowork skills.</w:t>
      </w:r>
    </w:p>
    <w:p>
      <w:pPr>
        <w:pStyle w:val="ListNumber"/>
      </w:pPr>
      <w:r>
        <w:rPr>
          <w:b/>
        </w:rPr>
        <w:t>Intelligence tier</w:t>
      </w:r>
      <w:r>
        <w:t xml:space="preserve"> — the agent team: the reasoning chat loop, the Daily Brief engine, and the cron fleet.</w:t>
      </w:r>
    </w:p>
    <w:p>
      <w:pPr>
        <w:pStyle w:val="ListNumber"/>
      </w:pPr>
      <w:r>
        <w:rPr>
          <w:b/>
        </w:rPr>
        <w:t>Context tier</w:t>
      </w:r>
      <w:r>
        <w:t xml:space="preserve"> — the Brain: a governed markdown vault that is "fed by automation, not goodwill."</w:t>
      </w:r>
    </w:p>
    <w:p>
      <w:r>
        <w:t xml:space="preserve">The load-bearing doctrine is </w:t>
      </w:r>
      <w:r>
        <w:rPr>
          <w:b/>
        </w:rPr>
        <w:t>two sources of truth, never merged</w:t>
      </w:r>
      <w:r>
        <w:t xml:space="preserve">: ClickUp is the </w:t>
      </w:r>
      <w:r>
        <w:rPr>
          <w:i/>
        </w:rPr>
        <w:t>system of action</w:t>
      </w:r>
      <w:r>
        <w:t xml:space="preserve"> (live operational state), the Brain is the </w:t>
      </w:r>
      <w:r>
        <w:rPr>
          <w:i/>
        </w:rPr>
        <w:t>system of record</w:t>
      </w:r>
      <w:r>
        <w:t xml:space="preserve"> (curated narrative and knowledge), HOT.md is a </w:t>
      </w:r>
      <w:r>
        <w:rPr>
          <w:i/>
        </w:rPr>
        <w:t>dated leadership statement</w:t>
      </w:r>
      <w:r>
        <w:t xml:space="preserve">, and conflicts between them are </w:t>
      </w:r>
      <w:r>
        <w:rPr>
          <w:b/>
        </w:rPr>
        <w:t>surfaced to leadership, never auto-resolved</w:t>
      </w:r>
      <w:r>
        <w:t xml:space="preserve"> (the DRIFT PROTOCOL, born from the 2026-07-16 Tamimi drift incident and now enforced by the nightly TRUTH agent). This is the single most defensible piece of IP in the system: every competitor demo hallucinates stale state; ARIA has an institutional mechanism that catches itself.</w:t>
      </w:r>
    </w:p>
    <w:p>
      <w:r>
        <w:rPr>
          <w:b/>
        </w:rPr>
        <w:t>Productization implication:</w:t>
      </w:r>
      <w:r>
        <w:t xml:space="preserve"> the concept generalizes to any company that has (a) a work-management system, (b) documents, and (c) a leadership cadence. The doctrine, protocols, and agent fleet are the product. The specific instantiation (AIAssist's ClickUp space, AIAssist's five leaders) is configuration — and today it is hardcoded.</w:t>
      </w:r>
    </w:p>
    <w:p>
      <w:pPr>
        <w:pStyle w:val="Heading2"/>
      </w:pPr>
      <w:r>
        <w:t>2. Structure &amp; Information Architecture</w:t>
      </w:r>
    </w:p>
    <w:p>
      <w:pPr>
        <w:pStyle w:val="ListBullet"/>
      </w:pPr>
      <w:r>
        <w:rPr>
          <w:b/>
        </w:rPr>
        <w:t>The Brain vault</w:t>
      </w:r>
      <w:r>
        <w:t>: 277 files across 8 areas (Company Information, Products, Documentation, Client Comms, Reports, Business Development, AI Consulting, Inbox) plus governance (</w:t>
      </w:r>
      <w:r>
        <w:rPr>
          <w:rFonts w:ascii="Consolas" w:hAnsi="Consolas"/>
          <w:color w:val="8A2E2E"/>
          <w:sz w:val="19"/>
        </w:rPr>
        <w:t>_Brain Governance</w:t>
      </w:r>
      <w:r>
        <w:t xml:space="preserve">), memories, tools, and a never-indexed </w:t>
      </w:r>
      <w:r>
        <w:rPr>
          <w:rFonts w:ascii="Consolas" w:hAnsi="Consolas"/>
          <w:color w:val="8A2E2E"/>
          <w:sz w:val="19"/>
        </w:rPr>
        <w:t>_Restricted/</w:t>
      </w:r>
      <w:r>
        <w:t xml:space="preserve">. Retrieval is a strict deterministic ladder: </w:t>
      </w:r>
      <w:r>
        <w:rPr>
          <w:rFonts w:ascii="Consolas" w:hAnsi="Consolas"/>
          <w:color w:val="8A2E2E"/>
          <w:sz w:val="19"/>
        </w:rPr>
        <w:t>HOT.md → MEMORY_INDEX.md via brain.js recall → area _INDEX.md → Knowledge_Base.md → raw documents</w:t>
      </w:r>
      <w:r>
        <w:t xml:space="preserve">. Deliberately </w:t>
      </w:r>
      <w:r>
        <w:rPr>
          <w:b/>
        </w:rPr>
        <w:t>no vector DB, no embeddings</w:t>
      </w:r>
      <w:r>
        <w:t xml:space="preserve"> — markdown + index, with a documented upgrade path to SQLite FTS.</w:t>
      </w:r>
    </w:p>
    <w:p>
      <w:pPr>
        <w:pStyle w:val="ListBullet"/>
      </w:pPr>
      <w:r>
        <w:rPr>
          <w:b/>
        </w:rPr>
        <w:t>The app</w:t>
      </w:r>
      <w:r>
        <w:t>: Next.js 16 + Supabase + Vercel. Screens: Command Bridge (chat + Daily Brief + KPIs + HOT), Intelligence (charts, capacity, market radar), Products, Operations (EOS rocks/V/TO live), Agents (fleet view), Brain (3D constellation), per-leader Department Desks, Conversations log, Admin (crew), Systems (self-diagnostics).</w:t>
      </w:r>
    </w:p>
    <w:p>
      <w:pPr>
        <w:pStyle w:val="ListBullet"/>
      </w:pPr>
      <w:r>
        <w:rPr>
          <w:b/>
        </w:rPr>
        <w:t>Governance</w:t>
      </w:r>
      <w:r>
        <w:t xml:space="preserve">: every vault mutation is owner-gated, no hard deletes (archive only), append-only </w:t>
      </w:r>
      <w:r>
        <w:rPr>
          <w:rFonts w:ascii="Consolas" w:hAnsi="Consolas"/>
          <w:color w:val="8A2E2E"/>
          <w:sz w:val="19"/>
        </w:rPr>
        <w:t>ARIA_Change_Log.jsonl</w:t>
      </w:r>
      <w:r>
        <w:t xml:space="preserve"> with actor + reason, </w:t>
      </w:r>
      <w:r>
        <w:rPr>
          <w:rFonts w:ascii="Consolas" w:hAnsi="Consolas"/>
          <w:color w:val="8A2E2E"/>
          <w:sz w:val="19"/>
        </w:rPr>
        <w:t>_Restricted/</w:t>
      </w:r>
      <w:r>
        <w:t xml:space="preserve"> untouchable, 200KB text-only cap, production web app is read-only against the vault.</w:t>
      </w:r>
    </w:p>
    <w:p>
      <w:r>
        <w:rPr>
          <w:b/>
        </w:rPr>
        <w:t>Productization implication:</w:t>
      </w:r>
      <w:r>
        <w:t xml:space="preserve"> the vault taxonomy, retrieval ladder, index discipline, and write constitution are </w:t>
      </w:r>
      <w:r>
        <w:rPr>
          <w:b/>
        </w:rPr>
        <w:t>directly replicable per client</w:t>
      </w:r>
      <w:r>
        <w:t xml:space="preserve"> — they are the "operating system install." The 3D brain and department desks demo extremely well (premium perceived value). What must change: the vault lives on the founder's local OneDrive and is baked into the build at compile time — a per-client vault needs cloud-native storage (the </w:t>
      </w:r>
      <w:r>
        <w:rPr>
          <w:rFonts w:ascii="Consolas" w:hAnsi="Consolas"/>
          <w:color w:val="8A2E2E"/>
          <w:sz w:val="19"/>
        </w:rPr>
        <w:t>brain_documents</w:t>
      </w:r>
      <w:r>
        <w:t xml:space="preserve"> Supabase mirror already prototypes this).</w:t>
      </w:r>
    </w:p>
    <w:p>
      <w:pPr>
        <w:pStyle w:val="Heading2"/>
      </w:pPr>
      <w:r>
        <w:t>3. Functionalities (Feature Inventory)</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1B2A4A"/>
          </w:tcPr>
          <w:p>
            <w:r>
              <w:rPr>
                <w:color w:val="FFFFFF"/>
              </w:rPr>
            </w:r>
            <w:r>
              <w:rPr>
                <w:b/>
                <w:color w:val="FFFFFF"/>
                <w:sz w:val="19"/>
              </w:rPr>
              <w:t>Capability</w:t>
            </w:r>
          </w:p>
        </w:tc>
        <w:tc>
          <w:tcPr>
            <w:tcW w:type="dxa" w:w="3216"/>
            <w:shd w:val="clear" w:fill="1B2A4A"/>
          </w:tcPr>
          <w:p>
            <w:r>
              <w:rPr>
                <w:color w:val="FFFFFF"/>
              </w:rPr>
            </w:r>
            <w:r>
              <w:rPr>
                <w:b/>
                <w:color w:val="FFFFFF"/>
                <w:sz w:val="19"/>
              </w:rPr>
              <w:t>State today</w:t>
            </w:r>
          </w:p>
        </w:tc>
        <w:tc>
          <w:tcPr>
            <w:tcW w:type="dxa" w:w="3216"/>
            <w:shd w:val="clear" w:fill="1B2A4A"/>
          </w:tcPr>
          <w:p>
            <w:r>
              <w:rPr>
                <w:color w:val="FFFFFF"/>
              </w:rPr>
            </w:r>
            <w:r>
              <w:rPr>
                <w:b/>
                <w:color w:val="FFFFFF"/>
                <w:sz w:val="19"/>
              </w:rPr>
              <w:t>Tier-worthy?</w:t>
            </w:r>
          </w:p>
        </w:tc>
      </w:tr>
      <w:tr>
        <w:tc>
          <w:tcPr>
            <w:tcW w:type="dxa" w:w="3216"/>
          </w:tcPr>
          <w:p>
            <w:r/>
            <w:r>
              <w:rPr>
                <w:sz w:val="19"/>
              </w:rPr>
              <w:t>Grounded chat console (text + en-GB voice in/out, ElevenLabs)</w:t>
            </w:r>
          </w:p>
        </w:tc>
        <w:tc>
          <w:tcPr>
            <w:tcW w:type="dxa" w:w="3216"/>
          </w:tcPr>
          <w:p>
            <w:r/>
            <w:r>
              <w:rPr>
                <w:sz w:val="19"/>
              </w:rPr>
              <w:t>Live, Opus 4.8, 12-hop tool loop</w:t>
            </w:r>
          </w:p>
        </w:tc>
        <w:tc>
          <w:tcPr>
            <w:tcW w:type="dxa" w:w="3216"/>
          </w:tcPr>
          <w:p>
            <w:r/>
            <w:r>
              <w:rPr>
                <w:sz w:val="19"/>
              </w:rPr>
              <w:t>Core, all tiers</w:t>
            </w:r>
          </w:p>
        </w:tc>
      </w:tr>
      <w:tr>
        <w:tc>
          <w:tcPr>
            <w:tcW w:type="dxa" w:w="3216"/>
            <w:shd w:val="clear" w:fill="EEF2F7"/>
          </w:tcPr>
          <w:p>
            <w:r/>
            <w:r>
              <w:rPr>
                <w:sz w:val="19"/>
              </w:rPr>
              <w:t>Daily Brief per user (11-section schema, grounding contract, calendar-aware)</w:t>
            </w:r>
          </w:p>
        </w:tc>
        <w:tc>
          <w:tcPr>
            <w:tcW w:type="dxa" w:w="3216"/>
            <w:shd w:val="clear" w:fill="EEF2F7"/>
          </w:tcPr>
          <w:p>
            <w:r/>
            <w:r>
              <w:rPr>
                <w:sz w:val="19"/>
              </w:rPr>
              <w:t>Live, cached in Supabase</w:t>
            </w:r>
          </w:p>
        </w:tc>
        <w:tc>
          <w:tcPr>
            <w:tcW w:type="dxa" w:w="3216"/>
            <w:shd w:val="clear" w:fill="EEF2F7"/>
          </w:tcPr>
          <w:p>
            <w:r/>
            <w:r>
              <w:rPr>
                <w:sz w:val="19"/>
              </w:rPr>
              <w:t>Core, all tiers</w:t>
            </w:r>
          </w:p>
        </w:tc>
      </w:tr>
      <w:tr>
        <w:tc>
          <w:tcPr>
            <w:tcW w:type="dxa" w:w="3216"/>
          </w:tcPr>
          <w:p>
            <w:r/>
            <w:r>
              <w:rPr>
                <w:sz w:val="19"/>
              </w:rPr>
              <w:t>Live ClickUp pulse / rocks / V/TO / capacity boards</w:t>
            </w:r>
          </w:p>
        </w:tc>
        <w:tc>
          <w:tcPr>
            <w:tcW w:type="dxa" w:w="3216"/>
          </w:tcPr>
          <w:p>
            <w:r/>
            <w:r>
              <w:rPr>
                <w:sz w:val="19"/>
              </w:rPr>
              <w:t>Live</w:t>
            </w:r>
          </w:p>
        </w:tc>
        <w:tc>
          <w:tcPr>
            <w:tcW w:type="dxa" w:w="3216"/>
          </w:tcPr>
          <w:p>
            <w:r/>
            <w:r>
              <w:rPr>
                <w:sz w:val="19"/>
              </w:rPr>
              <w:t>Standard+ (work-mgmt adapter)</w:t>
            </w:r>
          </w:p>
        </w:tc>
      </w:tr>
      <w:tr>
        <w:tc>
          <w:tcPr>
            <w:tcW w:type="dxa" w:w="3216"/>
            <w:shd w:val="clear" w:fill="EEF2F7"/>
          </w:tcPr>
          <w:p>
            <w:r/>
            <w:r>
              <w:rPr>
                <w:sz w:val="19"/>
              </w:rPr>
              <w:t>EOS layer (quarterly rocks auto-discovery, goal chain to V/TO horizons)</w:t>
            </w:r>
          </w:p>
        </w:tc>
        <w:tc>
          <w:tcPr>
            <w:tcW w:type="dxa" w:w="3216"/>
            <w:shd w:val="clear" w:fill="EEF2F7"/>
          </w:tcPr>
          <w:p>
            <w:r/>
            <w:r>
              <w:rPr>
                <w:sz w:val="19"/>
              </w:rPr>
              <w:t>Live</w:t>
            </w:r>
          </w:p>
        </w:tc>
        <w:tc>
          <w:tcPr>
            <w:tcW w:type="dxa" w:w="3216"/>
            <w:shd w:val="clear" w:fill="EEF2F7"/>
          </w:tcPr>
          <w:p>
            <w:r/>
            <w:r>
              <w:rPr>
                <w:sz w:val="19"/>
              </w:rPr>
              <w:t>Pro+</w:t>
            </w:r>
          </w:p>
        </w:tc>
      </w:tr>
      <w:tr>
        <w:tc>
          <w:tcPr>
            <w:tcW w:type="dxa" w:w="3216"/>
          </w:tcPr>
          <w:p>
            <w:r/>
            <w:r>
              <w:rPr>
                <w:sz w:val="19"/>
              </w:rPr>
              <w:t>Google Workspace per-user (Gmail read/send, Calendar, Drive) with two-turn send confirm</w:t>
            </w:r>
          </w:p>
        </w:tc>
        <w:tc>
          <w:tcPr>
            <w:tcW w:type="dxa" w:w="3216"/>
          </w:tcPr>
          <w:p>
            <w:r/>
            <w:r>
              <w:rPr>
                <w:sz w:val="19"/>
              </w:rPr>
              <w:t>Live</w:t>
            </w:r>
          </w:p>
        </w:tc>
        <w:tc>
          <w:tcPr>
            <w:tcW w:type="dxa" w:w="3216"/>
          </w:tcPr>
          <w:p>
            <w:r/>
            <w:r>
              <w:rPr>
                <w:sz w:val="19"/>
              </w:rPr>
              <w:t>Pro+</w:t>
            </w:r>
          </w:p>
        </w:tc>
      </w:tr>
      <w:tr>
        <w:tc>
          <w:tcPr>
            <w:tcW w:type="dxa" w:w="3216"/>
            <w:shd w:val="clear" w:fill="EEF2F7"/>
          </w:tcPr>
          <w:p>
            <w:r/>
            <w:r>
              <w:rPr>
                <w:sz w:val="19"/>
              </w:rPr>
              <w:t>Brain vault + governed writes + audit log</w:t>
            </w:r>
          </w:p>
        </w:tc>
        <w:tc>
          <w:tcPr>
            <w:tcW w:type="dxa" w:w="3216"/>
            <w:shd w:val="clear" w:fill="EEF2F7"/>
          </w:tcPr>
          <w:p>
            <w:r/>
            <w:r>
              <w:rPr>
                <w:sz w:val="19"/>
              </w:rPr>
              <w:t>Live (local mode)</w:t>
            </w:r>
          </w:p>
        </w:tc>
        <w:tc>
          <w:tcPr>
            <w:tcW w:type="dxa" w:w="3216"/>
            <w:shd w:val="clear" w:fill="EEF2F7"/>
          </w:tcPr>
          <w:p>
            <w:r/>
            <w:r>
              <w:rPr>
                <w:sz w:val="19"/>
              </w:rPr>
              <w:t>Core, all tiers</w:t>
            </w:r>
          </w:p>
        </w:tc>
      </w:tr>
      <w:tr>
        <w:tc>
          <w:tcPr>
            <w:tcW w:type="dxa" w:w="3216"/>
          </w:tcPr>
          <w:p>
            <w:r/>
            <w:r>
              <w:rPr>
                <w:sz w:val="19"/>
              </w:rPr>
              <w:t>Agent fleet: TRUTH (drift), CHRONICLE (weekly digest), FILER (inbox), SCRIBE (brief archive), SAGE-W/M (evaluations + SWOT), AURORA (CEO Telegram brief)</w:t>
            </w:r>
          </w:p>
        </w:tc>
        <w:tc>
          <w:tcPr>
            <w:tcW w:type="dxa" w:w="3216"/>
          </w:tcPr>
          <w:p>
            <w:r/>
            <w:r>
              <w:rPr>
                <w:sz w:val="19"/>
              </w:rPr>
              <w:t>Live via Hermes cron on owner machine</w:t>
            </w:r>
          </w:p>
        </w:tc>
        <w:tc>
          <w:tcPr>
            <w:tcW w:type="dxa" w:w="3216"/>
          </w:tcPr>
          <w:p>
            <w:r/>
            <w:r>
              <w:rPr>
                <w:sz w:val="19"/>
              </w:rPr>
              <w:t>Standard gets 3, Pro gets 6, Premium full + custom</w:t>
            </w:r>
          </w:p>
        </w:tc>
      </w:tr>
      <w:tr>
        <w:tc>
          <w:tcPr>
            <w:tcW w:type="dxa" w:w="3216"/>
            <w:shd w:val="clear" w:fill="EEF2F7"/>
          </w:tcPr>
          <w:p>
            <w:r/>
            <w:r>
              <w:rPr>
                <w:sz w:val="19"/>
              </w:rPr>
              <w:t>Telegram gateway (voice notes, STT via ElevenLabs Scribe)</w:t>
            </w:r>
          </w:p>
        </w:tc>
        <w:tc>
          <w:tcPr>
            <w:tcW w:type="dxa" w:w="3216"/>
            <w:shd w:val="clear" w:fill="EEF2F7"/>
          </w:tcPr>
          <w:p>
            <w:r/>
            <w:r>
              <w:rPr>
                <w:sz w:val="19"/>
              </w:rPr>
              <w:t>Live, owner-only</w:t>
            </w:r>
          </w:p>
        </w:tc>
        <w:tc>
          <w:tcPr>
            <w:tcW w:type="dxa" w:w="3216"/>
            <w:shd w:val="clear" w:fill="EEF2F7"/>
          </w:tcPr>
          <w:p>
            <w:r/>
            <w:r>
              <w:rPr>
                <w:sz w:val="19"/>
              </w:rPr>
              <w:t>Premium</w:t>
            </w:r>
          </w:p>
        </w:tc>
      </w:tr>
      <w:tr>
        <w:tc>
          <w:tcPr>
            <w:tcW w:type="dxa" w:w="3216"/>
          </w:tcPr>
          <w:p>
            <w:r/>
            <w:r>
              <w:rPr>
                <w:sz w:val="19"/>
              </w:rPr>
              <w:t>Market Radar (Firecrawl monitored feed)</w:t>
            </w:r>
          </w:p>
        </w:tc>
        <w:tc>
          <w:tcPr>
            <w:tcW w:type="dxa" w:w="3216"/>
          </w:tcPr>
          <w:p>
            <w:r/>
            <w:r>
              <w:rPr>
                <w:sz w:val="19"/>
              </w:rPr>
              <w:t>Live</w:t>
            </w:r>
          </w:p>
        </w:tc>
        <w:tc>
          <w:tcPr>
            <w:tcW w:type="dxa" w:w="3216"/>
          </w:tcPr>
          <w:p>
            <w:r/>
            <w:r>
              <w:rPr>
                <w:sz w:val="19"/>
              </w:rPr>
              <w:t>Pro+</w:t>
            </w:r>
          </w:p>
        </w:tc>
      </w:tr>
      <w:tr>
        <w:tc>
          <w:tcPr>
            <w:tcW w:type="dxa" w:w="3216"/>
            <w:shd w:val="clear" w:fill="EEF2F7"/>
          </w:tcPr>
          <w:p>
            <w:r/>
            <w:r>
              <w:rPr>
                <w:sz w:val="19"/>
              </w:rPr>
              <w:t>Department desks (personalized ops slice + vault docs in-app)</w:t>
            </w:r>
          </w:p>
        </w:tc>
        <w:tc>
          <w:tcPr>
            <w:tcW w:type="dxa" w:w="3216"/>
            <w:shd w:val="clear" w:fill="EEF2F7"/>
          </w:tcPr>
          <w:p>
            <w:r/>
            <w:r>
              <w:rPr>
                <w:sz w:val="19"/>
              </w:rPr>
              <w:t>Live, compile-time config</w:t>
            </w:r>
          </w:p>
        </w:tc>
        <w:tc>
          <w:tcPr>
            <w:tcW w:type="dxa" w:w="3216"/>
            <w:shd w:val="clear" w:fill="EEF2F7"/>
          </w:tcPr>
          <w:p>
            <w:r/>
            <w:r>
              <w:rPr>
                <w:sz w:val="19"/>
              </w:rPr>
              <w:t>Pro+</w:t>
            </w:r>
          </w:p>
        </w:tc>
      </w:tr>
      <w:tr>
        <w:tc>
          <w:tcPr>
            <w:tcW w:type="dxa" w:w="3216"/>
          </w:tcPr>
          <w:p>
            <w:r/>
            <w:r>
              <w:rPr>
                <w:sz w:val="19"/>
              </w:rPr>
              <w:t>RBAC (owner/leader, sealed values, tool-schema absence for non-owners)</w:t>
            </w:r>
          </w:p>
        </w:tc>
        <w:tc>
          <w:tcPr>
            <w:tcW w:type="dxa" w:w="3216"/>
          </w:tcPr>
          <w:p>
            <w:r/>
            <w:r>
              <w:rPr>
                <w:sz w:val="19"/>
              </w:rPr>
              <w:t>Live, 2 roles</w:t>
            </w:r>
          </w:p>
        </w:tc>
        <w:tc>
          <w:tcPr>
            <w:tcW w:type="dxa" w:w="3216"/>
          </w:tcPr>
          <w:p>
            <w:r/>
            <w:r>
              <w:rPr>
                <w:sz w:val="19"/>
              </w:rPr>
              <w:t>Core; needs role expansion</w:t>
            </w:r>
          </w:p>
        </w:tc>
      </w:tr>
      <w:tr>
        <w:tc>
          <w:tcPr>
            <w:tcW w:type="dxa" w:w="3216"/>
            <w:shd w:val="clear" w:fill="EEF2F7"/>
          </w:tcPr>
          <w:p>
            <w:r/>
            <w:r>
              <w:rPr>
                <w:sz w:val="19"/>
              </w:rPr>
              <w:t>Self-diagnostics (/systems, real 1-token billing probe, degraded-mode announcement)</w:t>
            </w:r>
          </w:p>
        </w:tc>
        <w:tc>
          <w:tcPr>
            <w:tcW w:type="dxa" w:w="3216"/>
            <w:shd w:val="clear" w:fill="EEF2F7"/>
          </w:tcPr>
          <w:p>
            <w:r/>
            <w:r>
              <w:rPr>
                <w:sz w:val="19"/>
              </w:rPr>
              <w:t>Live</w:t>
            </w:r>
          </w:p>
        </w:tc>
        <w:tc>
          <w:tcPr>
            <w:tcW w:type="dxa" w:w="3216"/>
            <w:shd w:val="clear" w:fill="EEF2F7"/>
          </w:tcPr>
          <w:p>
            <w:r/>
            <w:r>
              <w:rPr>
                <w:sz w:val="19"/>
              </w:rPr>
              <w:t>Core, all tiers</w:t>
            </w:r>
          </w:p>
        </w:tc>
      </w:tr>
      <w:tr>
        <w:tc>
          <w:tcPr>
            <w:tcW w:type="dxa" w:w="3216"/>
          </w:tcPr>
          <w:p>
            <w:r/>
            <w:r>
              <w:rPr>
                <w:sz w:val="19"/>
              </w:rPr>
              <w:t>Local deterministic fallback engine (keyless)</w:t>
            </w:r>
          </w:p>
        </w:tc>
        <w:tc>
          <w:tcPr>
            <w:tcW w:type="dxa" w:w="3216"/>
          </w:tcPr>
          <w:p>
            <w:r/>
            <w:r>
              <w:rPr>
                <w:sz w:val="19"/>
              </w:rPr>
              <w:t>Live</w:t>
            </w:r>
          </w:p>
        </w:tc>
        <w:tc>
          <w:tcPr>
            <w:tcW w:type="dxa" w:w="3216"/>
          </w:tcPr>
          <w:p>
            <w:r/>
            <w:r>
              <w:rPr>
                <w:sz w:val="19"/>
              </w:rPr>
              <w:t>Core (resilience story)</w:t>
            </w:r>
          </w:p>
        </w:tc>
      </w:tr>
    </w:tbl>
    <w:p>
      <w:pPr>
        <w:spacing w:after="40"/>
      </w:pPr>
    </w:p>
    <w:p>
      <w:r>
        <w:rPr>
          <w:b/>
        </w:rPr>
        <w:t>Productization implication:</w:t>
      </w:r>
      <w:r>
        <w:t xml:space="preserve"> this is already a 3-tier feature matrix waiting to be priced. Nothing needs to be </w:t>
      </w:r>
      <w:r>
        <w:rPr>
          <w:i/>
        </w:rPr>
        <w:t>invented</w:t>
      </w:r>
      <w:r>
        <w:t xml:space="preserve"> for Standard/Pro; Premium and Custom need the Hermes-equivalent fleet host moved off the founder's laptop (see Part III §3).</w:t>
      </w:r>
    </w:p>
    <w:p>
      <w:pPr>
        <w:pStyle w:val="Heading2"/>
      </w:pPr>
      <w:r>
        <w:t>4. AI Orchestration</w:t>
      </w:r>
    </w:p>
    <w:p>
      <w:pPr>
        <w:pStyle w:val="ListBullet"/>
      </w:pPr>
      <w:r>
        <w:rPr>
          <w:b/>
        </w:rPr>
        <w:t>Models:</w:t>
      </w:r>
      <w:r>
        <w:t xml:space="preserve"> </w:t>
      </w:r>
      <w:r>
        <w:rPr>
          <w:rFonts w:ascii="Consolas" w:hAnsi="Consolas"/>
          <w:color w:val="8A2E2E"/>
          <w:sz w:val="19"/>
        </w:rPr>
        <w:t>claude-opus-4-8</w:t>
      </w:r>
      <w:r>
        <w:t xml:space="preserve"> for all reasoning (chat + brief) with adaptive thinking and prompt caching; </w:t>
      </w:r>
      <w:r>
        <w:rPr>
          <w:rFonts w:ascii="Consolas" w:hAnsi="Consolas"/>
          <w:color w:val="8A2E2E"/>
          <w:sz w:val="19"/>
        </w:rPr>
        <w:t>claude-haiku-4-5</w:t>
      </w:r>
      <w:r>
        <w:t xml:space="preserve"> only as a 1-token billing probe; Fable 5 reserved, gated behind explicit human approval in Hermes (</w:t>
      </w:r>
      <w:r>
        <w:rPr>
          <w:rFonts w:ascii="Consolas" w:hAnsi="Consolas"/>
          <w:color w:val="8A2E2E"/>
          <w:sz w:val="19"/>
        </w:rPr>
        <w:t>super-frontier-routing</w:t>
      </w:r>
      <w:r>
        <w:t xml:space="preserve"> skill — fresh yes per call, no retries).</w:t>
      </w:r>
    </w:p>
    <w:p>
      <w:pPr>
        <w:pStyle w:val="ListBullet"/>
      </w:pPr>
      <w:r>
        <w:rPr>
          <w:b/>
        </w:rPr>
        <w:t>Grounding engineering (the crown jewels):</w:t>
      </w:r>
      <w:r>
        <w:t xml:space="preserve"> persona-level operating contract (mandatory Sources line, confidence statements, one-complete-turn honesty rule after the hop budget exhausts); the Brief's "ABSOLUTE GROUNDING CONTRACT" (payload facts only, empty arrays are correct answers, </w:t>
      </w:r>
      <w:r>
        <w:rPr>
          <w:rFonts w:ascii="Consolas" w:hAnsi="Consolas"/>
          <w:color w:val="8A2E2E"/>
          <w:sz w:val="19"/>
        </w:rPr>
        <w:t>needing_alignment</w:t>
      </w:r>
      <w:r>
        <w:t xml:space="preserve"> requires verbatim quotes from both conflicting sources); role-gated knowledge digest with </w:t>
      </w:r>
      <w:r>
        <w:rPr>
          <w:rFonts w:ascii="Consolas" w:hAnsi="Consolas"/>
          <w:color w:val="8A2E2E"/>
          <w:sz w:val="19"/>
        </w:rPr>
        <w:t>[SEALED]</w:t>
      </w:r>
      <w:r>
        <w:t xml:space="preserve"> redaction </w:t>
      </w:r>
      <w:r>
        <w:rPr>
          <w:i/>
        </w:rPr>
        <w:t>before</w:t>
      </w:r>
      <w:r>
        <w:t xml:space="preserve"> prompt assembly; owner-only tools </w:t>
      </w:r>
      <w:r>
        <w:rPr>
          <w:b/>
        </w:rPr>
        <w:t>absent from the schema</w:t>
      </w:r>
      <w:r>
        <w:t xml:space="preserve"> for non-owners rather than refused ("cannot be socially engineered").</w:t>
      </w:r>
    </w:p>
    <w:p>
      <w:pPr>
        <w:pStyle w:val="ListBullet"/>
      </w:pPr>
      <w:r>
        <w:rPr>
          <w:b/>
        </w:rPr>
        <w:t>Safety pattern:</w:t>
      </w:r>
      <w:r>
        <w:t xml:space="preserve"> no delete tools anywhere; write tools carry a HARD SEND PROTOCOL (draft turn ≠ send turn).</w:t>
      </w:r>
    </w:p>
    <w:p>
      <w:pPr>
        <w:pStyle w:val="ListBullet"/>
      </w:pPr>
      <w:r>
        <w:rPr>
          <w:b/>
        </w:rPr>
        <w:t>Cost control:</w:t>
      </w:r>
      <w:r>
        <w:t xml:space="preserve"> 16-turn history window, 2,000-token output cap, 12-hop budget, per-day brief cache.</w:t>
      </w:r>
    </w:p>
    <w:p>
      <w:r>
        <w:rPr>
          <w:b/>
        </w:rPr>
        <w:t>Productization implication:</w:t>
      </w:r>
      <w:r>
        <w:t xml:space="preserve"> this orchestration layer is client-agnostic already — it reads company facts from a digest that is </w:t>
      </w:r>
      <w:r>
        <w:rPr>
          <w:i/>
        </w:rPr>
        <w:t>built from data</w:t>
      </w:r>
      <w:r>
        <w:t xml:space="preserve">. The gap: send-confirmation and "explicit instruction only" rules are prompt-enforced, not code-enforced. For paying clients this must become a server-side state machine (a pending-action table requiring a second authenticated request). Model spend must move from one shared Anthropic key to </w:t>
      </w:r>
      <w:r>
        <w:rPr>
          <w:b/>
        </w:rPr>
        <w:t>per-tenant keys or a metered gateway</w:t>
      </w:r>
      <w:r>
        <w:t xml:space="preserve"> — this is both a cost-isolation and a "your data never mingles" sales requirement.</w:t>
      </w:r>
    </w:p>
    <w:p>
      <w:pPr>
        <w:pStyle w:val="Heading2"/>
      </w:pPr>
      <w:r>
        <w:t>5. Data Management, Cleaning &amp; Optimization</w:t>
      </w:r>
    </w:p>
    <w:p>
      <w:pPr>
        <w:pStyle w:val="ListBullet"/>
      </w:pPr>
      <w:r>
        <w:rPr>
          <w:b/>
        </w:rPr>
        <w:t>Ingestion is automated, summarization-based, and provenance-preserving:</w:t>
      </w:r>
      <w:r>
        <w:t xml:space="preserve"> CHRONICLE distills ClickUp weekly into </w:t>
      </w:r>
      <w:r>
        <w:rPr>
          <w:rFonts w:ascii="Consolas" w:hAnsi="Consolas"/>
          <w:color w:val="8A2E2E"/>
          <w:sz w:val="19"/>
        </w:rPr>
        <w:t>Reports/ClickUp/</w:t>
      </w:r>
      <w:r>
        <w:t>; FILER routes the Inbox nightly; SCRIBE archives briefs; Gmail label-routing feeds Client Comms; "truth is never copied away from where it's created."</w:t>
      </w:r>
    </w:p>
    <w:p>
      <w:pPr>
        <w:pStyle w:val="ListBullet"/>
      </w:pPr>
      <w:r>
        <w:rPr>
          <w:b/>
        </w:rPr>
        <w:t>Freshness is a contract:</w:t>
      </w:r>
      <w:r>
        <w:t xml:space="preserve"> KBs valid 3 months; HOT.md is dated; the TRUTH agent rewrites HOT's machine-maintained Reality-check section every weekday 06:00 and alerts on new drift.</w:t>
      </w:r>
    </w:p>
    <w:p>
      <w:pPr>
        <w:pStyle w:val="ListBullet"/>
      </w:pPr>
      <w:r>
        <w:rPr>
          <w:b/>
        </w:rPr>
        <w:t>Quality machinery:</w:t>
      </w:r>
      <w:r>
        <w:t xml:space="preserve"> 4-tier confidence tagging (</w:t>
      </w:r>
      <w:r>
        <w:rPr>
          <w:rFonts w:ascii="Consolas" w:hAnsi="Consolas"/>
          <w:color w:val="8A2E2E"/>
          <w:sz w:val="19"/>
        </w:rPr>
        <w:t>[Document-Backed]/[Form-Stated]/[Inferred]/[Assumption]</w:t>
      </w:r>
      <w:r>
        <w:t>) from the Blueprint methodology; structure-gaps.md instead of ad-hoc folders; benchmark harness proves retrieval quality (5-0, near-constant wall-time regardless of corpus size).</w:t>
      </w:r>
    </w:p>
    <w:p>
      <w:pPr>
        <w:pStyle w:val="ListBullet"/>
      </w:pPr>
      <w:r>
        <w:rPr>
          <w:b/>
        </w:rPr>
        <w:t>Known debt:</w:t>
      </w:r>
      <w:r>
        <w:t xml:space="preserve"> KPIs folder empty, BD client dossiers unpopulated, </w:t>
      </w:r>
      <w:r>
        <w:rPr>
          <w:rFonts w:ascii="Consolas" w:hAnsi="Consolas"/>
          <w:color w:val="8A2E2E"/>
          <w:sz w:val="19"/>
        </w:rPr>
        <w:t>Reports/ARIA_Evaluations/</w:t>
      </w:r>
      <w:r>
        <w:t xml:space="preserve"> referenced but not yet on disk, monthly report format still TBD.</w:t>
      </w:r>
    </w:p>
    <w:p>
      <w:r>
        <w:rPr>
          <w:b/>
        </w:rPr>
        <w:t>Productization implication:</w:t>
      </w:r>
      <w:r>
        <w:t xml:space="preserve"> the data doctrine ("fed by automation, not goodwill"; freshness contracts; distillation not duplication) </w:t>
      </w:r>
      <w:r>
        <w:rPr>
          <w:b/>
        </w:rPr>
        <w:t>is the onboarding methodology</w:t>
      </w:r>
      <w:r>
        <w:t xml:space="preserve"> — it's what clients actually pay for, because their data is a mess. Package it as a named delivery phase: </w:t>
      </w:r>
      <w:r>
        <w:rPr>
          <w:i/>
        </w:rPr>
        <w:t>Brain Genesis</w:t>
      </w:r>
      <w:r>
        <w:t xml:space="preserve"> (taxonomy install + initial corpus distillation + freshness contracts). The confidence-tagging pipeline from Blueprint skills-v4 doubles as the data-cleaning QA layer during onboarding.</w:t>
      </w:r>
    </w:p>
    <w:p>
      <w:pPr>
        <w:pStyle w:val="Heading2"/>
      </w:pPr>
      <w:r>
        <w:t>6. Workflow Automation</w:t>
      </w:r>
    </w:p>
    <w:p>
      <w:r>
        <w:t xml:space="preserve">The fleet pattern is: </w:t>
      </w:r>
      <w:r>
        <w:rPr>
          <w:b/>
        </w:rPr>
        <w:t>deterministic scripts where possible, agents where necessary, everything writes to the vault with an audit reason, everything delivers to where the human already is</w:t>
      </w:r>
      <w:r>
        <w:t xml:space="preserve"> (Telegram, the morning brief). Cadence: TRUTH 06:00 weekdays → FILER 07:30 → AURORA 08:15 → SCRIBE 18:30 → CHRONICLE Fri → SAGE-W Fri 18:00 → SAGE-M monthly. The CEO Operating Week (</w:t>
      </w:r>
      <w:r>
        <w:rPr>
          <w:rFonts w:ascii="Consolas" w:hAnsi="Consolas"/>
          <w:color w:val="8A2E2E"/>
          <w:sz w:val="19"/>
        </w:rPr>
        <w:t>ceo-week.ts</w:t>
      </w:r>
      <w:r>
        <w:t>) turns the fleet into a management doctrine: "the fleet gathers, the CEO judges."</w:t>
      </w:r>
    </w:p>
    <w:p>
      <w:r>
        <w:rPr>
          <w:b/>
        </w:rPr>
        <w:t>Productization implication:</w:t>
      </w:r>
      <w:r>
        <w:t xml:space="preserve"> the fleet IS the recurring-revenue justification — clients pay monthly for agents that work nights. But the entire scheduler currently runs on Hermes cron on Steven's personal Windows machine (with an AVG-antivirus TLS workaround, no less). Product requirement: a </w:t>
      </w:r>
      <w:r>
        <w:rPr>
          <w:b/>
        </w:rPr>
        <w:t>hosted fleet runner per tenant</w:t>
      </w:r>
      <w:r>
        <w:t xml:space="preserve"> (Vercel Cron / a small worker VM / scheduled cloud agents), config-driven, with the same audit contract.</w:t>
      </w:r>
    </w:p>
    <w:p>
      <w:pPr>
        <w:pStyle w:val="Heading2"/>
      </w:pPr>
      <w:r>
        <w:t>7. Integration Capabilities</w:t>
      </w:r>
    </w:p>
    <w:p>
      <w:pPr>
        <w:pStyle w:val="ListBullet"/>
      </w:pPr>
      <w:r>
        <w:rPr>
          <w:b/>
        </w:rPr>
        <w:t>ClickUp:</w:t>
      </w:r>
      <w:r>
        <w:t xml:space="preserve"> deep — pulse, rocks trees with computed progress, V/TO docs, capacity/pace analytics, create/update/comment (no delete), chat channels. Uses REST with a workspace personal token (deliberate: MCP's OAuth allowlist + 300-call/day cap unfit for always-on).</w:t>
      </w:r>
    </w:p>
    <w:p>
      <w:pPr>
        <w:pStyle w:val="ListBullet"/>
      </w:pPr>
      <w:r>
        <w:rPr>
          <w:b/>
        </w:rPr>
        <w:t>Google Workspace:</w:t>
      </w:r>
      <w:r>
        <w:t xml:space="preserve"> per-user OAuth (HMAC-signed state, timing-safe), Gmail/Calendar/Drive read + governed send/create.</w:t>
      </w:r>
    </w:p>
    <w:p>
      <w:pPr>
        <w:pStyle w:val="ListBullet"/>
      </w:pPr>
      <w:r>
        <w:rPr>
          <w:b/>
        </w:rPr>
        <w:t>Firecrawl:</w:t>
      </w:r>
      <w:r>
        <w:t xml:space="preserve"> web search/read tools + scheduled market monitor.</w:t>
      </w:r>
    </w:p>
    <w:p>
      <w:pPr>
        <w:pStyle w:val="ListBullet"/>
      </w:pPr>
      <w:r>
        <w:rPr>
          <w:b/>
        </w:rPr>
        <w:t>ElevenLabs:</w:t>
      </w:r>
      <w:r>
        <w:t xml:space="preserve"> TTS + Telegram STT. </w:t>
      </w:r>
      <w:r>
        <w:rPr>
          <w:b/>
        </w:rPr>
        <w:t>Telegram:</w:t>
      </w:r>
      <w:r>
        <w:t xml:space="preserve"> via Hermes.</w:t>
      </w:r>
    </w:p>
    <w:p>
      <w:pPr>
        <w:pStyle w:val="ListBullet"/>
      </w:pPr>
      <w:r>
        <w:rPr>
          <w:b/>
        </w:rPr>
        <w:t>Anthropic:</w:t>
      </w:r>
      <w:r>
        <w:t xml:space="preserve"> SDK with prompt caching.</w:t>
      </w:r>
    </w:p>
    <w:p>
      <w:r>
        <w:rPr>
          <w:b/>
        </w:rPr>
        <w:t>Productization implication:</w:t>
      </w:r>
      <w:r>
        <w:t xml:space="preserve"> the integration surface is an </w:t>
      </w:r>
      <w:r>
        <w:rPr>
          <w:b/>
        </w:rPr>
        <w:t>adapter pattern waiting to be named</w:t>
      </w:r>
      <w:r>
        <w:t xml:space="preserve">. ClickUp is one </w:t>
      </w:r>
      <w:r>
        <w:rPr>
          <w:i/>
        </w:rPr>
        <w:t>work-management adapter</w:t>
      </w:r>
      <w:r>
        <w:t xml:space="preserve"> — Standard tier ships ClickUp only; Pro/Premium add adapters (Asana/Monday/Jira/Notion later, Microsoft 365 alongside Google). Crucially the EOS layer is generic (any ClickUp space with a "Quarterly Rocks — Qn YYYY" folder convention works — Q4 already needs zero code changes). Per-tenant credentials replace the single personal token, which also fixes write-attribution (today every ARIA write appears as Steven).</w:t>
      </w:r>
    </w:p>
    <w:p>
      <w:pPr>
        <w:pStyle w:val="Heading2"/>
      </w:pPr>
      <w:r>
        <w:t>8. UX / UI</w:t>
      </w:r>
    </w:p>
    <w:p>
      <w:r>
        <w:t xml:space="preserve">Distinctive and premium: the Command Bridge metaphor, the summoning orb, the 3D brain constellation, voice-first British persona, department desks, degraded-mode honesty badges, a Systems page that diagnoses itself and tells users how to fix their own connection. React Three Fiber + Recharts + Tailwind v4. The </w:t>
      </w:r>
      <w:r>
        <w:rPr>
          <w:rFonts w:ascii="Consolas" w:hAnsi="Consolas"/>
          <w:color w:val="8A2E2E"/>
          <w:sz w:val="19"/>
        </w:rPr>
        <w:t>/guide</w:t>
      </w:r>
      <w:r>
        <w:t xml:space="preserve"> section already documents the build anatomy and per-day CEO prompts — effectively in-app enablement content.</w:t>
      </w:r>
    </w:p>
    <w:p>
      <w:r>
        <w:rPr>
          <w:b/>
        </w:rPr>
        <w:t>Productization implication:</w:t>
      </w:r>
      <w:r>
        <w:t xml:space="preserve"> this is the demo weapon; almost nothing needs restyling for clients beyond </w:t>
      </w:r>
      <w:r>
        <w:rPr>
          <w:b/>
        </w:rPr>
        <w:t>theming</w:t>
      </w:r>
      <w:r>
        <w:t xml:space="preserve"> (client logo/colors/persona name as config — "ARIA" can stay the engine brand while each client names their own instance). Two fixes: the Conversations log is localStorage-only (must move to Supabase per-tenant for continuity and governance), and the </w:t>
      </w:r>
      <w:r>
        <w:rPr>
          <w:rFonts w:ascii="Consolas" w:hAnsi="Consolas"/>
          <w:color w:val="8A2E2E"/>
          <w:sz w:val="19"/>
        </w:rPr>
        <w:t>/guide/blueprint</w:t>
      </w:r>
      <w:r>
        <w:t xml:space="preserve"> route name collides with the AI Value Blueprint product (rename to </w:t>
      </w:r>
      <w:r>
        <w:rPr>
          <w:rFonts w:ascii="Consolas" w:hAnsi="Consolas"/>
          <w:color w:val="8A2E2E"/>
          <w:sz w:val="19"/>
        </w:rPr>
        <w:t>/guide/anatomy</w:t>
      </w:r>
      <w:r>
        <w:t>).</w:t>
      </w:r>
    </w:p>
    <w:p>
      <w:pPr>
        <w:pStyle w:val="Heading2"/>
      </w:pPr>
      <w:r>
        <w:t>9. Trust, Security &amp; Governance (current posture)</w:t>
      </w:r>
    </w:p>
    <w:p>
      <w:r>
        <w:rPr>
          <w:b/>
        </w:rPr>
        <w:t>Strong:</w:t>
      </w:r>
      <w:r>
        <w:t xml:space="preserve"> server-side JWT verification with clearance from the verified token; RBAC redaction pre-prompt; tool-schema absence for unauthorized roles; path-traversal-safe vault mutator; append-only audit log; no delete capability anywhere; HMAC OAuth state; keys server-side; health endpoint exposes booleans only.</w:t>
      </w:r>
    </w:p>
    <w:p>
      <w:r>
        <w:rPr>
          <w:b/>
        </w:rPr>
        <w:t>Disqualifying for multi-client (must fix before first external tenant):</w:t>
      </w:r>
    </w:p>
    <w:p>
      <w:pPr>
        <w:pStyle w:val="ListNumber"/>
      </w:pPr>
      <w:r>
        <w:t xml:space="preserve">Plaintext </w:t>
      </w:r>
      <w:r>
        <w:rPr>
          <w:rFonts w:ascii="Consolas" w:hAnsi="Consolas"/>
          <w:color w:val="8A2E2E"/>
          <w:sz w:val="19"/>
        </w:rPr>
        <w:t>managed_password</w:t>
      </w:r>
      <w:r>
        <w:t xml:space="preserve"> column rendered in the admin UI.</w:t>
      </w:r>
    </w:p>
    <w:p>
      <w:pPr>
        <w:pStyle w:val="ListNumber"/>
      </w:pPr>
      <w:r>
        <w:t xml:space="preserve">Plaintext Google refresh tokens in </w:t>
      </w:r>
      <w:r>
        <w:rPr>
          <w:rFonts w:ascii="Consolas" w:hAnsi="Consolas"/>
          <w:color w:val="8A2E2E"/>
          <w:sz w:val="19"/>
        </w:rPr>
        <w:t>google_accounts</w:t>
      </w:r>
      <w:r>
        <w:t>.</w:t>
      </w:r>
    </w:p>
    <w:p>
      <w:pPr>
        <w:pStyle w:val="ListNumber"/>
      </w:pPr>
      <w:r>
        <w:rPr>
          <w:rFonts w:ascii="Consolas" w:hAnsi="Consolas"/>
          <w:color w:val="8A2E2E"/>
          <w:sz w:val="19"/>
        </w:rPr>
        <w:t>/api/radar</w:t>
      </w:r>
      <w:r>
        <w:t xml:space="preserve">, </w:t>
      </w:r>
      <w:r>
        <w:rPr>
          <w:rFonts w:ascii="Consolas" w:hAnsi="Consolas"/>
          <w:color w:val="8A2E2E"/>
          <w:sz w:val="19"/>
        </w:rPr>
        <w:t>/api/clickup/pulse|goals|capacity</w:t>
      </w:r>
      <w:r>
        <w:t xml:space="preserve"> fully unauthenticated — live company workload data public on the deployed URL.</w:t>
      </w:r>
    </w:p>
    <w:p>
      <w:pPr>
        <w:pStyle w:val="ListNumber"/>
      </w:pPr>
      <w:r>
        <w:t>Demo mode trusts client-supplied role when Supabase env is absent.</w:t>
      </w:r>
    </w:p>
    <w:p>
      <w:pPr>
        <w:pStyle w:val="ListNumber"/>
      </w:pPr>
      <w:r>
        <w:rPr>
          <w:rFonts w:ascii="Consolas" w:hAnsi="Consolas"/>
          <w:color w:val="8A2E2E"/>
          <w:sz w:val="19"/>
        </w:rPr>
        <w:t>ARIA_EXPORT_KEY</w:t>
      </w:r>
      <w:r>
        <w:t xml:space="preserve"> as a static query param (loggable).</w:t>
      </w:r>
    </w:p>
    <w:p>
      <w:pPr>
        <w:pStyle w:val="ListNumber"/>
      </w:pPr>
      <w:r>
        <w:t>Prompt-enforced (not code-enforced) send confirmations.</w:t>
      </w:r>
    </w:p>
    <w:p>
      <w:pPr>
        <w:pStyle w:val="ListNumber"/>
      </w:pPr>
      <w:r>
        <w:t>No rate limiting on chat.</w:t>
      </w:r>
    </w:p>
    <w:p>
      <w:r>
        <w:br w:type="page"/>
      </w:r>
    </w:p>
    <w:p>
      <w:pPr>
        <w:pStyle w:val="Heading1"/>
      </w:pPr>
      <w:r>
        <w:t>PART II — The Product: ARIA as the Agentic AI Company OS</w:t>
      </w:r>
    </w:p>
    <w:p>
      <w:pPr>
        <w:pStyle w:val="Heading2"/>
      </w:pPr>
      <w:r>
        <w:t>1. Product Thesis &amp; Positioning</w:t>
      </w:r>
    </w:p>
    <w:p>
      <w:r>
        <w:rPr>
          <w:b/>
        </w:rPr>
        <w:t>Category:</w:t>
      </w:r>
      <w:r>
        <w:t xml:space="preserve"> the Agentic AI Company OS — the operating layer that sits </w:t>
      </w:r>
      <w:r>
        <w:rPr>
          <w:i/>
        </w:rPr>
        <w:t>above</w:t>
      </w:r>
      <w:r>
        <w:t xml:space="preserve"> a company's existing tools (work management, email, calendar, documents) and </w:t>
      </w:r>
      <w:r>
        <w:rPr>
          <w:i/>
        </w:rPr>
        <w:t>below</w:t>
      </w:r>
      <w:r>
        <w:t xml:space="preserve"> its leadership team, turning scattered operational reality into one governed, grounded, always-fresh intelligence surface with an agent workforce attached.</w:t>
      </w:r>
    </w:p>
    <w:p>
      <w:r>
        <w:rPr>
          <w:b/>
        </w:rPr>
        <w:t>Positioning line (fits the ICP Master Strategy's "expensive problems" principle):</w:t>
      </w:r>
    </w:p>
    <w:p>
      <w:pPr>
        <w:ind w:left="504"/>
      </w:pPr>
      <w:r>
        <w:rPr>
          <w:i/>
          <w:color w:val="555F6E"/>
        </w:rPr>
        <w:t>"Your company already produces the truth every day — in tasks, inboxes, meetings and documents. ARIA is the operating system that reads all of it, never lets it go stale, briefs every leader each morning, catches drift before it costs you money, and puts a governed AI workforce on your payroll for a fraction of one salary."</w:t>
      </w:r>
    </w:p>
    <w:p>
      <w:r>
        <w:rPr>
          <w:b/>
        </w:rPr>
        <w:t>Against the alternatives:</w:t>
      </w:r>
    </w:p>
    <w:p>
      <w:pPr>
        <w:pStyle w:val="ListBullet"/>
      </w:pPr>
      <w:r>
        <w:t xml:space="preserve">vs. ChatGPT/Copilot rollouts: those are </w:t>
      </w:r>
      <w:r>
        <w:rPr>
          <w:i/>
        </w:rPr>
        <w:t>tools for individuals</w:t>
      </w:r>
      <w:r>
        <w:t xml:space="preserve">; ARIA is </w:t>
      </w:r>
      <w:r>
        <w:rPr>
          <w:i/>
        </w:rPr>
        <w:t>an operating system for the company</w:t>
      </w:r>
      <w:r>
        <w:t xml:space="preserve"> — governed, centralized, auditable, with institutional memory.</w:t>
      </w:r>
    </w:p>
    <w:p>
      <w:pPr>
        <w:pStyle w:val="ListBullet"/>
      </w:pPr>
      <w:r>
        <w:t>vs. custom AI consulting builds: ARIA is productized — fixed scope, fixed timeline, proven doctrine, benchmarked retrieval, and it improves monthly for every client at once.</w:t>
      </w:r>
    </w:p>
    <w:p>
      <w:pPr>
        <w:pStyle w:val="ListBullet"/>
      </w:pPr>
      <w:r>
        <w:t>vs. doing nothing: the drift story sells itself — "your leadership meeting is arguing from three different versions of reality; ARIA's TRUTH agent ends that."</w:t>
      </w:r>
    </w:p>
    <w:p>
      <w:r>
        <w:rPr>
          <w:b/>
        </w:rPr>
        <w:t>The moat / "can never imagine leaving" mechanics (design these in, deliberately):</w:t>
      </w:r>
    </w:p>
    <w:p>
      <w:pPr>
        <w:pStyle w:val="ListNumber"/>
      </w:pPr>
      <w:r>
        <w:rPr>
          <w:b/>
        </w:rPr>
        <w:t>Accumulating institutional memory</w:t>
      </w:r>
      <w:r>
        <w:t xml:space="preserve"> — every week the client's Brain gets richer (digests, decisions, memories, reports). Leaving ARIA = losing the only curated record of how the company actually ran. (Ethical lock-in: they can export the markdown — the </w:t>
      </w:r>
      <w:r>
        <w:rPr>
          <w:i/>
        </w:rPr>
        <w:t>value</w:t>
      </w:r>
      <w:r>
        <w:t xml:space="preserve"> is the living system, not hostage data. Say this openly; it closes deals.)</w:t>
      </w:r>
    </w:p>
    <w:p>
      <w:pPr>
        <w:pStyle w:val="ListNumber"/>
      </w:pPr>
      <w:r>
        <w:rPr>
          <w:b/>
        </w:rPr>
        <w:t>Daily habit</w:t>
      </w:r>
      <w:r>
        <w:t xml:space="preserve"> — the morning brief + Telegram delivery makes ARIA the first thing leadership reads.</w:t>
      </w:r>
    </w:p>
    <w:p>
      <w:pPr>
        <w:pStyle w:val="ListNumber"/>
      </w:pPr>
      <w:r>
        <w:rPr>
          <w:b/>
        </w:rPr>
        <w:t>Cadence embedding</w:t>
      </w:r>
      <w:r>
        <w:t xml:space="preserve"> — ARIA runs the client's EOS/L10 rhythm (rocks progress, V/TO chain, quarterly SAGE evaluations). Ripping it out breaks their meeting cadence.</w:t>
      </w:r>
    </w:p>
    <w:p>
      <w:pPr>
        <w:pStyle w:val="ListNumber"/>
      </w:pPr>
      <w:r>
        <w:rPr>
          <w:b/>
        </w:rPr>
        <w:t>Compounding fleet</w:t>
      </w:r>
      <w:r>
        <w:t xml:space="preserve"> — each quarter adds agents/automations tuned to that client (Custom tier especially).</w:t>
      </w:r>
    </w:p>
    <w:p>
      <w:pPr>
        <w:pStyle w:val="ListNumber"/>
      </w:pPr>
      <w:r>
        <w:rPr>
          <w:b/>
        </w:rPr>
        <w:t>Governance record</w:t>
      </w:r>
      <w:r>
        <w:t xml:space="preserve"> — the audit log becomes their AI-governance compliance artifact (board- and regulator-friendly).</w:t>
      </w:r>
    </w:p>
    <w:p>
      <w:pPr>
        <w:pStyle w:val="ListNumber"/>
      </w:pPr>
      <w:r>
        <w:rPr>
          <w:b/>
        </w:rPr>
        <w:t>Continuous improvement contract</w:t>
      </w:r>
      <w:r>
        <w:t xml:space="preserve"> — the monthly retainer explicitly includes doctrine updates, new adapters, and model upgrades flowing from the AIAssist mothership to every instance.</w:t>
      </w:r>
    </w:p>
    <w:p>
      <w:pPr>
        <w:pStyle w:val="Heading2"/>
      </w:pPr>
      <w:r>
        <w:t>2. The Offer Ladder Fit (why ARIA is the missing rung)</w:t>
      </w:r>
    </w:p>
    <w:p>
      <w:r>
        <w:t xml:space="preserve">Current ladder: Discoverability Report (free) → </w:t>
      </w:r>
      <w:r>
        <w:rPr>
          <w:b/>
        </w:rPr>
        <w:t>Blueprint €7.5–10K</w:t>
      </w:r>
      <w:r>
        <w:t xml:space="preserve"> → Workspace Sprint €15–25K → </w:t>
      </w:r>
      <w:r>
        <w:rPr>
          <w:i/>
        </w:rPr>
        <w:t>[GAP €25K–€75K]</w:t>
      </w:r>
      <w:r>
        <w:t xml:space="preserve"> → Managed AI Revenue Workforce €30–45K/90d → Full Audit €75–100K → EmpaTech OS $150–575K.</w:t>
      </w:r>
    </w:p>
    <w:p>
      <w:r>
        <w:t xml:space="preserve">ARIA lands exactly in the gap with recurring revenue attached — and it is the </w:t>
      </w:r>
      <w:r>
        <w:rPr>
          <w:b/>
        </w:rPr>
        <w:t>natural continuation of the Blueprint</w:t>
      </w:r>
      <w:r>
        <w:t>, because the Blueprint already produces the three artifacts an ARIA build needs: the Compressed Client Dossier (company facts → tenant config), the 6-dimension Maturity Snapshot (readiness → tier), and the Scored Opportunity Map (top opportunities → which agents to deploy first). The Workspace Sprint becomes ARIA's adoption/enablement attach rather than a competing offer.</w:t>
      </w:r>
    </w:p>
    <w:p>
      <w:pPr>
        <w:pStyle w:val="Heading2"/>
      </w:pPr>
      <w:r>
        <w:t>3. Packaging: Standard / Pro / Premium / Custom</w:t>
      </w:r>
    </w:p>
    <w:p>
      <w:r>
        <w:t>Pricing logic: anchor between the Blueprint (€7.5–10K, 2–4 human-hours) and EmpaTech Foundation (~$150K). Setup fees price the delivery labor + IP premium at 65–75% gross margin; retainers price hosting + model spend + fleet operations + continuous improvement at 70%+ margin (est. per-tenant COGS at current usage patterns: €300–900/mo model spend + €100–200 infra).</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fill="1B2A4A"/>
          </w:tcPr>
          <w:p>
            <w:r>
              <w:rPr>
                <w:color w:val="FFFFFF"/>
              </w:rPr>
            </w:r>
          </w:p>
        </w:tc>
        <w:tc>
          <w:tcPr>
            <w:tcW w:type="dxa" w:w="1930"/>
            <w:shd w:val="clear" w:fill="1B2A4A"/>
          </w:tcPr>
          <w:p>
            <w:r>
              <w:rPr>
                <w:color w:val="FFFFFF"/>
              </w:rPr>
            </w:r>
            <w:r>
              <w:rPr>
                <w:b/>
                <w:color w:val="FFFFFF"/>
                <w:sz w:val="17"/>
              </w:rPr>
              <w:t>STANDARD</w:t>
            </w:r>
          </w:p>
        </w:tc>
        <w:tc>
          <w:tcPr>
            <w:tcW w:type="dxa" w:w="1930"/>
            <w:shd w:val="clear" w:fill="1B2A4A"/>
          </w:tcPr>
          <w:p>
            <w:r>
              <w:rPr>
                <w:color w:val="FFFFFF"/>
              </w:rPr>
            </w:r>
            <w:r>
              <w:rPr>
                <w:b/>
                <w:color w:val="FFFFFF"/>
                <w:sz w:val="17"/>
              </w:rPr>
              <w:t>PRO</w:t>
            </w:r>
          </w:p>
        </w:tc>
        <w:tc>
          <w:tcPr>
            <w:tcW w:type="dxa" w:w="1930"/>
            <w:shd w:val="clear" w:fill="1B2A4A"/>
          </w:tcPr>
          <w:p>
            <w:r>
              <w:rPr>
                <w:color w:val="FFFFFF"/>
              </w:rPr>
            </w:r>
            <w:r>
              <w:rPr>
                <w:b/>
                <w:color w:val="FFFFFF"/>
                <w:sz w:val="17"/>
              </w:rPr>
              <w:t>PREMIUM</w:t>
            </w:r>
          </w:p>
        </w:tc>
        <w:tc>
          <w:tcPr>
            <w:tcW w:type="dxa" w:w="1930"/>
            <w:shd w:val="clear" w:fill="1B2A4A"/>
          </w:tcPr>
          <w:p>
            <w:r>
              <w:rPr>
                <w:color w:val="FFFFFF"/>
              </w:rPr>
            </w:r>
            <w:r>
              <w:rPr>
                <w:b/>
                <w:color w:val="FFFFFF"/>
                <w:sz w:val="17"/>
              </w:rPr>
              <w:t>CUSTOM</w:t>
            </w:r>
          </w:p>
        </w:tc>
      </w:tr>
      <w:tr>
        <w:tc>
          <w:tcPr>
            <w:tcW w:type="dxa" w:w="1930"/>
          </w:tcPr>
          <w:p>
            <w:r/>
            <w:r>
              <w:rPr>
                <w:b/>
                <w:sz w:val="17"/>
              </w:rPr>
              <w:t>Price</w:t>
            </w:r>
          </w:p>
        </w:tc>
        <w:tc>
          <w:tcPr>
            <w:tcW w:type="dxa" w:w="1930"/>
          </w:tcPr>
          <w:p>
            <w:r/>
            <w:r>
              <w:rPr>
                <w:b/>
                <w:sz w:val="17"/>
              </w:rPr>
              <w:t>€35K setup + €2,500/mo</w:t>
            </w:r>
          </w:p>
        </w:tc>
        <w:tc>
          <w:tcPr>
            <w:tcW w:type="dxa" w:w="1930"/>
          </w:tcPr>
          <w:p>
            <w:r/>
            <w:r>
              <w:rPr>
                <w:b/>
                <w:sz w:val="17"/>
              </w:rPr>
              <w:t>€65K setup + €5,000/mo</w:t>
            </w:r>
          </w:p>
        </w:tc>
        <w:tc>
          <w:tcPr>
            <w:tcW w:type="dxa" w:w="1930"/>
          </w:tcPr>
          <w:p>
            <w:r/>
            <w:r>
              <w:rPr>
                <w:b/>
                <w:sz w:val="17"/>
              </w:rPr>
              <w:t>€110K setup + €9,000/mo</w:t>
            </w:r>
          </w:p>
        </w:tc>
        <w:tc>
          <w:tcPr>
            <w:tcW w:type="dxa" w:w="1930"/>
          </w:tcPr>
          <w:p>
            <w:r/>
            <w:r>
              <w:rPr>
                <w:b/>
                <w:sz w:val="17"/>
              </w:rPr>
              <w:t>from €180K + from €12K/mo</w:t>
            </w:r>
            <w:r>
              <w:rPr>
                <w:sz w:val="17"/>
              </w:rPr>
              <w:t xml:space="preserve"> (scoped)</w:t>
            </w:r>
          </w:p>
        </w:tc>
      </w:tr>
      <w:tr>
        <w:tc>
          <w:tcPr>
            <w:tcW w:type="dxa" w:w="1930"/>
            <w:shd w:val="clear" w:fill="EEF2F7"/>
          </w:tcPr>
          <w:p>
            <w:r/>
            <w:r>
              <w:rPr>
                <w:b/>
                <w:sz w:val="17"/>
              </w:rPr>
              <w:t>Tagline</w:t>
            </w:r>
          </w:p>
        </w:tc>
        <w:tc>
          <w:tcPr>
            <w:tcW w:type="dxa" w:w="1930"/>
            <w:shd w:val="clear" w:fill="EEF2F7"/>
          </w:tcPr>
          <w:p>
            <w:r/>
            <w:r>
              <w:rPr>
                <w:sz w:val="17"/>
              </w:rPr>
              <w:t>"Your company, briefed."</w:t>
            </w:r>
          </w:p>
        </w:tc>
        <w:tc>
          <w:tcPr>
            <w:tcW w:type="dxa" w:w="1930"/>
            <w:shd w:val="clear" w:fill="EEF2F7"/>
          </w:tcPr>
          <w:p>
            <w:r/>
            <w:r>
              <w:rPr>
                <w:sz w:val="17"/>
              </w:rPr>
              <w:t>"Your operating rhythm, run."</w:t>
            </w:r>
          </w:p>
        </w:tc>
        <w:tc>
          <w:tcPr>
            <w:tcW w:type="dxa" w:w="1930"/>
            <w:shd w:val="clear" w:fill="EEF2F7"/>
          </w:tcPr>
          <w:p>
            <w:r/>
            <w:r>
              <w:rPr>
                <w:sz w:val="17"/>
              </w:rPr>
              <w:t>"Your AI chief of staff."</w:t>
            </w:r>
          </w:p>
        </w:tc>
        <w:tc>
          <w:tcPr>
            <w:tcW w:type="dxa" w:w="1930"/>
            <w:shd w:val="clear" w:fill="EEF2F7"/>
          </w:tcPr>
          <w:p>
            <w:r/>
            <w:r>
              <w:rPr>
                <w:sz w:val="17"/>
              </w:rPr>
              <w:t>"Your proprietary OS."</w:t>
            </w:r>
          </w:p>
        </w:tc>
      </w:tr>
      <w:tr>
        <w:tc>
          <w:tcPr>
            <w:tcW w:type="dxa" w:w="1930"/>
          </w:tcPr>
          <w:p>
            <w:r/>
            <w:r>
              <w:rPr>
                <w:b/>
                <w:sz w:val="17"/>
              </w:rPr>
              <w:t>Timeline</w:t>
            </w:r>
          </w:p>
        </w:tc>
        <w:tc>
          <w:tcPr>
            <w:tcW w:type="dxa" w:w="1930"/>
          </w:tcPr>
          <w:p>
            <w:r/>
            <w:r>
              <w:rPr>
                <w:sz w:val="17"/>
              </w:rPr>
              <w:t>3 weeks</w:t>
            </w:r>
          </w:p>
        </w:tc>
        <w:tc>
          <w:tcPr>
            <w:tcW w:type="dxa" w:w="1930"/>
          </w:tcPr>
          <w:p>
            <w:r/>
            <w:r>
              <w:rPr>
                <w:sz w:val="17"/>
              </w:rPr>
              <w:t>6 weeks</w:t>
            </w:r>
          </w:p>
        </w:tc>
        <w:tc>
          <w:tcPr>
            <w:tcW w:type="dxa" w:w="1930"/>
          </w:tcPr>
          <w:p>
            <w:r/>
            <w:r>
              <w:rPr>
                <w:sz w:val="17"/>
              </w:rPr>
              <w:t>10 weeks</w:t>
            </w:r>
          </w:p>
        </w:tc>
        <w:tc>
          <w:tcPr>
            <w:tcW w:type="dxa" w:w="1930"/>
          </w:tcPr>
          <w:p>
            <w:r/>
            <w:r>
              <w:rPr>
                <w:sz w:val="17"/>
              </w:rPr>
              <w:t>scoped (12+ wks)</w:t>
            </w:r>
          </w:p>
        </w:tc>
      </w:tr>
      <w:tr>
        <w:tc>
          <w:tcPr>
            <w:tcW w:type="dxa" w:w="1930"/>
            <w:shd w:val="clear" w:fill="EEF2F7"/>
          </w:tcPr>
          <w:p>
            <w:r/>
            <w:r>
              <w:rPr>
                <w:b/>
                <w:sz w:val="17"/>
              </w:rPr>
              <w:t>Seats</w:t>
            </w:r>
          </w:p>
        </w:tc>
        <w:tc>
          <w:tcPr>
            <w:tcW w:type="dxa" w:w="1930"/>
            <w:shd w:val="clear" w:fill="EEF2F7"/>
          </w:tcPr>
          <w:p>
            <w:r/>
            <w:r>
              <w:rPr>
                <w:sz w:val="17"/>
              </w:rPr>
              <w:t>Owner + 4 leaders</w:t>
            </w:r>
          </w:p>
        </w:tc>
        <w:tc>
          <w:tcPr>
            <w:tcW w:type="dxa" w:w="1930"/>
            <w:shd w:val="clear" w:fill="EEF2F7"/>
          </w:tcPr>
          <w:p>
            <w:r/>
            <w:r>
              <w:rPr>
                <w:sz w:val="17"/>
              </w:rPr>
              <w:t>Owner + 9 leaders</w:t>
            </w:r>
          </w:p>
        </w:tc>
        <w:tc>
          <w:tcPr>
            <w:tcW w:type="dxa" w:w="1930"/>
            <w:shd w:val="clear" w:fill="EEF2F7"/>
          </w:tcPr>
          <w:p>
            <w:r/>
            <w:r>
              <w:rPr>
                <w:sz w:val="17"/>
              </w:rPr>
              <w:t>Owner + 15 leaders</w:t>
            </w:r>
          </w:p>
        </w:tc>
        <w:tc>
          <w:tcPr>
            <w:tcW w:type="dxa" w:w="1930"/>
            <w:shd w:val="clear" w:fill="EEF2F7"/>
          </w:tcPr>
          <w:p>
            <w:r/>
            <w:r>
              <w:rPr>
                <w:sz w:val="17"/>
              </w:rPr>
              <w:t>unlimited/negotiated</w:t>
            </w:r>
          </w:p>
        </w:tc>
      </w:tr>
      <w:tr>
        <w:tc>
          <w:tcPr>
            <w:tcW w:type="dxa" w:w="1930"/>
          </w:tcPr>
          <w:p>
            <w:r/>
            <w:r>
              <w:rPr>
                <w:b/>
                <w:sz w:val="17"/>
              </w:rPr>
              <w:t>Brain</w:t>
            </w:r>
          </w:p>
        </w:tc>
        <w:tc>
          <w:tcPr>
            <w:tcW w:type="dxa" w:w="1930"/>
          </w:tcPr>
          <w:p>
            <w:r/>
            <w:r>
              <w:rPr>
                <w:sz w:val="17"/>
              </w:rPr>
              <w:t>Genesis install: taxonomy, retrieval ladder, HOT, up to 300 docs distilled</w:t>
            </w:r>
          </w:p>
        </w:tc>
        <w:tc>
          <w:tcPr>
            <w:tcW w:type="dxa" w:w="1930"/>
          </w:tcPr>
          <w:p>
            <w:r/>
            <w:r>
              <w:rPr>
                <w:sz w:val="17"/>
              </w:rPr>
              <w:t>+ dept KBs, client-comms routing, 1,000 docs</w:t>
            </w:r>
          </w:p>
        </w:tc>
        <w:tc>
          <w:tcPr>
            <w:tcW w:type="dxa" w:w="1930"/>
          </w:tcPr>
          <w:p>
            <w:r/>
            <w:r>
              <w:rPr>
                <w:sz w:val="17"/>
              </w:rPr>
              <w:t>+ full corpus, memories, knowledge graph, quarterly re-audit</w:t>
            </w:r>
          </w:p>
        </w:tc>
        <w:tc>
          <w:tcPr>
            <w:tcW w:type="dxa" w:w="1930"/>
          </w:tcPr>
          <w:p>
            <w:r/>
            <w:r>
              <w:rPr>
                <w:sz w:val="17"/>
              </w:rPr>
              <w:t>bespoke taxonomy, on-prem/VPC options</w:t>
            </w:r>
          </w:p>
        </w:tc>
      </w:tr>
      <w:tr>
        <w:tc>
          <w:tcPr>
            <w:tcW w:type="dxa" w:w="1930"/>
            <w:shd w:val="clear" w:fill="EEF2F7"/>
          </w:tcPr>
          <w:p>
            <w:r/>
            <w:r>
              <w:rPr>
                <w:b/>
                <w:sz w:val="17"/>
              </w:rPr>
              <w:t>Console</w:t>
            </w:r>
          </w:p>
        </w:tc>
        <w:tc>
          <w:tcPr>
            <w:tcW w:type="dxa" w:w="1930"/>
            <w:shd w:val="clear" w:fill="EEF2F7"/>
          </w:tcPr>
          <w:p>
            <w:r/>
            <w:r>
              <w:rPr>
                <w:sz w:val="17"/>
              </w:rPr>
              <w:t>Chat + voice, Daily Brief, KPI bridge, Systems</w:t>
            </w:r>
          </w:p>
        </w:tc>
        <w:tc>
          <w:tcPr>
            <w:tcW w:type="dxa" w:w="1930"/>
            <w:shd w:val="clear" w:fill="EEF2F7"/>
          </w:tcPr>
          <w:p>
            <w:r/>
            <w:r>
              <w:rPr>
                <w:sz w:val="17"/>
              </w:rPr>
              <w:t>+ Dept Desks, Operations/EOS layer, Intelligence charts</w:t>
            </w:r>
          </w:p>
        </w:tc>
        <w:tc>
          <w:tcPr>
            <w:tcW w:type="dxa" w:w="1930"/>
            <w:shd w:val="clear" w:fill="EEF2F7"/>
          </w:tcPr>
          <w:p>
            <w:r/>
            <w:r>
              <w:rPr>
                <w:sz w:val="17"/>
              </w:rPr>
              <w:t>+ Market Radar tuned to their industry, custom instruments</w:t>
            </w:r>
          </w:p>
        </w:tc>
        <w:tc>
          <w:tcPr>
            <w:tcW w:type="dxa" w:w="1930"/>
            <w:shd w:val="clear" w:fill="EEF2F7"/>
          </w:tcPr>
          <w:p>
            <w:r/>
            <w:r>
              <w:rPr>
                <w:sz w:val="17"/>
              </w:rPr>
              <w:t>bespoke surfaces</w:t>
            </w:r>
          </w:p>
        </w:tc>
      </w:tr>
      <w:tr>
        <w:tc>
          <w:tcPr>
            <w:tcW w:type="dxa" w:w="1930"/>
          </w:tcPr>
          <w:p>
            <w:r/>
            <w:r>
              <w:rPr>
                <w:b/>
                <w:sz w:val="17"/>
              </w:rPr>
              <w:t>Integrations</w:t>
            </w:r>
          </w:p>
        </w:tc>
        <w:tc>
          <w:tcPr>
            <w:tcW w:type="dxa" w:w="1930"/>
          </w:tcPr>
          <w:p>
            <w:r/>
            <w:r>
              <w:rPr>
                <w:sz w:val="17"/>
              </w:rPr>
              <w:t>Work-mgmt adapter (ClickUp) read + governed write</w:t>
            </w:r>
          </w:p>
        </w:tc>
        <w:tc>
          <w:tcPr>
            <w:tcW w:type="dxa" w:w="1930"/>
          </w:tcPr>
          <w:p>
            <w:r/>
            <w:r>
              <w:rPr>
                <w:sz w:val="17"/>
              </w:rPr>
              <w:t>+ Google/Microsoft per-user (mail, calendar, drive), EOS/goals layer</w:t>
            </w:r>
          </w:p>
        </w:tc>
        <w:tc>
          <w:tcPr>
            <w:tcW w:type="dxa" w:w="1930"/>
          </w:tcPr>
          <w:p>
            <w:r/>
            <w:r>
              <w:rPr>
                <w:sz w:val="17"/>
              </w:rPr>
              <w:t>+ Telegram/WhatsApp exec gateway, second work-mgmt or BI adapter</w:t>
            </w:r>
          </w:p>
        </w:tc>
        <w:tc>
          <w:tcPr>
            <w:tcW w:type="dxa" w:w="1930"/>
          </w:tcPr>
          <w:p>
            <w:r/>
            <w:r>
              <w:rPr>
                <w:sz w:val="17"/>
              </w:rPr>
              <w:t>any (ERP/CRM/data warehouse), API access</w:t>
            </w:r>
          </w:p>
        </w:tc>
      </w:tr>
      <w:tr>
        <w:tc>
          <w:tcPr>
            <w:tcW w:type="dxa" w:w="1930"/>
            <w:shd w:val="clear" w:fill="EEF2F7"/>
          </w:tcPr>
          <w:p>
            <w:r/>
            <w:r>
              <w:rPr>
                <w:b/>
                <w:sz w:val="17"/>
              </w:rPr>
              <w:t>Agent fleet</w:t>
            </w:r>
          </w:p>
        </w:tc>
        <w:tc>
          <w:tcPr>
            <w:tcW w:type="dxa" w:w="1930"/>
            <w:shd w:val="clear" w:fill="EEF2F7"/>
          </w:tcPr>
          <w:p>
            <w:r/>
            <w:r>
              <w:rPr>
                <w:sz w:val="17"/>
              </w:rPr>
              <w:t>3 agents: CHRONICLE, FILER, BRIEF</w:t>
            </w:r>
          </w:p>
        </w:tc>
        <w:tc>
          <w:tcPr>
            <w:tcW w:type="dxa" w:w="1930"/>
            <w:shd w:val="clear" w:fill="EEF2F7"/>
          </w:tcPr>
          <w:p>
            <w:r/>
            <w:r>
              <w:rPr>
                <w:sz w:val="17"/>
              </w:rPr>
              <w:t>6: + TRUTH (drift), SCRIBE, capacity watch</w:t>
            </w:r>
          </w:p>
        </w:tc>
        <w:tc>
          <w:tcPr>
            <w:tcW w:type="dxa" w:w="1930"/>
            <w:shd w:val="clear" w:fill="EEF2F7"/>
          </w:tcPr>
          <w:p>
            <w:r/>
            <w:r>
              <w:rPr>
                <w:sz w:val="17"/>
              </w:rPr>
              <w:t>9+: + SAGE-W/M evaluations, AURORA exec gateway brief, radar agent</w:t>
            </w:r>
          </w:p>
        </w:tc>
        <w:tc>
          <w:tcPr>
            <w:tcW w:type="dxa" w:w="1930"/>
            <w:shd w:val="clear" w:fill="EEF2F7"/>
          </w:tcPr>
          <w:p>
            <w:r/>
            <w:r>
              <w:rPr>
                <w:sz w:val="17"/>
              </w:rPr>
              <w:t>unlimited, incl. client-specific custom agents</w:t>
            </w:r>
          </w:p>
        </w:tc>
      </w:tr>
      <w:tr>
        <w:tc>
          <w:tcPr>
            <w:tcW w:type="dxa" w:w="1930"/>
          </w:tcPr>
          <w:p>
            <w:r/>
            <w:r>
              <w:rPr>
                <w:b/>
                <w:sz w:val="17"/>
              </w:rPr>
              <w:t>Governance</w:t>
            </w:r>
          </w:p>
        </w:tc>
        <w:tc>
          <w:tcPr>
            <w:tcW w:type="dxa" w:w="1930"/>
          </w:tcPr>
          <w:p>
            <w:r/>
            <w:r>
              <w:rPr>
                <w:sz w:val="17"/>
              </w:rPr>
              <w:t>Audit log, no-delete constitution, RBAC (2 roles)</w:t>
            </w:r>
          </w:p>
        </w:tc>
        <w:tc>
          <w:tcPr>
            <w:tcW w:type="dxa" w:w="1930"/>
          </w:tcPr>
          <w:p>
            <w:r/>
            <w:r>
              <w:rPr>
                <w:sz w:val="17"/>
              </w:rPr>
              <w:t>+ expanded roles, quarterly governance report</w:t>
            </w:r>
          </w:p>
        </w:tc>
        <w:tc>
          <w:tcPr>
            <w:tcW w:type="dxa" w:w="1930"/>
          </w:tcPr>
          <w:p>
            <w:r/>
            <w:r>
              <w:rPr>
                <w:sz w:val="17"/>
              </w:rPr>
              <w:t>+ AI governance pack (policies, change-control, board report)</w:t>
            </w:r>
          </w:p>
        </w:tc>
        <w:tc>
          <w:tcPr>
            <w:tcW w:type="dxa" w:w="1930"/>
          </w:tcPr>
          <w:p>
            <w:r/>
            <w:r>
              <w:rPr>
                <w:sz w:val="17"/>
              </w:rPr>
              <w:t>+ compliance mapping (ISO/SOC2/sector), SSO/SCIM</w:t>
            </w:r>
          </w:p>
        </w:tc>
      </w:tr>
      <w:tr>
        <w:tc>
          <w:tcPr>
            <w:tcW w:type="dxa" w:w="1930"/>
            <w:shd w:val="clear" w:fill="EEF2F7"/>
          </w:tcPr>
          <w:p>
            <w:r/>
            <w:r>
              <w:rPr>
                <w:b/>
                <w:sz w:val="17"/>
              </w:rPr>
              <w:t>Success layer</w:t>
            </w:r>
          </w:p>
        </w:tc>
        <w:tc>
          <w:tcPr>
            <w:tcW w:type="dxa" w:w="1930"/>
            <w:shd w:val="clear" w:fill="EEF2F7"/>
          </w:tcPr>
          <w:p>
            <w:r/>
            <w:r>
              <w:rPr>
                <w:sz w:val="17"/>
              </w:rPr>
              <w:t>Onboarding workshop + 30-day check</w:t>
            </w:r>
          </w:p>
        </w:tc>
        <w:tc>
          <w:tcPr>
            <w:tcW w:type="dxa" w:w="1930"/>
            <w:shd w:val="clear" w:fill="EEF2F7"/>
          </w:tcPr>
          <w:p>
            <w:r/>
            <w:r>
              <w:rPr>
                <w:sz w:val="17"/>
              </w:rPr>
              <w:t>+ quarterly business review, prompt library, train-the-trainer</w:t>
            </w:r>
          </w:p>
        </w:tc>
        <w:tc>
          <w:tcPr>
            <w:tcW w:type="dxa" w:w="1930"/>
            <w:shd w:val="clear" w:fill="EEF2F7"/>
          </w:tcPr>
          <w:p>
            <w:r/>
            <w:r>
              <w:rPr>
                <w:sz w:val="17"/>
              </w:rPr>
              <w:t>+ monthly optimization sprint, named success manager</w:t>
            </w:r>
          </w:p>
        </w:tc>
        <w:tc>
          <w:tcPr>
            <w:tcW w:type="dxa" w:w="1930"/>
            <w:shd w:val="clear" w:fill="EEF2F7"/>
          </w:tcPr>
          <w:p>
            <w:r/>
            <w:r>
              <w:rPr>
                <w:sz w:val="17"/>
              </w:rPr>
              <w:t>embedded engineer option</w:t>
            </w:r>
          </w:p>
        </w:tc>
      </w:tr>
    </w:tbl>
    <w:p>
      <w:pPr>
        <w:spacing w:after="40"/>
      </w:pPr>
    </w:p>
    <w:p>
      <w:r>
        <w:t>Rules that keep this sellable and deliverable:</w:t>
      </w:r>
    </w:p>
    <w:p>
      <w:pPr>
        <w:pStyle w:val="ListBullet"/>
      </w:pPr>
      <w:r>
        <w:rPr>
          <w:b/>
        </w:rPr>
        <w:t>The Blueprint is a mandatory prerequisite</w:t>
      </w:r>
      <w:r>
        <w:t xml:space="preserve"> (or bundled: "ARIA Launch Pack" = Blueprint + Standard at €40K, credit the Blueprint fee — this honors the existing risk-reversal promise of crediting Blueprint fees toward future work).</w:t>
      </w:r>
    </w:p>
    <w:p>
      <w:pPr>
        <w:pStyle w:val="ListBullet"/>
      </w:pPr>
      <w:r>
        <w:rPr>
          <w:b/>
        </w:rPr>
        <w:t>Maturity gating from the Blueprint:</w:t>
      </w:r>
      <w:r>
        <w:t xml:space="preserve"> Early overall maturity → Standard only (don't sell Premium to a company that can't absorb it — protects delivery and reputation); Developing → Standard/Pro; Established → any tier.</w:t>
      </w:r>
    </w:p>
    <w:p>
      <w:pPr>
        <w:pStyle w:val="ListBullet"/>
      </w:pPr>
      <w:r>
        <w:t>Annual retainer prepay = 2 months free (cash-flow lever, matches the 100%-upfront culture of the Blueprint).</w:t>
      </w:r>
    </w:p>
    <w:p>
      <w:pPr>
        <w:pStyle w:val="ListBullet"/>
      </w:pPr>
      <w:r>
        <w:t>Retainer includes a model-spend fair-use band with overage pass-through — never eat unbounded token costs.</w:t>
      </w:r>
    </w:p>
    <w:p>
      <w:pPr>
        <w:pStyle w:val="Heading2"/>
      </w:pPr>
      <w:r>
        <w:t>4. Blueprint ↔ ARIA: the productized handoff</w:t>
      </w:r>
    </w:p>
    <w:p>
      <w:r>
        <w:t xml:space="preserve">Make the handoff a literal artifact: the </w:t>
      </w:r>
      <w:r>
        <w:rPr>
          <w:b/>
        </w:rPr>
        <w:t>ARIA Build Sheet</w:t>
      </w:r>
      <w:r>
        <w:t xml:space="preserve"> — a new final section (or addendum) generated by a </w:t>
      </w:r>
      <w:r>
        <w:rPr>
          <w:rFonts w:ascii="Consolas" w:hAnsi="Consolas"/>
          <w:color w:val="8A2E2E"/>
          <w:sz w:val="19"/>
        </w:rPr>
        <w:t>blueprint-aria-spec</w:t>
      </w:r>
      <w:r>
        <w:t xml:space="preserve"> skill added to skills-v4, consuming the intake dossier + maturity snapshot + opportunity map and emitting a machine-readable tenant spec:</w:t>
      </w:r>
    </w:p>
    <w:p>
      <w:pPr>
        <w:spacing w:after="0"/>
        <w:ind w:left="432"/>
      </w:pPr>
      <w:r>
        <w:rPr>
          <w:rFonts w:ascii="Consolas" w:hAnsi="Consolas"/>
          <w:color w:val="555F6E"/>
          <w:sz w:val="17"/>
        </w:rPr>
        <w:t>tenant:</w:t>
      </w:r>
    </w:p>
    <w:p>
      <w:pPr>
        <w:spacing w:after="0"/>
        <w:ind w:left="432"/>
      </w:pPr>
      <w:r>
        <w:rPr>
          <w:rFonts w:ascii="Consolas" w:hAnsi="Consolas"/>
          <w:color w:val="555F6E"/>
          <w:sz w:val="17"/>
        </w:rPr>
        <w:t xml:space="preserve">  name, brand: {logo, colors, persona_name, language}</w:t>
      </w:r>
    </w:p>
    <w:p>
      <w:pPr>
        <w:spacing w:after="0"/>
        <w:ind w:left="432"/>
      </w:pPr>
      <w:r>
        <w:rPr>
          <w:rFonts w:ascii="Consolas" w:hAnsi="Consolas"/>
          <w:color w:val="555F6E"/>
          <w:sz w:val="17"/>
        </w:rPr>
        <w:t xml:space="preserve">  tier_recommendation: standard|pro|premium|custom + rationale</w:t>
      </w:r>
    </w:p>
    <w:p>
      <w:pPr>
        <w:spacing w:after="0"/>
        <w:ind w:left="432"/>
      </w:pPr>
      <w:r>
        <w:rPr>
          <w:rFonts w:ascii="Consolas" w:hAnsi="Consolas"/>
          <w:color w:val="555F6E"/>
          <w:sz w:val="17"/>
        </w:rPr>
        <w:t xml:space="preserve">  org: {owner, leaders[], departments[], name→dept map}   # replaces DEPT_OF</w:t>
      </w:r>
    </w:p>
    <w:p>
      <w:pPr>
        <w:spacing w:after="0"/>
        <w:ind w:left="432"/>
      </w:pPr>
      <w:r>
        <w:rPr>
          <w:rFonts w:ascii="Consolas" w:hAnsi="Consolas"/>
          <w:color w:val="555F6E"/>
          <w:sz w:val="17"/>
        </w:rPr>
        <w:t xml:space="preserve">  work_mgmt: {system: clickup, workspace_id, spaces, rocks_convention, vto_ref}</w:t>
      </w:r>
    </w:p>
    <w:p>
      <w:pPr>
        <w:spacing w:after="0"/>
        <w:ind w:left="432"/>
      </w:pPr>
      <w:r>
        <w:rPr>
          <w:rFonts w:ascii="Consolas" w:hAnsi="Consolas"/>
          <w:color w:val="555F6E"/>
          <w:sz w:val="17"/>
        </w:rPr>
        <w:t xml:space="preserve">  google_or_ms: {domain, scopes}</w:t>
      </w:r>
    </w:p>
    <w:p>
      <w:pPr>
        <w:spacing w:after="0"/>
        <w:ind w:left="432"/>
      </w:pPr>
      <w:r>
        <w:rPr>
          <w:rFonts w:ascii="Consolas" w:hAnsi="Consolas"/>
          <w:color w:val="555F6E"/>
          <w:sz w:val="17"/>
        </w:rPr>
        <w:t xml:space="preserve">  brain_seed: {source_systems, doc_inventory, restricted_zones, taxonomy_overrides}</w:t>
      </w:r>
    </w:p>
    <w:p>
      <w:pPr>
        <w:spacing w:after="0"/>
        <w:ind w:left="432"/>
      </w:pPr>
      <w:r>
        <w:rPr>
          <w:rFonts w:ascii="Consolas" w:hAnsi="Consolas"/>
          <w:color w:val="555F6E"/>
          <w:sz w:val="17"/>
        </w:rPr>
        <w:t xml:space="preserve">  agents: [chronicle, filer, brief, truth, ...]           # from opportunity map</w:t>
      </w:r>
    </w:p>
    <w:p>
      <w:pPr>
        <w:spacing w:after="0"/>
        <w:ind w:left="432"/>
      </w:pPr>
      <w:r>
        <w:rPr>
          <w:rFonts w:ascii="Consolas" w:hAnsi="Consolas"/>
          <w:color w:val="555F6E"/>
          <w:sz w:val="17"/>
        </w:rPr>
        <w:t xml:space="preserve">  cadence: {brief_time, truth_time, weekly_digest_day, eval_schedule}</w:t>
      </w:r>
    </w:p>
    <w:p>
      <w:pPr>
        <w:spacing w:after="0"/>
        <w:ind w:left="432"/>
      </w:pPr>
      <w:r>
        <w:rPr>
          <w:rFonts w:ascii="Consolas" w:hAnsi="Consolas"/>
          <w:color w:val="555F6E"/>
          <w:sz w:val="17"/>
        </w:rPr>
        <w:t xml:space="preserve">  gates: {sensitivity_rules, send_protocols, sealed_topics}</w:t>
      </w:r>
    </w:p>
    <w:p>
      <w:pPr>
        <w:spacing w:after="40"/>
      </w:pPr>
    </w:p>
    <w:p>
      <w:r>
        <w:t xml:space="preserve">Sales motion: Blueprint delivery call → walk the Opportunity Map → "three of your top five opportunities are ARIA agents; here is your Build Sheet and your tier; we can be live in N weeks." The consulting team's delivery estimate, engineering scoping, and the client's onboarding form are all THE SAME DOCUMENT. This is the delivery-optimization loop Steven asked for: </w:t>
      </w:r>
      <w:r>
        <w:rPr>
          <w:b/>
        </w:rPr>
        <w:t>diagnostic output = build input.</w:t>
      </w:r>
    </w:p>
    <w:p>
      <w:r>
        <w:br w:type="page"/>
      </w:r>
    </w:p>
    <w:p>
      <w:pPr>
        <w:pStyle w:val="Heading1"/>
      </w:pPr>
      <w:r>
        <w:t>PART III — Engineering: From Internal Tool to Replicable Product</w:t>
      </w:r>
    </w:p>
    <w:p>
      <w:pPr>
        <w:pStyle w:val="Heading2"/>
      </w:pPr>
      <w:r>
        <w:t>1. Architecture decision: Foundry (instance-per-client), not pooled multi-tenancy</w:t>
      </w:r>
    </w:p>
    <w:p>
      <w:r>
        <w:rPr>
          <w:b/>
        </w:rPr>
        <w:t>Recommendation: one golden template + isolated instance per client</w:t>
      </w:r>
      <w:r>
        <w:t>, operated from a small central control plane ("the Foundry"). Rationale:</w:t>
      </w:r>
    </w:p>
    <w:p>
      <w:pPr>
        <w:pStyle w:val="ListBullet"/>
      </w:pPr>
      <w:r>
        <w:t>The current architecture is 80% of the way to templatable and 5% of the way to pooled multi-tenant (no org_id anywhere; build-time baked brain; compile-time config). Instance-per-client ships in weeks; a pooled re-architecture burns the quarter.</w:t>
      </w:r>
    </w:p>
    <w:p>
      <w:pPr>
        <w:pStyle w:val="ListBullet"/>
      </w:pPr>
      <w:r>
        <w:rPr>
          <w:b/>
        </w:rPr>
        <w:t>Isolation is a selling point</w:t>
      </w:r>
      <w:r>
        <w:t xml:space="preserve"> at this price tier: "your own database, your own AI keys, your own deployment, EU region — your data never shares a schema with anyone." Enterprise-adjacent buyers (the €10M–€100M wedge) pay premiums for this.</w:t>
      </w:r>
    </w:p>
    <w:p>
      <w:pPr>
        <w:pStyle w:val="ListBullet"/>
      </w:pPr>
      <w:r>
        <w:t>Blast radius: one client's incident never touches another. One client can pin versions (Custom) while others ride the release train.</w:t>
      </w:r>
    </w:p>
    <w:p>
      <w:pPr>
        <w:pStyle w:val="ListBullet"/>
      </w:pPr>
      <w:r>
        <w:t>Per-instance cost (~one Supabase project + Vercel project + metered API keys) is trivial vs. €2.5K+/mo retainers.</w:t>
      </w:r>
    </w:p>
    <w:p>
      <w:pPr>
        <w:pStyle w:val="ListBullet"/>
      </w:pPr>
      <w:r>
        <w:t>Revisit pooled multi-tenancy only if/when a self-serve, lower-price tier (€500/mo SMB) becomes strategic — different product, different year.</w:t>
      </w:r>
    </w:p>
    <w:p>
      <w:r>
        <w:rPr>
          <w:b/>
        </w:rPr>
        <w:t>The Foundry control plane</w:t>
      </w:r>
      <w:r>
        <w:t xml:space="preserve"> (internal, minimal): a registry of tenants (config packs in a private repo), a provisioning script (create Supabase project → run schema → create Vercel project → set env → deploy → run smoke tests), a fleet host per tenant, version/release management (golden repo tags; instances upgrade by PR), and a health dashboard (each instance already exposes </w:t>
      </w:r>
      <w:r>
        <w:rPr>
          <w:rFonts w:ascii="Consolas" w:hAnsi="Consolas"/>
          <w:color w:val="8A2E2E"/>
          <w:sz w:val="19"/>
        </w:rPr>
        <w:t>/api/aria/health</w:t>
      </w:r>
      <w:r>
        <w:t xml:space="preserve"> — aggregate it).</w:t>
      </w:r>
    </w:p>
    <w:p>
      <w:pPr>
        <w:pStyle w:val="Heading2"/>
      </w:pPr>
      <w:r>
        <w:t>2. The de-hardcoding program (the actual engineering backlog)</w:t>
      </w:r>
    </w:p>
    <w:p>
      <w:r>
        <w:t>Convert every enumerated single-tenant assumption into the Tenant Config Pack:</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1B2A4A"/>
          </w:tcPr>
          <w:p>
            <w:r>
              <w:rPr>
                <w:color w:val="FFFFFF"/>
              </w:rPr>
            </w:r>
            <w:r>
              <w:rPr>
                <w:b/>
                <w:color w:val="FFFFFF"/>
                <w:sz w:val="19"/>
              </w:rPr>
              <w:t>#</w:t>
            </w:r>
          </w:p>
        </w:tc>
        <w:tc>
          <w:tcPr>
            <w:tcW w:type="dxa" w:w="3216"/>
            <w:shd w:val="clear" w:fill="1B2A4A"/>
          </w:tcPr>
          <w:p>
            <w:r>
              <w:rPr>
                <w:color w:val="FFFFFF"/>
              </w:rPr>
            </w:r>
            <w:r>
              <w:rPr>
                <w:b/>
                <w:color w:val="FFFFFF"/>
                <w:sz w:val="19"/>
              </w:rPr>
              <w:t>Today</w:t>
            </w:r>
          </w:p>
        </w:tc>
        <w:tc>
          <w:tcPr>
            <w:tcW w:type="dxa" w:w="3216"/>
            <w:shd w:val="clear" w:fill="1B2A4A"/>
          </w:tcPr>
          <w:p>
            <w:r>
              <w:rPr>
                <w:color w:val="FFFFFF"/>
              </w:rPr>
            </w:r>
            <w:r>
              <w:rPr>
                <w:b/>
                <w:color w:val="FFFFFF"/>
                <w:sz w:val="19"/>
              </w:rPr>
              <w:t>Becomes</w:t>
            </w:r>
          </w:p>
        </w:tc>
      </w:tr>
      <w:tr>
        <w:tc>
          <w:tcPr>
            <w:tcW w:type="dxa" w:w="3216"/>
          </w:tcPr>
          <w:p>
            <w:r/>
            <w:r>
              <w:rPr>
                <w:sz w:val="19"/>
              </w:rPr>
              <w:t>1</w:t>
            </w:r>
          </w:p>
        </w:tc>
        <w:tc>
          <w:tcPr>
            <w:tcW w:type="dxa" w:w="3216"/>
          </w:tcPr>
          <w:p>
            <w:r/>
            <w:r>
              <w:rPr>
                <w:rFonts w:ascii="Consolas" w:hAnsi="Consolas"/>
                <w:color w:val="8A2E2E"/>
                <w:sz w:val="19"/>
              </w:rPr>
              <w:t>company.ts</w:t>
            </w:r>
            <w:r>
              <w:rPr>
                <w:sz w:val="19"/>
              </w:rPr>
              <w:t xml:space="preserve"> (identity, leaders, EOS numbers, memories)</w:t>
            </w:r>
          </w:p>
        </w:tc>
        <w:tc>
          <w:tcPr>
            <w:tcW w:type="dxa" w:w="3216"/>
          </w:tcPr>
          <w:p>
            <w:r/>
            <w:r>
              <w:rPr>
                <w:rFonts w:ascii="Consolas" w:hAnsi="Consolas"/>
                <w:color w:val="8A2E2E"/>
                <w:sz w:val="19"/>
              </w:rPr>
              <w:t>tenant.yaml</w:t>
            </w:r>
            <w:r>
              <w:rPr>
                <w:sz w:val="19"/>
              </w:rPr>
              <w:t xml:space="preserve"> org block + Supabase </w:t>
            </w:r>
            <w:r>
              <w:rPr>
                <w:rFonts w:ascii="Consolas" w:hAnsi="Consolas"/>
                <w:color w:val="8A2E2E"/>
                <w:sz w:val="19"/>
              </w:rPr>
              <w:t>company_profile</w:t>
            </w:r>
            <w:r>
              <w:rPr>
                <w:sz w:val="19"/>
              </w:rPr>
              <w:t xml:space="preserve"> table; knowledge digest built from DB</w:t>
            </w:r>
          </w:p>
        </w:tc>
      </w:tr>
      <w:tr>
        <w:tc>
          <w:tcPr>
            <w:tcW w:type="dxa" w:w="3216"/>
            <w:shd w:val="clear" w:fill="EEF2F7"/>
          </w:tcPr>
          <w:p>
            <w:r/>
            <w:r>
              <w:rPr>
                <w:sz w:val="19"/>
              </w:rPr>
              <w:t>2</w:t>
            </w:r>
          </w:p>
        </w:tc>
        <w:tc>
          <w:tcPr>
            <w:tcW w:type="dxa" w:w="3216"/>
            <w:shd w:val="clear" w:fill="EEF2F7"/>
          </w:tcPr>
          <w:p>
            <w:r/>
            <w:r>
              <w:rPr>
                <w:rFonts w:ascii="Consolas" w:hAnsi="Consolas"/>
                <w:color w:val="8A2E2E"/>
                <w:sz w:val="19"/>
              </w:rPr>
              <w:t>EOS_SPACE_ID</w:t>
            </w:r>
            <w:r>
              <w:rPr>
                <w:sz w:val="19"/>
              </w:rPr>
              <w:t xml:space="preserve">, </w:t>
            </w:r>
            <w:r>
              <w:rPr>
                <w:rFonts w:ascii="Consolas" w:hAnsi="Consolas"/>
                <w:color w:val="8A2E2E"/>
                <w:sz w:val="19"/>
              </w:rPr>
              <w:t>VTO_DOC_ID</w:t>
            </w:r>
            <w:r>
              <w:rPr>
                <w:sz w:val="19"/>
              </w:rPr>
              <w:t xml:space="preserve">, team ID in </w:t>
            </w:r>
            <w:r>
              <w:rPr>
                <w:rFonts w:ascii="Consolas" w:hAnsi="Consolas"/>
                <w:color w:val="8A2E2E"/>
                <w:sz w:val="19"/>
              </w:rPr>
              <w:t>eos.ts</w:t>
            </w:r>
          </w:p>
        </w:tc>
        <w:tc>
          <w:tcPr>
            <w:tcW w:type="dxa" w:w="3216"/>
            <w:shd w:val="clear" w:fill="EEF2F7"/>
          </w:tcPr>
          <w:p>
            <w:r/>
            <w:r>
              <w:rPr>
                <w:sz w:val="19"/>
              </w:rPr>
              <w:t xml:space="preserve">config </w:t>
            </w:r>
            <w:r>
              <w:rPr>
                <w:rFonts w:ascii="Consolas" w:hAnsi="Consolas"/>
                <w:color w:val="8A2E2E"/>
                <w:sz w:val="19"/>
              </w:rPr>
              <w:t>work_mgmt</w:t>
            </w:r>
            <w:r>
              <w:rPr>
                <w:sz w:val="19"/>
              </w:rPr>
              <w:t xml:space="preserve"> block</w:t>
            </w:r>
          </w:p>
        </w:tc>
      </w:tr>
      <w:tr>
        <w:tc>
          <w:tcPr>
            <w:tcW w:type="dxa" w:w="3216"/>
          </w:tcPr>
          <w:p>
            <w:r/>
            <w:r>
              <w:rPr>
                <w:sz w:val="19"/>
              </w:rPr>
              <w:t>3</w:t>
            </w:r>
          </w:p>
        </w:tc>
        <w:tc>
          <w:tcPr>
            <w:tcW w:type="dxa" w:w="3216"/>
          </w:tcPr>
          <w:p>
            <w:r/>
            <w:r>
              <w:rPr>
                <w:rFonts w:ascii="Consolas" w:hAnsi="Consolas"/>
                <w:color w:val="8A2E2E"/>
                <w:sz w:val="19"/>
              </w:rPr>
              <w:t>DEPT_OF</w:t>
            </w:r>
            <w:r>
              <w:rPr>
                <w:sz w:val="19"/>
              </w:rPr>
              <w:t xml:space="preserve"> name map + </w:t>
            </w:r>
            <w:r>
              <w:rPr>
                <w:rFonts w:ascii="Consolas" w:hAnsi="Consolas"/>
                <w:color w:val="8A2E2E"/>
                <w:sz w:val="19"/>
              </w:rPr>
              <w:t>OFFER_KEYWORDS</w:t>
            </w:r>
            <w:r>
              <w:rPr>
                <w:sz w:val="19"/>
              </w:rPr>
              <w:t xml:space="preserve"> in </w:t>
            </w:r>
            <w:r>
              <w:rPr>
                <w:rFonts w:ascii="Consolas" w:hAnsi="Consolas"/>
                <w:color w:val="8A2E2E"/>
                <w:sz w:val="19"/>
              </w:rPr>
              <w:t>capacity.ts</w:t>
            </w:r>
          </w:p>
        </w:tc>
        <w:tc>
          <w:tcPr>
            <w:tcW w:type="dxa" w:w="3216"/>
          </w:tcPr>
          <w:p>
            <w:r/>
            <w:r>
              <w:rPr>
                <w:sz w:val="19"/>
              </w:rPr>
              <w:t>config org map + per-tenant keyword rules (admin-editable)</w:t>
            </w:r>
          </w:p>
        </w:tc>
      </w:tr>
      <w:tr>
        <w:tc>
          <w:tcPr>
            <w:tcW w:type="dxa" w:w="3216"/>
            <w:shd w:val="clear" w:fill="EEF2F7"/>
          </w:tcPr>
          <w:p>
            <w:r/>
            <w:r>
              <w:rPr>
                <w:sz w:val="19"/>
              </w:rPr>
              <w:t>4</w:t>
            </w:r>
          </w:p>
        </w:tc>
        <w:tc>
          <w:tcPr>
            <w:tcW w:type="dxa" w:w="3216"/>
            <w:shd w:val="clear" w:fill="EEF2F7"/>
          </w:tcPr>
          <w:p>
            <w:r/>
            <w:r>
              <w:rPr>
                <w:rFonts w:ascii="Consolas" w:hAnsi="Consolas"/>
                <w:color w:val="8A2E2E"/>
                <w:sz w:val="19"/>
              </w:rPr>
              <w:t>departments.ts</w:t>
            </w:r>
            <w:r>
              <w:rPr>
                <w:sz w:val="19"/>
              </w:rPr>
              <w:t xml:space="preserve">, </w:t>
            </w:r>
            <w:r>
              <w:rPr>
                <w:rFonts w:ascii="Consolas" w:hAnsi="Consolas"/>
                <w:color w:val="8A2E2E"/>
                <w:sz w:val="19"/>
              </w:rPr>
              <w:t>DEPT_ROCKS_LIST</w:t>
            </w:r>
            <w:r>
              <w:rPr>
                <w:sz w:val="19"/>
              </w:rPr>
              <w:t xml:space="preserve">, </w:t>
            </w:r>
            <w:r>
              <w:rPr>
                <w:rFonts w:ascii="Consolas" w:hAnsi="Consolas"/>
                <w:color w:val="8A2E2E"/>
                <w:sz w:val="19"/>
              </w:rPr>
              <w:t>ceo-week.ts</w:t>
            </w:r>
          </w:p>
        </w:tc>
        <w:tc>
          <w:tcPr>
            <w:tcW w:type="dxa" w:w="3216"/>
            <w:shd w:val="clear" w:fill="EEF2F7"/>
          </w:tcPr>
          <w:p>
            <w:r/>
            <w:r>
              <w:rPr>
                <w:sz w:val="19"/>
              </w:rPr>
              <w:t>config + DB; CEO week becomes a templated "Operating Week" per owner</w:t>
            </w:r>
          </w:p>
        </w:tc>
      </w:tr>
      <w:tr>
        <w:tc>
          <w:tcPr>
            <w:tcW w:type="dxa" w:w="3216"/>
          </w:tcPr>
          <w:p>
            <w:r/>
            <w:r>
              <w:rPr>
                <w:sz w:val="19"/>
              </w:rPr>
              <w:t>5</w:t>
            </w:r>
          </w:p>
        </w:tc>
        <w:tc>
          <w:tcPr>
            <w:tcW w:type="dxa" w:w="3216"/>
          </w:tcPr>
          <w:p>
            <w:r/>
            <w:r>
              <w:rPr>
                <w:sz w:val="19"/>
              </w:rPr>
              <w:t>Persona hardcodes ("AIAssist.bg", "Steven")</w:t>
            </w:r>
          </w:p>
        </w:tc>
        <w:tc>
          <w:tcPr>
            <w:tcW w:type="dxa" w:w="3216"/>
          </w:tcPr>
          <w:p>
            <w:r/>
            <w:r>
              <w:rPr>
                <w:sz w:val="19"/>
              </w:rPr>
              <w:t>persona template with tenant variables; client-named assistant option</w:t>
            </w:r>
          </w:p>
        </w:tc>
      </w:tr>
      <w:tr>
        <w:tc>
          <w:tcPr>
            <w:tcW w:type="dxa" w:w="3216"/>
            <w:shd w:val="clear" w:fill="EEF2F7"/>
          </w:tcPr>
          <w:p>
            <w:r/>
            <w:r>
              <w:rPr>
                <w:sz w:val="19"/>
              </w:rPr>
              <w:t>6</w:t>
            </w:r>
          </w:p>
        </w:tc>
        <w:tc>
          <w:tcPr>
            <w:tcW w:type="dxa" w:w="3216"/>
            <w:shd w:val="clear" w:fill="EEF2F7"/>
          </w:tcPr>
          <w:p>
            <w:r/>
            <w:r>
              <w:rPr>
                <w:sz w:val="19"/>
              </w:rPr>
              <w:t>Single Anthropic/ClickUp/Firecrawl/ElevenLabs keys</w:t>
            </w:r>
          </w:p>
        </w:tc>
        <w:tc>
          <w:tcPr>
            <w:tcW w:type="dxa" w:w="3216"/>
            <w:shd w:val="clear" w:fill="EEF2F7"/>
          </w:tcPr>
          <w:p>
            <w:r/>
            <w:r>
              <w:rPr>
                <w:sz w:val="19"/>
              </w:rPr>
              <w:t>per-tenant env; ClickUp via per-tenant token (correct write attribution)</w:t>
            </w:r>
          </w:p>
        </w:tc>
      </w:tr>
      <w:tr>
        <w:tc>
          <w:tcPr>
            <w:tcW w:type="dxa" w:w="3216"/>
          </w:tcPr>
          <w:p>
            <w:r/>
            <w:r>
              <w:rPr>
                <w:sz w:val="19"/>
              </w:rPr>
              <w:t>7</w:t>
            </w:r>
          </w:p>
        </w:tc>
        <w:tc>
          <w:tcPr>
            <w:tcW w:type="dxa" w:w="3216"/>
          </w:tcPr>
          <w:p>
            <w:r/>
            <w:r>
              <w:rPr>
                <w:rFonts w:ascii="Consolas" w:hAnsi="Consolas"/>
                <w:color w:val="8A2E2E"/>
                <w:sz w:val="19"/>
              </w:rPr>
              <w:t>products.ts</w:t>
            </w:r>
            <w:r>
              <w:rPr>
                <w:sz w:val="19"/>
              </w:rPr>
              <w:t xml:space="preserve">, </w:t>
            </w:r>
            <w:r>
              <w:rPr>
                <w:rFonts w:ascii="Consolas" w:hAnsi="Consolas"/>
                <w:color w:val="8A2E2E"/>
                <w:sz w:val="19"/>
              </w:rPr>
              <w:t>operations.ts</w:t>
            </w:r>
            <w:r>
              <w:rPr>
                <w:sz w:val="19"/>
              </w:rPr>
              <w:t xml:space="preserve">, </w:t>
            </w:r>
            <w:r>
              <w:rPr>
                <w:rFonts w:ascii="Consolas" w:hAnsi="Consolas"/>
                <w:color w:val="8A2E2E"/>
                <w:sz w:val="19"/>
              </w:rPr>
              <w:t>workflows.ts</w:t>
            </w:r>
            <w:r>
              <w:rPr>
                <w:sz w:val="19"/>
              </w:rPr>
              <w:t xml:space="preserve"> (incl. fake lastRun timestamps)</w:t>
            </w:r>
          </w:p>
        </w:tc>
        <w:tc>
          <w:tcPr>
            <w:tcW w:type="dxa" w:w="3216"/>
          </w:tcPr>
          <w:p>
            <w:r/>
            <w:r>
              <w:rPr>
                <w:sz w:val="19"/>
              </w:rPr>
              <w:t>DB-driven; fleet page reads real run telemetry from the fleet host</w:t>
            </w:r>
          </w:p>
        </w:tc>
      </w:tr>
      <w:tr>
        <w:tc>
          <w:tcPr>
            <w:tcW w:type="dxa" w:w="3216"/>
            <w:shd w:val="clear" w:fill="EEF2F7"/>
          </w:tcPr>
          <w:p>
            <w:r/>
            <w:r>
              <w:rPr>
                <w:sz w:val="19"/>
              </w:rPr>
              <w:t>8</w:t>
            </w:r>
          </w:p>
        </w:tc>
        <w:tc>
          <w:tcPr>
            <w:tcW w:type="dxa" w:w="3216"/>
            <w:shd w:val="clear" w:fill="EEF2F7"/>
          </w:tcPr>
          <w:p>
            <w:r/>
            <w:r>
              <w:rPr>
                <w:sz w:val="19"/>
              </w:rPr>
              <w:t xml:space="preserve">Brain = local sibling dir, baked </w:t>
            </w:r>
            <w:r>
              <w:rPr>
                <w:rFonts w:ascii="Consolas" w:hAnsi="Consolas"/>
                <w:color w:val="8A2E2E"/>
                <w:sz w:val="19"/>
              </w:rPr>
              <w:t>brain-tree.json</w:t>
            </w:r>
            <w:r>
              <w:rPr>
                <w:sz w:val="19"/>
              </w:rPr>
              <w:t xml:space="preserve"> at build</w:t>
            </w:r>
          </w:p>
        </w:tc>
        <w:tc>
          <w:tcPr>
            <w:tcW w:type="dxa" w:w="3216"/>
            <w:shd w:val="clear" w:fill="EEF2F7"/>
          </w:tcPr>
          <w:p>
            <w:r/>
            <w:r>
              <w:rPr>
                <w:b/>
                <w:sz w:val="19"/>
              </w:rPr>
              <w:t>cloud-native vault</w:t>
            </w:r>
            <w:r>
              <w:rPr>
                <w:sz w:val="19"/>
              </w:rPr>
              <w:t xml:space="preserve">: </w:t>
            </w:r>
            <w:r>
              <w:rPr>
                <w:rFonts w:ascii="Consolas" w:hAnsi="Consolas"/>
                <w:color w:val="8A2E2E"/>
                <w:sz w:val="19"/>
              </w:rPr>
              <w:t>brain_documents</w:t>
            </w:r>
            <w:r>
              <w:rPr>
                <w:sz w:val="19"/>
              </w:rPr>
              <w:t xml:space="preserve"> Supabase mirror becomes primary in production; scan runs as a scheduled job, not a build step; governed writes via the existing mutator against cloud storage; owner can still hold a local/OneDrive replica (export = trust story)</w:t>
            </w:r>
          </w:p>
        </w:tc>
      </w:tr>
      <w:tr>
        <w:tc>
          <w:tcPr>
            <w:tcW w:type="dxa" w:w="3216"/>
          </w:tcPr>
          <w:p>
            <w:r/>
            <w:r>
              <w:rPr>
                <w:sz w:val="19"/>
              </w:rPr>
              <w:t>9</w:t>
            </w:r>
          </w:p>
        </w:tc>
        <w:tc>
          <w:tcPr>
            <w:tcW w:type="dxa" w:w="3216"/>
          </w:tcPr>
          <w:p>
            <w:r/>
            <w:r>
              <w:rPr>
                <w:sz w:val="19"/>
              </w:rPr>
              <w:t>Conversations in localStorage</w:t>
            </w:r>
          </w:p>
        </w:tc>
        <w:tc>
          <w:tcPr>
            <w:tcW w:type="dxa" w:w="3216"/>
          </w:tcPr>
          <w:p>
            <w:r/>
            <w:r>
              <w:rPr>
                <w:sz w:val="19"/>
              </w:rPr>
              <w:t xml:space="preserve">per-tenant </w:t>
            </w:r>
            <w:r>
              <w:rPr>
                <w:rFonts w:ascii="Consolas" w:hAnsi="Consolas"/>
                <w:color w:val="8A2E2E"/>
                <w:sz w:val="19"/>
              </w:rPr>
              <w:t>conversations</w:t>
            </w:r>
            <w:r>
              <w:rPr>
                <w:sz w:val="19"/>
              </w:rPr>
              <w:t xml:space="preserve"> table (RLS by user)</w:t>
            </w:r>
          </w:p>
        </w:tc>
      </w:tr>
      <w:tr>
        <w:tc>
          <w:tcPr>
            <w:tcW w:type="dxa" w:w="3216"/>
            <w:shd w:val="clear" w:fill="EEF2F7"/>
          </w:tcPr>
          <w:p>
            <w:r/>
            <w:r>
              <w:rPr>
                <w:sz w:val="19"/>
              </w:rPr>
              <w:t>10</w:t>
            </w:r>
          </w:p>
        </w:tc>
        <w:tc>
          <w:tcPr>
            <w:tcW w:type="dxa" w:w="3216"/>
            <w:shd w:val="clear" w:fill="EEF2F7"/>
          </w:tcPr>
          <w:p>
            <w:r/>
            <w:r>
              <w:rPr>
                <w:sz w:val="19"/>
              </w:rPr>
              <w:t>Hermes cron on Steven's laptop</w:t>
            </w:r>
          </w:p>
        </w:tc>
        <w:tc>
          <w:tcPr>
            <w:tcW w:type="dxa" w:w="3216"/>
            <w:shd w:val="clear" w:fill="EEF2F7"/>
          </w:tcPr>
          <w:p>
            <w:r/>
            <w:r>
              <w:rPr>
                <w:sz w:val="19"/>
              </w:rPr>
              <w:t>hosted fleet runner per tenant (see §3)</w:t>
            </w:r>
          </w:p>
        </w:tc>
      </w:tr>
      <w:tr>
        <w:tc>
          <w:tcPr>
            <w:tcW w:type="dxa" w:w="3216"/>
          </w:tcPr>
          <w:p>
            <w:r/>
            <w:r>
              <w:rPr>
                <w:sz w:val="19"/>
              </w:rPr>
              <w:t>11</w:t>
            </w:r>
          </w:p>
        </w:tc>
        <w:tc>
          <w:tcPr>
            <w:tcW w:type="dxa" w:w="3216"/>
          </w:tcPr>
          <w:p>
            <w:r/>
            <w:r>
              <w:rPr>
                <w:sz w:val="19"/>
              </w:rPr>
              <w:t>Two roles</w:t>
            </w:r>
          </w:p>
        </w:tc>
        <w:tc>
          <w:tcPr>
            <w:tcW w:type="dxa" w:w="3216"/>
          </w:tcPr>
          <w:p>
            <w:r/>
            <w:r>
              <w:rPr>
                <w:sz w:val="19"/>
              </w:rPr>
              <w:t>roles: owner / exec / leader / member(read-scoped); sensitivity tiers stay</w:t>
            </w:r>
          </w:p>
        </w:tc>
      </w:tr>
    </w:tbl>
    <w:p>
      <w:pPr>
        <w:spacing w:after="40"/>
      </w:pPr>
    </w:p>
    <w:p>
      <w:pPr>
        <w:pStyle w:val="Heading2"/>
      </w:pPr>
      <w:r>
        <w:t>3. Fleet host</w:t>
      </w:r>
    </w:p>
    <w:p>
      <w:r>
        <w:t xml:space="preserve">Replace machine-local Hermes with a per-tenant scheduled runner: Vercel Cron (or a small worker) invoking the same script contracts (CHRONICLE, FILER, SCRIBE, TRUTH, SAGE, BRIEF export) against the tenant's cloud vault + APIs, writing the same audit-log entries to a per-tenant </w:t>
      </w:r>
      <w:r>
        <w:rPr>
          <w:rFonts w:ascii="Consolas" w:hAnsi="Consolas"/>
          <w:color w:val="8A2E2E"/>
          <w:sz w:val="19"/>
        </w:rPr>
        <w:t>change_log</w:t>
      </w:r>
      <w:r>
        <w:t xml:space="preserve"> table. Telegram/WhatsApp gateway = a hosted bot per Premium tenant (one bot father, per-tenant tokens and allowlists). Hermes remains AIAssist's own internal ops layer — it was the prototype; the product version is hosted. Keep the "capabilities are live, not remembered" session doctrine and the degraded-mode honesty patterns — they're product features.</w:t>
      </w:r>
    </w:p>
    <w:p>
      <w:pPr>
        <w:pStyle w:val="Heading2"/>
      </w:pPr>
      <w:r>
        <w:t>4. Security &amp; compliance gate (pre-first-tenant checklist)</w:t>
      </w:r>
    </w:p>
    <w:p>
      <w:pPr>
        <w:pStyle w:val="ListNumber"/>
      </w:pPr>
      <w:r>
        <w:t xml:space="preserve">Kill plaintext </w:t>
      </w:r>
      <w:r>
        <w:rPr>
          <w:rFonts w:ascii="Consolas" w:hAnsi="Consolas"/>
          <w:color w:val="8A2E2E"/>
          <w:sz w:val="19"/>
        </w:rPr>
        <w:t>managed_password</w:t>
      </w:r>
      <w:r>
        <w:t xml:space="preserve"> (invite + reset flows only); encrypt Google refresh tokens (app-layer AES via KMS/secret).</w:t>
      </w:r>
    </w:p>
    <w:p>
      <w:pPr>
        <w:pStyle w:val="ListNumber"/>
      </w:pPr>
      <w:r>
        <w:t>Auth on every data endpoint (</w:t>
      </w:r>
      <w:r>
        <w:rPr>
          <w:rFonts w:ascii="Consolas" w:hAnsi="Consolas"/>
          <w:color w:val="8A2E2E"/>
          <w:sz w:val="19"/>
        </w:rPr>
        <w:t>/api/radar</w:t>
      </w:r>
      <w:r>
        <w:t xml:space="preserve">, </w:t>
      </w:r>
      <w:r>
        <w:rPr>
          <w:rFonts w:ascii="Consolas" w:hAnsi="Consolas"/>
          <w:color w:val="8A2E2E"/>
          <w:sz w:val="19"/>
        </w:rPr>
        <w:t>/api/clickup/*</w:t>
      </w:r>
      <w:r>
        <w:t>); per-tenant service tokens for exports (header, not query param; rotatable).</w:t>
      </w:r>
    </w:p>
    <w:p>
      <w:pPr>
        <w:pStyle w:val="ListNumber"/>
      </w:pPr>
      <w:r>
        <w:t>Remove demo-mode role trust in any deployable build (feature-flag demo builds separately for sales).</w:t>
      </w:r>
    </w:p>
    <w:p>
      <w:pPr>
        <w:pStyle w:val="ListNumber"/>
      </w:pPr>
      <w:r>
        <w:t>Code-enforced action confirmation: pending-actions table; send/create executes only on a second authenticated confirm request. Prompt protocol stays as UX, stops being the only barrier.</w:t>
      </w:r>
    </w:p>
    <w:p>
      <w:pPr>
        <w:pStyle w:val="ListNumber"/>
      </w:pPr>
      <w:r>
        <w:t>Rate limiting + per-tenant model-spend metering with alerts (protects margins and prevents abuse).</w:t>
      </w:r>
    </w:p>
    <w:p>
      <w:pPr>
        <w:pStyle w:val="ListNumber"/>
      </w:pPr>
      <w:r>
        <w:t>GDPR: DPA template (the Blueprint's GDPR procedures in skills-v4 are the seed), EU region pinning (Supabase/Vercel EU), data-export + deletion runbooks, subprocessor list (Anthropic, Supabase, Vercel, ElevenLabs, Firecrawl, ClickUp, Google).</w:t>
      </w:r>
    </w:p>
    <w:p>
      <w:pPr>
        <w:pStyle w:val="ListNumber"/>
      </w:pPr>
      <w:r>
        <w:t>Per-tenant audit log surfaced in-app (governance as a visible feature, not a hidden file).</w:t>
      </w:r>
    </w:p>
    <w:p>
      <w:pPr>
        <w:pStyle w:val="ListNumber"/>
      </w:pPr>
      <w:r>
        <w:t>Pen-test before tenant #3; SOC2-lite security whitepaper for sales (full SOC2 only when a deal demands it).</w:t>
      </w:r>
    </w:p>
    <w:p>
      <w:pPr>
        <w:pStyle w:val="Heading2"/>
      </w:pPr>
      <w:r>
        <w:t>5. Delivery playbook (the replication factory)</w:t>
      </w:r>
    </w:p>
    <w:p>
      <w:r>
        <w:rPr>
          <w:b/>
        </w:rPr>
        <w:t>Phase 0 — Blueprint (already sold):</w:t>
      </w:r>
      <w:r>
        <w:t xml:space="preserve"> produces the ARIA Build Sheet + tier.</w:t>
      </w:r>
    </w:p>
    <w:p>
      <w:r>
        <w:rPr>
          <w:b/>
        </w:rPr>
        <w:t>Phase 1 — Provision (Week 1):</w:t>
      </w:r>
      <w:r>
        <w:t xml:space="preserve"> Foundry script spins the instance; theming; per-user auth; work-mgmt + Google connections.</w:t>
      </w:r>
    </w:p>
    <w:p>
      <w:r>
        <w:rPr>
          <w:b/>
        </w:rPr>
        <w:t>Phase 2 — Brain Genesis (Weeks 1–3):</w:t>
      </w:r>
      <w:r>
        <w:t xml:space="preserve"> taxonomy install; corpus intake with confidence tagging; HOT + freshness contracts; </w:t>
      </w:r>
      <w:r>
        <w:rPr>
          <w:rFonts w:ascii="Consolas" w:hAnsi="Consolas"/>
          <w:color w:val="8A2E2E"/>
          <w:sz w:val="19"/>
        </w:rPr>
        <w:t>_Restricted</w:t>
      </w:r>
      <w:r>
        <w:t xml:space="preserve"> zoning with the client; benchmark run (rerun the 5-question benchmark ON THE CLIENT'S OWN CORPUS and put the result in the delivery report — devastating proof).</w:t>
      </w:r>
    </w:p>
    <w:p>
      <w:r>
        <w:rPr>
          <w:b/>
        </w:rPr>
        <w:t>Phase 3 — Fleet ignition (Standard W2–3 / Pro W3–5 / Premium W4–8):</w:t>
      </w:r>
      <w:r>
        <w:t xml:space="preserve"> agents per Build Sheet; cadence tuning; drift protocol armed; first TRUTH catch is the activation moment — celebrate it with the client.</w:t>
      </w:r>
    </w:p>
    <w:p>
      <w:r>
        <w:rPr>
          <w:b/>
        </w:rPr>
        <w:t>Phase 4 — Leadership onboarding (final week):</w:t>
      </w:r>
      <w:r>
        <w:t xml:space="preserve"> the Workspace-Sprint-style enablement workshop; per-leader desks; CEO Operating Week configured; 30-day adoption checklist (reuse the Blueprint's asset pattern).</w:t>
      </w:r>
    </w:p>
    <w:p>
      <w:r>
        <w:rPr>
          <w:b/>
        </w:rPr>
        <w:t>Phase 5 — Run state:</w:t>
      </w:r>
      <w:r>
        <w:t xml:space="preserve"> monthly optimization sprint (Pro+), quarterly SAGE review presented at their L10/QBR, release-train upgrades.</w:t>
      </w:r>
    </w:p>
    <w:p>
      <w:r>
        <w:t xml:space="preserve">Staffing per delivery: Viktor's engineering pod (provisioning + adapters, target: Standard = &lt;5 engineer-days by client #5), one consultant (Ivan's team) for Brain Genesis + onboarding, Slavi for governance QA gate. Every delivery must end with a retro that updates the golden template — the productization ratchet: </w:t>
      </w:r>
      <w:r>
        <w:rPr>
          <w:b/>
        </w:rPr>
        <w:t>each client makes the next client cheaper.</w:t>
      </w:r>
    </w:p>
    <w:p>
      <w:r>
        <w:br w:type="page"/>
      </w:r>
    </w:p>
    <w:p>
      <w:pPr>
        <w:pStyle w:val="Heading1"/>
      </w:pPr>
      <w:r>
        <w:t>PART IV — Go-to-Market, Economics &amp; Execution</w:t>
      </w:r>
    </w:p>
    <w:p>
      <w:pPr>
        <w:pStyle w:val="Heading2"/>
      </w:pPr>
      <w:r>
        <w:t>1. GTM (reuses the machine you already built)</w:t>
      </w:r>
    </w:p>
    <w:p>
      <w:pPr>
        <w:pStyle w:val="ListBullet"/>
      </w:pPr>
      <w:r>
        <w:rPr>
          <w:b/>
        </w:rPr>
        <w:t>Funnel:</w:t>
      </w:r>
      <w:r>
        <w:t xml:space="preserve"> Workshop ("Where Is AI Actually Worth It?") → Blueprint → </w:t>
      </w:r>
      <w:r>
        <w:rPr>
          <w:b/>
        </w:rPr>
        <w:t>ARIA is the default recommendation</w:t>
      </w:r>
      <w:r>
        <w:t xml:space="preserve"> of every Blueprint whose opportunity map contains ≥2 agent-shaped opportunities (in practice: nearly all). Update the Sales Qualification Card: add ARIA to the route-by-pain table (pains: "leadership flying blind," "priorities drift," "meetings argue about reality," "AI chaos/no governance") with backend-potential scoring pointing at EmpaTech/Managed Workforce.</w:t>
      </w:r>
    </w:p>
    <w:p>
      <w:pPr>
        <w:pStyle w:val="ListBullet"/>
      </w:pPr>
      <w:r>
        <w:rPr>
          <w:b/>
        </w:rPr>
        <w:t>ICP:</w:t>
      </w:r>
      <w:r>
        <w:t xml:space="preserve"> same three wedges; ARIA's sweet spot is wedge 2 (operationally complex €10M–€100M, 50–500 staff) with wedge 1 founder-led firms on Standard.</w:t>
      </w:r>
    </w:p>
    <w:p>
      <w:pPr>
        <w:pStyle w:val="ListBullet"/>
      </w:pPr>
      <w:r>
        <w:rPr>
          <w:b/>
        </w:rPr>
        <w:t>Proof assets to produce (the missing collateral, mirroring the Blueprint's own gap list):</w:t>
      </w:r>
      <w:r>
        <w:t xml:space="preserve"> ARIA one-pager; a 3-minute demo video of the live AIAssist instance (the "we run on what we sell" demo — anonymize client rows); the benchmark whitepaper; a security/architecture brief; the sample SAGE quarterly report.</w:t>
      </w:r>
    </w:p>
    <w:p>
      <w:pPr>
        <w:pStyle w:val="ListBullet"/>
      </w:pPr>
      <w:r>
        <w:rPr>
          <w:b/>
        </w:rPr>
        <w:t>Demo instance:</w:t>
      </w:r>
      <w:r>
        <w:t xml:space="preserve"> a fictional-company Foundry tenant ("Meridian Talent Partners" — the golden example from blueprint-intake already defines it) so sales never demos on live AIAssist data.</w:t>
      </w:r>
    </w:p>
    <w:p>
      <w:pPr>
        <w:pStyle w:val="ListBullet"/>
      </w:pPr>
      <w:r>
        <w:rPr>
          <w:b/>
        </w:rPr>
        <w:t>Pricing page discipline:</w:t>
      </w:r>
      <w:r>
        <w:t xml:space="preserve"> tiers public, Custom "talk to us" — premium positioning, no self-serve.</w:t>
      </w:r>
    </w:p>
    <w:p>
      <w:pPr>
        <w:pStyle w:val="Heading2"/>
      </w:pPr>
      <w:r>
        <w:t>2. Unit economics &amp; targets</w:t>
      </w:r>
    </w:p>
    <w:p>
      <w:pPr>
        <w:pStyle w:val="ListBullet"/>
      </w:pPr>
      <w:r>
        <w:t>Standard: €35K setup (≈15–20 delivery-days initially → 65%+ margin, rising toward 80% by client #5) + €2.5K/mo at ~€500–1,100 COGS → 60–80% retainer margin.</w:t>
      </w:r>
    </w:p>
    <w:p>
      <w:pPr>
        <w:pStyle w:val="ListBullet"/>
      </w:pPr>
      <w:r>
        <w:t xml:space="preserve">Conservative Year-1 book: 6 Standard + 3 Pro + 1 Premium = </w:t>
      </w:r>
      <w:r>
        <w:rPr>
          <w:b/>
        </w:rPr>
        <w:t>€515K setup + €47.5K/mo run-rate (€570K ARR)</w:t>
      </w:r>
      <w:r>
        <w:t xml:space="preserve"> — by itself covering ~40% of the 2027 V/TO revenue priority, on top of Blueprint volume and EmpaTech deals, with Blueprint→ARIA conversion targeted at 30–40% (same as the existing follow-on assumption).</w:t>
      </w:r>
    </w:p>
    <w:p>
      <w:pPr>
        <w:pStyle w:val="ListBullet"/>
      </w:pPr>
      <w:r>
        <w:t>Kill criteria / stage gates: don't scale sales past 3 tenants until (a) security gate passed, (b) Standard delivery ≤ 10 engineer-days, (c) two referenceable clients with NPS-style quotes.</w:t>
      </w:r>
    </w:p>
    <w:p>
      <w:pPr>
        <w:pStyle w:val="Heading2"/>
      </w:pPr>
      <w:r>
        <w:t>3. Team &amp; capacity (honest constraint check)</w:t>
      </w:r>
    </w:p>
    <w:p>
      <w:r>
        <w:t>Live signals say the team is loaded (661 open / 170 overdue tasks; Ivan carrying 45 overdue + 6 Q3 rocks; Blueprint TR1 requirements freeze due 24 Jul gates the Blueprint engine). Sequencing therefore matters:</w:t>
      </w:r>
    </w:p>
    <w:p>
      <w:pPr>
        <w:pStyle w:val="ListBullet"/>
      </w:pPr>
      <w:r>
        <w:rPr>
          <w:b/>
        </w:rPr>
        <w:t>Viktor:</w:t>
      </w:r>
      <w:r>
        <w:t xml:space="preserve"> owns Foundry + de-hardcoding (this is the "Service Delivery System Build" rock made concrete). The Blueprint engineering wrapper and ARIA Foundry share components (intake portal, orchestration, output formatting) — build once.</w:t>
      </w:r>
    </w:p>
    <w:p>
      <w:pPr>
        <w:pStyle w:val="ListBullet"/>
      </w:pPr>
      <w:r>
        <w:rPr>
          <w:b/>
        </w:rPr>
        <w:t>Ivan:</w:t>
      </w:r>
      <w:r>
        <w:t xml:space="preserve"> owns delivery methodology + first onboardings — but only after Blueprint TR1 closes; do not parallelize him.</w:t>
      </w:r>
    </w:p>
    <w:p>
      <w:pPr>
        <w:pStyle w:val="ListBullet"/>
      </w:pPr>
      <w:r>
        <w:rPr>
          <w:b/>
        </w:rPr>
        <w:t>Aksel:</w:t>
      </w:r>
      <w:r>
        <w:t xml:space="preserve"> sells Blueprint volume now, seeds ARIA waitlist ("first 3 Foundry clients at founder pricing").</w:t>
      </w:r>
    </w:p>
    <w:p>
      <w:pPr>
        <w:pStyle w:val="ListBullet"/>
      </w:pPr>
      <w:r>
        <w:rPr>
          <w:b/>
        </w:rPr>
        <w:t>Slavi:</w:t>
      </w:r>
      <w:r>
        <w:t xml:space="preserve"> governance QA gate + the run-state cadence (SAGE reviews, release notes).</w:t>
      </w:r>
    </w:p>
    <w:p>
      <w:pPr>
        <w:pStyle w:val="ListBullet"/>
      </w:pPr>
      <w:r>
        <w:rPr>
          <w:b/>
        </w:rPr>
        <w:t>Steven:</w:t>
      </w:r>
      <w:r>
        <w:t xml:space="preserve"> delivers ARIA client #1 personally (as with the Blueprint pattern), then hands to playbook.</w:t>
      </w:r>
    </w:p>
    <w:p>
      <w:pPr>
        <w:pStyle w:val="ListBullet"/>
      </w:pPr>
      <w:r>
        <w:rPr>
          <w:b/>
        </w:rPr>
        <w:t>Hire trigger:</w:t>
      </w:r>
      <w:r>
        <w:t xml:space="preserve"> a delivery engineer when tenant #3 signs; a customer-success lead when MRR &gt; €15K.</w:t>
      </w:r>
    </w:p>
    <w:p>
      <w:pPr>
        <w:pStyle w:val="Heading2"/>
      </w:pPr>
      <w:r>
        <w:t>4. Roadmap</w:t>
      </w:r>
    </w:p>
    <w:p>
      <w:pPr>
        <w:pStyle w:val="ListBullet"/>
      </w:pPr>
      <w:r>
        <w:rPr>
          <w:b/>
        </w:rPr>
        <w:t>Now (Jul–Aug 2026):</w:t>
      </w:r>
      <w:r>
        <w:t xml:space="preserve"> close Blueprint TR1 (24 Jul, hard gate); write the ARIA offer one-pager + pricing internally; security gate items 1–5; begin de-hardcoding top table rows 1–6; add </w:t>
      </w:r>
      <w:r>
        <w:rPr>
          <w:rFonts w:ascii="Consolas" w:hAnsi="Consolas"/>
          <w:color w:val="8A2E2E"/>
          <w:sz w:val="19"/>
        </w:rPr>
        <w:t>blueprint-aria-spec</w:t>
      </w:r>
      <w:r>
        <w:t xml:space="preserve"> skill; convert AIAssist itself into "Tenant #0" running on the Foundry template (dogfooding = QA).</w:t>
      </w:r>
    </w:p>
    <w:p>
      <w:pPr>
        <w:pStyle w:val="ListBullet"/>
      </w:pPr>
      <w:r>
        <w:rPr>
          <w:b/>
        </w:rPr>
        <w:t>Next (Sep–Oct 2026):</w:t>
      </w:r>
      <w:r>
        <w:t xml:space="preserve"> cloud-native vault + hosted fleet runner; demo tenant (Meridian); sales collateral; sell client #1 (founder-priced Standard, ideally an existing Blueprint buyer or Universal UK); deliver with Steven + Viktor; retro → template.</w:t>
      </w:r>
    </w:p>
    <w:p>
      <w:pPr>
        <w:pStyle w:val="ListBullet"/>
      </w:pPr>
      <w:r>
        <w:rPr>
          <w:b/>
        </w:rPr>
        <w:t>Later (Nov 2026–Q1 2027):</w:t>
      </w:r>
      <w:r>
        <w:t xml:space="preserve"> clients #2–4; Microsoft 365 adapter; expanded roles/SSO; SAGE quarterly review productized; public tier page; Premium #1 with hosted exec gateway; evaluate second work-mgmt adapter by demand.</w:t>
      </w:r>
    </w:p>
    <w:p>
      <w:pPr>
        <w:pStyle w:val="Heading2"/>
      </w:pPr>
      <w:r>
        <w:t>5. Top risks &amp; mitigations</w:t>
      </w:r>
    </w:p>
    <w:p>
      <w:pPr>
        <w:pStyle w:val="ListNumber"/>
      </w:pPr>
      <w:r>
        <w:rPr>
          <w:b/>
        </w:rPr>
        <w:t>Delivery capacity collision with Blueprint ramp</w:t>
      </w:r>
      <w:r>
        <w:t xml:space="preserve"> → sequencing above; ARIA sales gated on Blueprint TR1 closure; founder pricing buys schedule slack.</w:t>
      </w:r>
    </w:p>
    <w:p>
      <w:pPr>
        <w:pStyle w:val="ListNumber"/>
      </w:pPr>
      <w:r>
        <w:rPr>
          <w:b/>
        </w:rPr>
        <w:t>Security incident at a client</w:t>
      </w:r>
      <w:r>
        <w:t xml:space="preserve"> (highest reputational risk) → the pre-tenant gate is non-negotiable; isolation architecture caps blast radius; incident runbook + comms template written before client #1.</w:t>
      </w:r>
    </w:p>
    <w:p>
      <w:pPr>
        <w:pStyle w:val="ListNumber"/>
      </w:pPr>
      <w:r>
        <w:rPr>
          <w:b/>
        </w:rPr>
        <w:t>Model-cost blowout on retainers</w:t>
      </w:r>
      <w:r>
        <w:t xml:space="preserve"> → per-tenant metering, fair-use band, caching (already in place), Haiku/Sonnet down-routing for low-stakes agent runs.</w:t>
      </w:r>
    </w:p>
    <w:p>
      <w:pPr>
        <w:pStyle w:val="ListNumber"/>
      </w:pPr>
      <w:r>
        <w:rPr>
          <w:b/>
        </w:rPr>
        <w:t>"It's just ChatGPT with extra steps" objection</w:t>
      </w:r>
      <w:r>
        <w:t xml:space="preserve"> → lead every pitch with drift/TRUTH, the audit log, and the client-corpus benchmark; those three are undemoable by generic tools.</w:t>
      </w:r>
    </w:p>
    <w:p>
      <w:pPr>
        <w:pStyle w:val="ListNumber"/>
      </w:pPr>
      <w:r>
        <w:rPr>
          <w:b/>
        </w:rPr>
        <w:t>Anthropic dependency</w:t>
      </w:r>
      <w:r>
        <w:t xml:space="preserve"> → local-engine fallback already exists for resilience optics; keep the orchestration layer SDK-thin so a second provider can be added for Custom tier if a client demands it.</w:t>
      </w:r>
    </w:p>
    <w:p>
      <w:pPr>
        <w:pStyle w:val="ListNumber"/>
      </w:pPr>
      <w:r>
        <w:rPr>
          <w:b/>
        </w:rPr>
        <w:t>Template drift across instances</w:t>
      </w:r>
      <w:r>
        <w:t xml:space="preserve"> → release train discipline; no bespoke code outside Custom tier; Custom work must land as config/extensions, never forks.</w:t>
      </w:r>
    </w:p>
    <w:p>
      <w:pPr>
        <w:pStyle w:val="ListNumber"/>
      </w:pPr>
      <w:r>
        <w:rPr>
          <w:b/>
        </w:rPr>
        <w:t>Naming collision</w:t>
      </w:r>
      <w:r>
        <w:t xml:space="preserve"> — </w:t>
      </w:r>
      <w:r>
        <w:rPr>
          <w:rFonts w:ascii="Consolas" w:hAnsi="Consolas"/>
          <w:color w:val="8A2E2E"/>
          <w:sz w:val="19"/>
        </w:rPr>
        <w:t>/guide/blueprint</w:t>
      </w:r>
      <w:r>
        <w:t xml:space="preserve"> (build anatomy) vs. AI Value Blueprint (product): rename the route; and decide the client-facing product name deliberately (recommendation: keep </w:t>
      </w:r>
      <w:r>
        <w:rPr>
          <w:b/>
        </w:rPr>
        <w:t>ARIA</w:t>
      </w:r>
      <w:r>
        <w:t xml:space="preserve"> as the flagship product brand — "ARIA, the Agentic AI Company OS by AIAssist" — with per-client instance naming as a Premium personalization feature).</w:t>
      </w:r>
    </w:p>
    <w:p>
      <w:pPr>
        <w:pStyle w:val="Heading2"/>
      </w:pPr>
      <w:r>
        <w:t>6. KPIs for the product line</w:t>
      </w:r>
    </w:p>
    <w:p>
      <w:r>
        <w:t>Setup revenue &amp; retainer MRR; Blueprint→ARIA conversion %; delivery engineer-days per Standard (target ≤10 by client #3, ≤5 by #5); time-to-first-TRUTH-catch per tenant (activation metric); weekly brief open/read rate per leader (adoption); per-tenant model spend vs. retainer (margin); logo retention (target: 100% — the product's entire thesis); NPS at 90 days; audit-log completeness (governance SLA).</w:t>
      </w:r>
    </w:p>
    <w:p>
      <w:pPr>
        <w:pStyle w:val="Heading2"/>
      </w:pPr>
      <w:r>
        <w:t>Closing argument</w:t>
      </w:r>
    </w:p>
    <w:p>
      <w:r>
        <w:t>Everything hard about this product is already built and already proven on the hardest possible client: yourselves. The vault doctrine, the grounding contracts, the drift protocol, the agent fleet, the benchmark, the premium UX — that is 18 months of IP compressed into a working system. What remains is disciplined productization: externalize the config, host the fleet, close seven security items, write the price on a page, and wire the Blueprint's output into the Foundry's input. The Blueprint finds the expensive problems; ARIA is the machine that keeps solving them every morning at 06:00. Sell them as one story.</w:t>
      </w:r>
    </w:p>
    <w:p>
      <w:r>
        <w:rPr>
          <w:i/>
        </w:rPr>
        <w:t>Sources: full file-level citations available on request; primary evidence in `aiassist-os/src/</w:t>
      </w:r>
      <w:r>
        <w:rPr>
          <w:i/>
        </w:rPr>
        <w:t>`, `_Brain Governance/</w:t>
      </w:r>
      <w:r>
        <w:rPr>
          <w:rFonts w:ascii="Consolas" w:hAnsi="Consolas"/>
          <w:color w:val="8A2E2E"/>
          <w:sz w:val="19"/>
        </w:rPr>
        <w:t xml:space="preserve">, </w:t>
      </w:r>
      <w:r>
        <w:t>Products/AI Value Blueprint/</w:t>
      </w:r>
      <w:r>
        <w:rPr>
          <w:b/>
        </w:rPr>
        <w:t>`, `Business Development/</w:t>
      </w:r>
      <w:r>
        <w:rPr>
          <w:rFonts w:ascii="Consolas" w:hAnsi="Consolas"/>
          <w:color w:val="8A2E2E"/>
          <w:sz w:val="19"/>
        </w:rPr>
        <w:t xml:space="preserve">, </w:t>
      </w:r>
      <w:r>
        <w:t>Reports/ARIA_Briefs/2026-07/</w:t>
      </w:r>
      <w:r>
        <w:rPr>
          <w:i/>
        </w:rPr>
        <w: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B2A4A"/>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b/>
      <w:bCs/>
      <w:color w:val="1B2A4A"/>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0E7C8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1B2A4A"/>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ARIA -&gt; Agentic AI Company OS: 360 Productization Report</dc:title>
  <dc:subject/>
  <dc:creator>AIAssist BG - prepared via ARIA (Claude Fable 5)</dc:creator>
  <cp:keywords/>
  <dc:description>generated by python-docx</dc:description>
  <cp:lastModifiedBy/>
  <cp:revision>1</cp:revision>
  <dcterms:created xsi:type="dcterms:W3CDTF">2013-12-23T23:15:00Z</dcterms:created>
  <dcterms:modified xsi:type="dcterms:W3CDTF">2013-12-23T23:15:00Z</dcterms:modified>
  <cp:category/>
</cp:coreProperties>
</file>