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i w:val="1"/>
          <w:iCs w:val="1"/>
        </w:rPr>
      </w:pPr>
      <w:bookmarkStart w:colFirst="0" w:colLast="0" w:name="_jegm9o9s1jdp" w:id="0"/>
      <w:bookmarkEnd w:id="0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AI Brain Foundation Pattern &amp; Maturity Band Calibration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AI Assist BG · Blueprint Practice · INTERNAL METHODOLOGY · v1.1 · July 2026</w:t>
      </w:r>
      <w:r w:rsidDel="00000000" w:rsidR="00000000" w:rsidRPr="00000000">
        <w:rPr>
          <w:rtl w:val="0"/>
        </w:rPr>
        <w:t xml:space="preserve"> Status: draft for practice review · Companion to: AI Value Blueprint pipeline (intake_v1.0), ARIA Productization 360 Report (2026-07-20) Placement: methodology reference now; implemented via the </w:t>
      </w:r>
      <w:r w:rsidDel="00000000" w:rsidR="00000000" w:rsidRPr="00000000">
        <w:rPr>
          <w:b w:val="1"/>
          <w:bCs w:val="1"/>
          <w:rtl w:val="0"/>
        </w:rPr>
        <w:t xml:space="preserve">two-layer split</w:t>
      </w:r>
      <w:r w:rsidDel="00000000" w:rsidR="00000000" w:rsidRPr="00000000">
        <w:rPr>
          <w:rtl w:val="0"/>
        </w:rPr>
        <w:t xml:space="preserve"> in §9 — diagnostic content enters the pipeline through a governed schema bump (intake_v1.1); commercial/productization logic lives in the future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blueprint-aria-spec</w:t>
      </w:r>
      <w:r w:rsidDel="00000000" w:rsidR="00000000" w:rsidRPr="00000000">
        <w:rPr>
          <w:rtl w:val="0"/>
        </w:rPr>
        <w:t xml:space="preserve"> skill. Neither lands before Blueprint TR1 closes and T-10⁹ credits.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cblogfuxgks" w:id="1"/>
      <w:bookmarkEnd w:id="1"/>
      <w:r w:rsidDel="00000000" w:rsidR="00000000" w:rsidRPr="00000000">
        <w:rPr>
          <w:rtl w:val="0"/>
        </w:rPr>
        <w:t xml:space="preserve">1. One-line thesis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Every Blueprint that finds a fragmented-data client with agent-shaped work promotes a single foundational rung — </w:t>
      </w:r>
      <w:r w:rsidDel="00000000" w:rsidR="00000000" w:rsidRPr="00000000">
        <w:rPr>
          <w:b w:val="1"/>
          <w:bCs w:val="1"/>
          <w:rtl w:val="0"/>
        </w:rPr>
        <w:t xml:space="preserve">H-0, the AI-Brain foundation</w:t>
      </w:r>
      <w:r w:rsidDel="00000000" w:rsidR="00000000" w:rsidRPr="00000000">
        <w:rPr>
          <w:rtl w:val="0"/>
        </w:rPr>
        <w:t xml:space="preserve"> — delivered as an </w:t>
      </w:r>
      <w:r w:rsidDel="00000000" w:rsidR="00000000" w:rsidRPr="00000000">
        <w:rPr>
          <w:b w:val="1"/>
          <w:bCs w:val="1"/>
          <w:rtl w:val="0"/>
        </w:rPr>
        <w:t xml:space="preserve">ARIA Foundry instance</w:t>
      </w:r>
      <w:r w:rsidDel="00000000" w:rsidR="00000000" w:rsidRPr="00000000">
        <w:rPr>
          <w:rtl w:val="0"/>
        </w:rPr>
        <w:t xml:space="preserve">. The Blueprint diagnoses; ARIA operationalises.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Meridian Talent Partners is the </w:t>
      </w:r>
      <w:r w:rsidDel="00000000" w:rsidR="00000000" w:rsidRPr="00000000">
        <w:rPr>
          <w:b w:val="1"/>
          <w:bCs w:val="1"/>
          <w:rtl w:val="0"/>
        </w:rPr>
        <w:t xml:space="preserve">golden worked example</w:t>
      </w:r>
      <w:r w:rsidDel="00000000" w:rsidR="00000000" w:rsidRPr="00000000">
        <w:rPr>
          <w:rtl w:val="0"/>
        </w:rPr>
        <w:t xml:space="preserve"> of this pattern (Appendix, §10). The pattern itself is universal — the instruction set must produce correct output for real, imperfect cases where the evidence is thinner than Meridian's.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erk5t2i4h7pt" w:id="2"/>
      <w:bookmarkEnd w:id="2"/>
      <w:r w:rsidDel="00000000" w:rsidR="00000000" w:rsidRPr="00000000">
        <w:rPr>
          <w:rtl w:val="0"/>
        </w:rPr>
        <w:t xml:space="preserve">2. The two-layer infrastructure doctrine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Every engagement involves </w:t>
      </w:r>
      <w:r w:rsidDel="00000000" w:rsidR="00000000" w:rsidRPr="00000000">
        <w:rPr>
          <w:b w:val="1"/>
          <w:bCs w:val="1"/>
          <w:rtl w:val="0"/>
        </w:rPr>
        <w:t xml:space="preserve">two infrastructures</w:t>
      </w:r>
      <w:r w:rsidDel="00000000" w:rsidR="00000000" w:rsidRPr="00000000">
        <w:rPr>
          <w:rtl w:val="0"/>
        </w:rPr>
        <w:t xml:space="preserve">, never one: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1 — the client's existing systems.</w:t>
      </w:r>
      <w:r w:rsidDel="00000000" w:rsidR="00000000" w:rsidRPr="00000000">
        <w:rPr>
          <w:rtl w:val="0"/>
        </w:rPr>
        <w:t xml:space="preserve"> ATS/CRM/ERP, finance, comms, documents. Never replaced wholesale; only connected, adapted, and governed. The client's maturity band grades </w:t>
      </w:r>
      <w:r w:rsidDel="00000000" w:rsidR="00000000" w:rsidRPr="00000000">
        <w:rPr>
          <w:i w:val="1"/>
          <w:i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layer.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2 — the Brain infrastructure we architect.</w:t>
      </w:r>
      <w:r w:rsidDel="00000000" w:rsidR="00000000" w:rsidRPr="00000000">
        <w:rPr>
          <w:rtl w:val="0"/>
        </w:rPr>
        <w:t xml:space="preserve"> The governed unified-data + AI-knowledge layer (ARIA): vault, retrieval ladder, agent fleet, audit constitution. This is always </w:t>
      </w:r>
      <w:r w:rsidDel="00000000" w:rsidR="00000000" w:rsidRPr="00000000">
        <w:rPr>
          <w:i w:val="1"/>
          <w:iCs w:val="1"/>
          <w:rtl w:val="0"/>
        </w:rPr>
        <w:t xml:space="preserve">built by us, above Layer 1</w:t>
      </w:r>
      <w:r w:rsidDel="00000000" w:rsidR="00000000" w:rsidRPr="00000000">
        <w:rPr>
          <w:rtl w:val="0"/>
        </w:rPr>
        <w:t xml:space="preserve"> — its scope, phasing, and tier vary by band; its architecture does not.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PP-0, precisely defined:</w:t>
      </w:r>
      <w:r w:rsidDel="00000000" w:rsidR="00000000" w:rsidRPr="00000000">
        <w:rPr>
          <w:rtl w:val="0"/>
        </w:rPr>
        <w:t xml:space="preserve"> the gap between Layer 1 reality and Layer 2 readiness.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Corollary: the Blueprint never recommends "fix your systems." It recommends "here is the correctly-architected Layer 2 for the Layer 1 you actually have, and the shortest governed path to it."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9hq92gkv1u4t" w:id="3"/>
      <w:bookmarkEnd w:id="3"/>
      <w:r w:rsidDel="00000000" w:rsidR="00000000" w:rsidRPr="00000000">
        <w:rPr>
          <w:rtl w:val="0"/>
        </w:rPr>
        <w:t xml:space="preserve">3. The universal pain point (PP-0 template)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Instantiate — do not hope to discover: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PP-0 — Fragmented data infrastructure: no integrated single source of truth</w:t>
      </w:r>
      <w:r w:rsidDel="00000000" w:rsidR="00000000" w:rsidRPr="00000000">
        <w:rPr>
          <w:rtl w:val="0"/>
        </w:rPr>
        <w:t xml:space="preserve"> Severity: </w:t>
      </w:r>
      <w:r w:rsidDel="00000000" w:rsidR="00000000" w:rsidRPr="00000000">
        <w:rPr>
          <w:b w:val="1"/>
          <w:bCs w:val="1"/>
          <w:rtl w:val="0"/>
        </w:rPr>
        <w:t xml:space="preserve">CRITICAL (systemic)</w:t>
      </w:r>
      <w:r w:rsidDel="00000000" w:rsidR="00000000" w:rsidRPr="00000000">
        <w:rPr>
          <w:rtl w:val="0"/>
        </w:rPr>
        <w:t xml:space="preserve"> · Scope: all verticals &amp; departments · Precedence: </w:t>
      </w:r>
      <w:r w:rsidDel="00000000" w:rsidR="00000000" w:rsidRPr="00000000">
        <w:rPr>
          <w:b w:val="1"/>
          <w:bCs w:val="1"/>
          <w:rtl w:val="0"/>
        </w:rPr>
        <w:t xml:space="preserve">P0 (foundational)</w:t>
      </w:r>
      <w:r w:rsidDel="00000000" w:rsidR="00000000" w:rsidRPr="00000000">
        <w:rPr>
          <w:rtl w:val="0"/>
        </w:rPr>
        <w:t xml:space="preserve"> Severity logic: breadth × dependency, not per-instance pain — it degrades every function at once and gates the value of every other pain point. Document that this is a different </w:t>
      </w:r>
      <w:r w:rsidDel="00000000" w:rsidR="00000000" w:rsidRPr="00000000">
        <w:rPr>
          <w:i w:val="1"/>
          <w:iCs w:val="1"/>
          <w:rtl w:val="0"/>
        </w:rPr>
        <w:t xml:space="preserve">kind</w:t>
      </w:r>
      <w:r w:rsidDel="00000000" w:rsidR="00000000" w:rsidRPr="00000000">
        <w:rPr>
          <w:rtl w:val="0"/>
        </w:rPr>
        <w:t xml:space="preserve"> of CRITICAL from an acute, localised one, so two CRITICALs in one register are reconcilable.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Instantiation rules (anti-hallucination — non-negotiable):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Cite the </w:t>
      </w:r>
      <w:r w:rsidDel="00000000" w:rsidR="00000000" w:rsidRPr="00000000">
        <w:rPr>
          <w:i w:val="1"/>
          <w:iCs w:val="1"/>
          <w:rtl w:val="0"/>
        </w:rPr>
        <w:t xml:space="preserve">client's 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systems/integration evidence (their tech inventory or equivalent). No client evidence → no PP-0 at CRITICAL (see Band 3, §5).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Absorb</w:t>
      </w:r>
      <w:r w:rsidDel="00000000" w:rsidR="00000000" w:rsidRPr="00000000">
        <w:rPr>
          <w:rtl w:val="0"/>
        </w:rPr>
        <w:t xml:space="preserve"> any emergent "no integration / no SSOT" pain point into PP-0 with a tombstone on the old ID. Never score the same evidence twice; never silently renumber (renumbering rots cross-references — re-audit every reference if renumbering is forced).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vetujuu1j8d1" w:id="4"/>
      <w:bookmarkEnd w:id="4"/>
      <w:r w:rsidDel="00000000" w:rsidR="00000000" w:rsidRPr="00000000">
        <w:rPr>
          <w:rtl w:val="0"/>
        </w:rPr>
        <w:t xml:space="preserve">4. The H-0 promotion gate and nesting model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Promote H-0 to the top of the opportunity map when both hold: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PP-0 is evidenced for this client, AND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opportunity map contains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2 agent-shaped opportunities</w:t>
      </w:r>
      <w:r w:rsidDel="00000000" w:rsidR="00000000" w:rsidRPr="00000000">
        <w:rPr>
          <w:rtl w:val="0"/>
        </w:rPr>
        <w:t xml:space="preserve"> (recurring, cadence-runnable knowledge work over grounded company data with human oversight: digests, drift checks, inbox routing, briefs, automated reporting, evaluations).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Config-only work (scheduling standardisation) and one-off low-data drafting aids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agent-shaped — keep them as standalone quick wins, separated honestly. This is the credibility control against "it's just ChatGPT with extra steps."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H-0 definition: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H-0 — Deploy [Brain / ARIA Foundry], tier per §6, phased</w:t>
      </w:r>
      <w:r w:rsidDel="00000000" w:rsidR="00000000" w:rsidRPr="00000000">
        <w:rPr>
          <w:rtl w:val="0"/>
        </w:rPr>
        <w:t xml:space="preserve"> — the governed unified-data + AI-knowledge layer (Layer 2) that operationalises PP-0.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Nesting (fixed by ARIA's delivery phases — resolves merge-vs-separate once, universally):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Inside H-0</w:t>
      </w:r>
      <w:r w:rsidDel="00000000" w:rsidR="00000000" w:rsidRPr="00000000">
        <w:rPr>
          <w:rtl w:val="0"/>
        </w:rPr>
        <w:t xml:space="preserve"> (phases, not separate bets): </w:t>
      </w:r>
      <w:r w:rsidDel="00000000" w:rsidR="00000000" w:rsidRPr="00000000">
        <w:rPr>
          <w:i w:val="1"/>
          <w:iCs w:val="1"/>
          <w:rtl w:val="0"/>
        </w:rPr>
        <w:t xml:space="preserve">Brain Genesis</w:t>
      </w:r>
      <w:r w:rsidDel="00000000" w:rsidR="00000000" w:rsidRPr="00000000">
        <w:rPr>
          <w:rtl w:val="0"/>
        </w:rPr>
        <w:t xml:space="preserve"> — the data-governance/revival hypothesis (taxonomy install, corpus distillation, confidence tagging, freshness contracts); </w:t>
      </w:r>
      <w:r w:rsidDel="00000000" w:rsidR="00000000" w:rsidRPr="00000000">
        <w:rPr>
          <w:i w:val="1"/>
          <w:iCs w:val="1"/>
          <w:rtl w:val="0"/>
        </w:rPr>
        <w:t xml:space="preserve">Governance gate</w:t>
      </w:r>
      <w:r w:rsidDel="00000000" w:rsidR="00000000" w:rsidRPr="00000000">
        <w:rPr>
          <w:rtl w:val="0"/>
        </w:rPr>
        <w:t xml:space="preserve"> — the AI-policy/security/GDPR hypothesis.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Consumers of H-0</w:t>
      </w:r>
      <w:r w:rsidDel="00000000" w:rsidR="00000000" w:rsidRPr="00000000">
        <w:rPr>
          <w:rtl w:val="0"/>
        </w:rPr>
        <w:t xml:space="preserve"> (agent outputs, listed separately — they are the client-facing value): automated reporting, drift detection, digests, matching/sourcing intelligence (data permitting).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Siblings</w:t>
      </w:r>
      <w:r w:rsidDel="00000000" w:rsidR="00000000" w:rsidRPr="00000000">
        <w:rPr>
          <w:rtl w:val="0"/>
        </w:rPr>
        <w:t xml:space="preserve"> (never absorbed): config-only and low-data quick wins.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Strategic-link rule:</w:t>
      </w:r>
      <w:r w:rsidDel="00000000" w:rsidR="00000000" w:rsidRPr="00000000">
        <w:rPr>
          <w:rtl w:val="0"/>
        </w:rPr>
        <w:t xml:space="preserve"> H-0 links as </w:t>
      </w:r>
      <w:r w:rsidDel="00000000" w:rsidR="00000000" w:rsidRPr="00000000">
        <w:rPr>
          <w:i w:val="1"/>
          <w:iCs w:val="1"/>
          <w:rtl w:val="0"/>
        </w:rPr>
        <w:t xml:space="preserve">cross-cutting — underpins all stated priorities</w:t>
      </w:r>
      <w:r w:rsidDel="00000000" w:rsidR="00000000" w:rsidRPr="00000000">
        <w:rPr>
          <w:rtl w:val="0"/>
        </w:rPr>
        <w:t xml:space="preserve">. Never pin it to a single priority line.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Pipeline-boundary rule:</w:t>
      </w:r>
      <w:r w:rsidDel="00000000" w:rsidR="00000000" w:rsidRPr="00000000">
        <w:rPr>
          <w:rtl w:val="0"/>
        </w:rPr>
        <w:t xml:space="preserve"> H-0's internal decomposition (phases inside one hypothesis) lives ONLY in this pattern / the Build Sheet — never inside the pinned 5-stage pipeline, where entity decomposition is a guarded regression (T-30 BLOCKER, v35.1). The pipeline scores H-0 as one undivided entity; the Build Sheet decomposes it.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86hukxyc2pl6" w:id="5"/>
      <w:bookmarkEnd w:id="5"/>
      <w:r w:rsidDel="00000000" w:rsidR="00000000" w:rsidRPr="00000000">
        <w:rPr>
          <w:rtl w:val="0"/>
        </w:rPr>
        <w:t xml:space="preserve">5. Maturity band calibration (the three types)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Bands grade </w:t>
      </w:r>
      <w:r w:rsidDel="00000000" w:rsidR="00000000" w:rsidRPr="00000000">
        <w:rPr>
          <w:b w:val="1"/>
          <w:bCs w:val="1"/>
          <w:rtl w:val="0"/>
        </w:rPr>
        <w:t xml:space="preserve">Layer 1 + organisational alignment</w:t>
      </w:r>
      <w:r w:rsidDel="00000000" w:rsidR="00000000" w:rsidRPr="00000000">
        <w:rPr>
          <w:rtl w:val="0"/>
        </w:rPr>
        <w:t xml:space="preserve">. Each band is an </w:t>
      </w:r>
      <w:r w:rsidDel="00000000" w:rsidR="00000000" w:rsidRPr="00000000">
        <w:rPr>
          <w:b w:val="1"/>
          <w:bCs w:val="1"/>
          <w:rtl w:val="0"/>
        </w:rPr>
        <w:t xml:space="preserve">expected-output contract</w:t>
      </w:r>
      <w:r w:rsidDel="00000000" w:rsidR="00000000" w:rsidRPr="00000000">
        <w:rPr>
          <w:rtl w:val="0"/>
        </w:rPr>
        <w:t xml:space="preserve"> — pinned columns, not prose vibes. Real clients interpolate; the confidence-tagging machinery absorbs evidence gaps.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 1 — LOW (golden case: Meridian)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 2 — 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 3 —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Layer 1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Fragmented or absent (zero integrations, no SSOT)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Fragmented, but usable and API-capable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Sound: integrated, governed, clean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Friction present (management ↔ operational misalignment, adoption resistance)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Aligned</w:t>
            </w:r>
            <w:r w:rsidDel="00000000" w:rsidR="00000000" w:rsidRPr="00000000">
              <w:rPr>
                <w:rtl w:val="0"/>
              </w:rPr>
              <w:t xml:space="preserve"> — management and operational work consistent; low adoption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Aligned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PP-0 verdict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(systemic)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(structural only — not aggravated by people)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LOW/ABSENT as pain → reframe 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  <w:t xml:space="preserve">: the only gap is Layer 2 itself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H-0 posture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governance gate → Brain Genesis → consumers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compressed</w:t>
            </w:r>
            <w:r w:rsidDel="00000000" w:rsidR="00000000" w:rsidRPr="00000000">
              <w:rPr>
                <w:rtl w:val="0"/>
              </w:rPr>
              <w:t xml:space="preserve">: direct Layer 2 build, genesis faster, fleet ignites earlier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H-0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  <w:t xml:space="preserve"> the engagement: deploy the Brain + align processes around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ARIA tier ceiling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/ 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 / Premium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Roadmap shape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Governance + zero-data quick wins → Brain Genesis → brain consumers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Brain Genesis + quick wins → fleet → advanced 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Deploy → fleet expansion → custom agents</w:t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Band 3 is the anti-hallucination regression test.</w:t>
      </w:r>
      <w:r w:rsidDel="00000000" w:rsidR="00000000" w:rsidRPr="00000000">
        <w:rPr>
          <w:rtl w:val="0"/>
        </w:rPr>
        <w:t xml:space="preserve"> It is the case where evidence honestly does not support PP-0 at CRITICAL — the system must degrade PP-0 to an opportunity framing rather than fabricate severity. Any run that force-fits CRITICAL PP-0 onto a Band 3 client is a calibration failure.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Band assignment inputs:</w:t>
      </w:r>
      <w:r w:rsidDel="00000000" w:rsidR="00000000" w:rsidRPr="00000000">
        <w:rPr>
          <w:rtl w:val="0"/>
        </w:rPr>
        <w:t xml:space="preserve"> the Maturity Snapshot's 6 dimensions. Data + Technology dimensions drive the Layer 1 grade; People + Processes drive the alignment grade; Governance gates the phasing; Strategy sets the alignment scores.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jqijswhfal5w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Tier routing (band → offer ladder)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 → tier ceiling → ARIA rung. The band table above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pricing router: the Blueprint's diagnostic output deterministically routes to the ARIA tier, which is the productized handoff working as one machine. Never propose above the ceiling ("don't sell Premium to a company that can't absorb it" — ARIA maturity gating).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76srhk8d8dz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Blueprint artifacts → ARIA Build Sheet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three locked pipeline outputs are the tenant spec — same document, three readers (consultant estimate, engineering scope, client onboarding):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Blueprint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Sheet field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Compressed Dossier (company facts)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tenant org / brand / work-mgmt / identity config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Maturity Snapshot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band + tier_recommendation + 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Scored Opportunity Map (agent-shaped items)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agents[] to deploy first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Pain-point register + culture/adoption 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gates, sealed topics, restricted zones, cadence, sensitivity rules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Build Sheet is emitted by the future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blueprint-aria-spec</w:t>
      </w:r>
      <w:r w:rsidDel="00000000" w:rsidR="00000000" w:rsidRPr="00000000">
        <w:rPr>
          <w:rtl w:val="0"/>
        </w:rPr>
        <w:t xml:space="preserve"> skill, downstream of Stage 5, read-only over pipeline outputs.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7pglka8rnh83" w:id="8"/>
      <w:bookmarkEnd w:id="8"/>
      <w:r w:rsidDel="00000000" w:rsidR="00000000" w:rsidRPr="00000000">
        <w:rPr>
          <w:rtl w:val="0"/>
        </w:rPr>
        <w:t xml:space="preserve">8. Mandatory per-client honesty flags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pattern is worthless if it oversells. Every instantiation must state: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Investment-case linkage</w:t>
      </w:r>
      <w:r w:rsidDel="00000000" w:rsidR="00000000" w:rsidRPr="00000000">
        <w:rPr>
          <w:rtl w:val="0"/>
        </w:rPr>
        <w:t xml:space="preserve"> — the ARIA recommendation cites the Blueprint's </w:t>
      </w:r>
      <w:r w:rsidDel="00000000" w:rsidR="00000000" w:rsidRPr="00000000">
        <w:rPr>
          <w:i w:val="1"/>
          <w:iCs w:val="1"/>
          <w:rtl w:val="0"/>
        </w:rPr>
        <w:t xml:space="preserve">own</w:t>
      </w:r>
      <w:r w:rsidDel="00000000" w:rsidR="00000000" w:rsidRPr="00000000">
        <w:rPr>
          <w:rtl w:val="0"/>
        </w:rPr>
        <w:t xml:space="preserve"> ROI/opportunity evidence as justification — never the intake budget signal, never a bare affordability claim. The intake budget signal's only legitimate use is tier </w:t>
      </w:r>
      <w:r w:rsidDel="00000000" w:rsidR="00000000" w:rsidRPr="00000000">
        <w:rPr>
          <w:i w:val="1"/>
          <w:iCs w:val="1"/>
          <w:rtl w:val="0"/>
        </w:rPr>
        <w:t xml:space="preserve">phasing</w:t>
      </w:r>
      <w:r w:rsidDel="00000000" w:rsidR="00000000" w:rsidRPr="00000000">
        <w:rPr>
          <w:rtl w:val="0"/>
        </w:rPr>
        <w:t xml:space="preserve"> (which tranche starts first), not whether to recommend.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Adapter availability</w:t>
      </w:r>
      <w:r w:rsidDel="00000000" w:rsidR="00000000" w:rsidRPr="00000000">
        <w:rPr>
          <w:rtl w:val="0"/>
        </w:rPr>
        <w:t xml:space="preserve"> — confirm the client's work-management/ops system is a supported ARIA adapter; if not (e.g. an ATS like Vincere, an ERP), flag as Custom/roadmap dependency, not vanilla Standard.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Product-readiness gate</w:t>
      </w:r>
      <w:r w:rsidDel="00000000" w:rsidR="00000000" w:rsidRPr="00000000">
        <w:rPr>
          <w:rtl w:val="0"/>
        </w:rPr>
        <w:t xml:space="preserve"> — ARIA's pre-tenant security items must be closed before any external tenant; H-0 delivery is blocked on that gate.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Data-quality reality</w:t>
      </w:r>
      <w:r w:rsidDel="00000000" w:rsidR="00000000" w:rsidRPr="00000000">
        <w:rPr>
          <w:rtl w:val="0"/>
        </w:rPr>
        <w:t xml:space="preserve"> — Brain Genesis output is only as good as the corpus; flag poor/ungoverned data and prior tooling failures as execution risk. Light up the cleanest data first; gate poor-data corners behind governed cleanup.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cap</w:t>
      </w:r>
      <w:r w:rsidDel="00000000" w:rsidR="00000000" w:rsidRPr="00000000">
        <w:rPr>
          <w:rtl w:val="0"/>
        </w:rPr>
        <w:t xml:space="preserve"> — enforce the band ceiling (§5/§6).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mms7dbw42l18" w:id="9"/>
      <w:bookmarkEnd w:id="9"/>
      <w:r w:rsidDel="00000000" w:rsidR="00000000" w:rsidRPr="00000000">
        <w:rPr>
          <w:rtl w:val="0"/>
        </w:rPr>
        <w:t xml:space="preserve">9. Implementation plan — the two-layer split (sequenced against known constraints)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gasyeia5q17y" w:id="10"/>
      <w:bookmarkEnd w:id="10"/>
      <w:r w:rsidDel="00000000" w:rsidR="00000000" w:rsidRPr="00000000">
        <w:rPr>
          <w:rtl w:val="0"/>
        </w:rPr>
        <w:t xml:space="preserve">9.1 The boundary principle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golden case (§10) is the acceptance benchmark, and it contains PP-0 and H-0. A benchmark the pipeline structurally cannot emit is a permanent failure by construction — Stage 1's selection algorithm pins 5+3 pain points and 7 hypotheses, and Stage 3 locks to Stage 1's score markers, so no downstream skill can conjure H-0 if Stage 1 never emits it. Therefore the pipeline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enhanced. The question is never </w:t>
      </w:r>
      <w:r w:rsidDel="00000000" w:rsidR="00000000" w:rsidRPr="00000000">
        <w:rPr>
          <w:i w:val="1"/>
          <w:iCs w:val="1"/>
          <w:rtl w:val="0"/>
        </w:rPr>
        <w:t xml:space="preserve">whether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i w:val="1"/>
          <w:iCs w:val="1"/>
          <w:rtl w:val="0"/>
        </w:rPr>
        <w:t xml:space="preserve">which content through which vehicle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Layer A — diagnostic content → INSIDE the pipeline, via governed schema bump (intake_v1.0 → v1.1):</w:t>
      </w:r>
      <w:r w:rsidDel="00000000" w:rsidR="00000000" w:rsidRPr="00000000">
        <w:rPr>
          <w:rtl w:val="0"/>
        </w:rPr>
        <w:t xml:space="preserve"> PP-0 template instantiation rules; the absorption/tombstone rule; H-0 generation as </w:t>
      </w:r>
      <w:r w:rsidDel="00000000" w:rsidR="00000000" w:rsidRPr="00000000">
        <w:rPr>
          <w:b w:val="1"/>
          <w:bCs w:val="1"/>
          <w:rtl w:val="0"/>
        </w:rPr>
        <w:t xml:space="preserve">one undivided scored entity</w:t>
      </w:r>
      <w:r w:rsidDel="00000000" w:rsidR="00000000" w:rsidRPr="00000000">
        <w:rPr>
          <w:rtl w:val="0"/>
        </w:rPr>
        <w:t xml:space="preserve"> (single score marker,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phase_dependency=strict</w:t>
      </w:r>
      <w:r w:rsidDel="00000000" w:rsidR="00000000" w:rsidRPr="00000000">
        <w:rPr>
          <w:rtl w:val="0"/>
        </w:rPr>
        <w:t xml:space="preserve">); band assignment derived from the six maturity dimensions; golden-case recalibration of the acceptance baseline. All deterministic contract rules — expressible in the schema, selection algorithms, and score-marker vocabulary. One major version bump, one full re-acceptance cycle (n=4), executed only after T-10⁹ credits. Never prose edits to pinned stages; never mid-engagement (versioning policy).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Layer B — commercial/productization logic → OUTSIDE,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blueprint-aria-spec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H-0 decomposition into phases (Brain Genesis, governance gate, consumers); ARIA tier/pricing; Build Sheet YAML emission; adapter-availability and security-gate checks; the §8 honesty flags as recommendation gates. Standalone skill, invoked conditionally post-Gate-5, read-only over the three locked pipeline outputs, versioned independently.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2jw598onr3ux" w:id="11"/>
      <w:bookmarkEnd w:id="11"/>
      <w:r w:rsidDel="00000000" w:rsidR="00000000" w:rsidRPr="00000000">
        <w:rPr>
          <w:rtl w:val="0"/>
        </w:rPr>
        <w:t xml:space="preserve">9.2 Why the boundary sits exactly there (decision rationale, recorded)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T-30 collision (mechanical, not stylistic).</w:t>
      </w:r>
      <w:r w:rsidDel="00000000" w:rsidR="00000000" w:rsidRPr="00000000">
        <w:rPr>
          <w:rtl w:val="0"/>
        </w:rPr>
        <w:t xml:space="preserve"> Era M's KR3 failure was the model decomposing one scored entity across phases (S-40/REG-16), proven </w:t>
      </w:r>
      <w:r w:rsidDel="00000000" w:rsidR="00000000" w:rsidRPr="00000000">
        <w:rPr>
          <w:i w:val="1"/>
          <w:iCs w:val="1"/>
          <w:rtl w:val="0"/>
        </w:rPr>
        <w:t xml:space="preserve">intermittent</w:t>
      </w:r>
      <w:r w:rsidDel="00000000" w:rsidR="00000000" w:rsidRPr="00000000">
        <w:rPr>
          <w:rtl w:val="0"/>
        </w:rPr>
        <w:t xml:space="preserve"> — the defect class a clean re-run cannot retire. v35.1's T-30 BLOCKER forbids it. H-0's value downstream is precisely its decomposition; inside the pipeline that same decomposition is a seeded regression. So the pipeline scores H-0 undivided (Layer A); only the Build Sheet decomposes it (Layer B).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Cadence mismatch.</w:t>
      </w:r>
      <w:r w:rsidDel="00000000" w:rsidR="00000000" w:rsidRPr="00000000">
        <w:rPr>
          <w:rtl w:val="0"/>
        </w:rPr>
        <w:t xml:space="preserve"> The pipeline changes at acceptance-cycle speed (eras, n=4, freezes). ARIA's commercial surface changes at sales speed (prices, adapters, gate status). Coupled, every price change either forces a full re-acceptance or silently invalidates the lineage. Decoupled, each moves at its own speed.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Diagnostic integrity.</w:t>
      </w:r>
      <w:r w:rsidDel="00000000" w:rsidR="00000000" w:rsidRPr="00000000">
        <w:rPr>
          <w:rtl w:val="0"/>
        </w:rPr>
        <w:t xml:space="preserve"> Stage 3 carries a non-salesy-tone quality rule; the Blueprint's defensibility is its evidence-only discipline. Embedding our own product's tiers into diagnostic stages converts an audit into a brochure — and clients failing the §4 promotion gate or §8 flags should receive no ARIA recommendation at all. A conditional downstream skill keeps the diagnostic universal and the recommendation earned.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Blast radius under ADR-001.</w:t>
      </w:r>
      <w:r w:rsidDel="00000000" w:rsidR="00000000" w:rsidRPr="00000000">
        <w:rPr>
          <w:rtl w:val="0"/>
        </w:rPr>
        <w:t xml:space="preserve"> In the terminal render-from-template architecture, Layer A content becomes pinned template content (cheap, safe). Layer B embedded would create five new client-facing emission surfaces to leak-gate like S5; standalone, it creates exactly one.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f657cvby4qhc" w:id="12"/>
      <w:bookmarkEnd w:id="12"/>
      <w:r w:rsidDel="00000000" w:rsidR="00000000" w:rsidRPr="00000000">
        <w:rPr>
          <w:rtl w:val="0"/>
        </w:rPr>
        <w:t xml:space="preserve">9.3 Sequenced plan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Depends 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 golden-case defects (§10 notes); sign off band contract + this split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Golden case internally consistent; boundary agreed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T-10⁹ acceptance completes on current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v35.1 fixes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6/6 ×4 credited on intake_v1.0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 bump intake_v1.1: PP-0/H-0/band rules into contracts + algorithms; golden case becomes the pinned benchmark; all 5 skills version-bumped together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P1; TR1 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n=4 re-acceptance passes against the golden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blueprint-aria-spec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skill: band + tier + map → Build Sheet; §8 flags enforced as gates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P0; TR1 closed (parallel to P2 — no pipeline dependency)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Sheet correct for all 3 bands; leak/name gates on its one emission surface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Orchestrator pointer: one line, post-Gate-5 conditional invoke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 + 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Pointer added in the same v1.1 version event, no extra bump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Universal hardening: spec + v1.1 pipeline reviewed against 1–2 real (imperfect) intakes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 band + H-0 posture + recommendation gating on thin evidence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Decision recorded: </w:t>
      </w:r>
      <w:r w:rsidDel="00000000" w:rsidR="00000000" w:rsidRPr="00000000">
        <w:rPr>
          <w:b w:val="1"/>
          <w:bCs w:val="1"/>
          <w:rtl w:val="0"/>
        </w:rPr>
        <w:t xml:space="preserve">two-layer split — schema-governed pipeline enhancement for diagnostic content (Layer A) + standalone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blueprint-aria-spec</w:t>
      </w:r>
      <w:r w:rsidDel="00000000" w:rsidR="00000000" w:rsidRPr="00000000">
        <w:rPr>
          <w:b w:val="1"/>
          <w:bCs w:val="1"/>
          <w:rtl w:val="0"/>
        </w:rPr>
        <w:t xml:space="preserve"> for productization logic (Layer B)</w:t>
      </w:r>
      <w:r w:rsidDel="00000000" w:rsidR="00000000" w:rsidRPr="00000000">
        <w:rPr>
          <w:rtl w:val="0"/>
        </w:rPr>
        <w:t xml:space="preserve"> — superseding the earlier "standalone skill only" recording. Rationale §9.2; session log 2026-07-20.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a1ilex6qcbgz" w:id="13"/>
      <w:bookmarkEnd w:id="13"/>
      <w:r w:rsidDel="00000000" w:rsidR="00000000" w:rsidRPr="00000000">
        <w:rPr>
          <w:rtl w:val="0"/>
        </w:rPr>
        <w:t xml:space="preserve">10. Appendix — Golden worked example: Meridian Talent Partners OOD (Band 1)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i w:val="1"/>
          <w:iCs w:val="1"/>
          <w:rtl w:val="0"/>
        </w:rPr>
        <w:t xml:space="preserve">The corrected final-output register a right AI-consultant analysis produces for a Band 1 client. Corrections applied vs. the draft golden-case doc: (a) count line fixed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eight</w:t>
      </w:r>
      <w:r w:rsidDel="00000000" w:rsidR="00000000" w:rsidRPr="00000000">
        <w:rPr>
          <w:i w:val="1"/>
          <w:iCs w:val="1"/>
          <w:rtl w:val="0"/>
        </w:rPr>
        <w:t xml:space="preserve"> pain points, five form-stated +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three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emergent; (b) "systematic" →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systemic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; (c) PP-0 carries Scope/Precedence + severity logic; (d) stale cross-reference in PP-3 fixed: "links to PP-6" →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links to PP-0</w:t>
      </w:r>
      <w:r w:rsidDel="00000000" w:rsidR="00000000" w:rsidRPr="00000000">
        <w:rPr>
          <w:i w:val="1"/>
          <w:iCs w:val="1"/>
          <w:rtl w:val="0"/>
        </w:rPr>
        <w:t xml:space="preserve"> (renumbering artifact); (e) tombstone note added for the old PP-6.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5srf577uokg6" w:id="14"/>
      <w:bookmarkEnd w:id="14"/>
      <w:r w:rsidDel="00000000" w:rsidR="00000000" w:rsidRPr="00000000">
        <w:rPr>
          <w:rtl w:val="0"/>
        </w:rPr>
        <w:t xml:space="preserve">10.1 Pain Point Register (Prioritized)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Eight pain points: five form-stated (PP-1 to PP-5, always included per the selection algorithm) plus three emergent from documents (PP-0, PP-6, PP-7), selected on Severity ×3 + Evidence Strength ×2 + Strategic Relevance ×1. Runners-up not promoted: BD proposal effort (4–8 hrs, no template), Operations Director capacity overload (tracked as delivery risk), executive search fee-sharing friction (organisational, not process). </w:t>
      </w:r>
      <w:r w:rsidDel="00000000" w:rsidR="00000000" w:rsidRPr="00000000">
        <w:rPr>
          <w:i w:val="1"/>
          <w:iCs w:val="1"/>
          <w:rtl w:val="0"/>
        </w:rPr>
        <w:t xml:space="preserve">Tombstone: former PP-6 (zero system integration) merged into PP-0; former PP-7/PP-8 renumbered to PP-6/PP-7 — all cross-references re-audited.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PP-0 — Fragmented data infrastructure: no integrated single source of truth</w:t>
      </w:r>
      <w:r w:rsidDel="00000000" w:rsidR="00000000" w:rsidRPr="00000000">
        <w:rPr>
          <w:rtl w:val="0"/>
        </w:rPr>
        <w:t xml:space="preserve"> Severity: </w:t>
      </w:r>
      <w:r w:rsidDel="00000000" w:rsidR="00000000" w:rsidRPr="00000000">
        <w:rPr>
          <w:b w:val="1"/>
          <w:bCs w:val="1"/>
          <w:rtl w:val="0"/>
        </w:rPr>
        <w:t xml:space="preserve">CRITICAL (systemic)</w:t>
      </w:r>
      <w:r w:rsidDel="00000000" w:rsidR="00000000" w:rsidRPr="00000000">
        <w:rPr>
          <w:rtl w:val="0"/>
        </w:rPr>
        <w:t xml:space="preserve"> · Scope: all verticals &amp; departments · Precedence: P0 (foundational) · Absorbs former PP-6 Evidence: Zero active integrations between any systems; all data exchange manual (CSV export, copy-paste); all reporting compiled by hand into Excel — no data warehouse, no BI layer, no single source of truth for operational performance [Document-Backed — tech inventory p.2]. Vincere and Xero expose documented APIs; none used — raw materials exist, the integration layer does not [Document-Backed — tech inventory p.2]. Severity logic: breadth × dependency — degrades every function at once; structural cause behind PP-3 and the MD-visibility gap in PP-5; gates internal-data value of PP-1/PP-2. Non-negotiable across engagement scenarios; only remediation scope and sequencing flex with maturity [Inferred — justification register].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PP-1 — Manual candidate sourcing bottleneck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· Severity: CRITICAL (acute) Evidence: 6–8 researcher-hours per mandate across ~35–40 active mandates/month; sourcing consumes 22 of 38 TTF days (58%); LinkedIn AI unreliable for specialist roles; no tool learns from 9 years of placement history [Document-Backed + Form-Stated — intake form S3; sales pipeline p.1–2; SOP p.1–2]. Relevance: Directly blocks Priority 2 (38→28 days) and revenue-per-FTE. Highest-leverage single process.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PP-2 — Dead candidate database (47,000 records)</w:t>
      </w:r>
      <w:r w:rsidDel="00000000" w:rsidR="00000000" w:rsidRPr="00000000">
        <w:rPr>
          <w:rtl w:val="0"/>
        </w:rPr>
        <w:t xml:space="preserve"> · Severity: HIGH Evidence: 30–40% outdated/missing-skills/duplicated; consultants start fresh on LinkedIn per mandate; 2023 cleaning reverted for lack of governance; Vincere migration proceeding without cleansing stage [Document-Backed + Form-Stated — intake form S3/S6; tech inventory p.2; previous AI initiatives p.2]. Relevance: Paid-for asset producing zero sourcing value; prerequisite for internal-data matching; migration window is a one-time governance opportunity [Inferred].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PP-3 — Inconsistent client reporting &amp; transparency</w:t>
      </w:r>
      <w:r w:rsidDel="00000000" w:rsidR="00000000" w:rsidRPr="00000000">
        <w:rPr>
          <w:rtl w:val="0"/>
        </w:rPr>
        <w:t xml:space="preserve"> · Severity: HIGH Evidence: Comms 3.1/5 (lowest, unchanged 2+ yrs); ~40% weekly-update adherence; 6 of 12 clients say consultants "go quiet"; 4 of 12 want a dashboard; 2024 template attempt failed in 6 weeks [Document-Backed + Form-Stated — intake form S3; marketing/customer data p.1; SOP p.3; previous AI initiatives p.2]. Relevance: Gates the 4.2/5 CSAT target; defends against dual-sourcing churn. Client's own conclusion: automated ATS-driven updates — which require a populated ATS first (</w:t>
      </w:r>
      <w:r w:rsidDel="00000000" w:rsidR="00000000" w:rsidRPr="00000000">
        <w:rPr>
          <w:b w:val="1"/>
          <w:bCs w:val="1"/>
          <w:rtl w:val="0"/>
        </w:rPr>
        <w:t xml:space="preserve">links to PP-0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PP-4 — Manual CV formatting &amp; candidate summaries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· Severity: HIGH Evidence: 1.5–2 consultant-hours per submission; 8–10 hrs per 5-candidate shortlist; done by consultants, not support staff; VA outsourcing failed on quality and overhead [Document-Backed + Form-Stated — intake form S3; SOP p.2–3; previous AI initiatives p.3]. Relevance: Most cleanly quantified admin burden; explicit ≤30-min target already set. Fastest credible quick win.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PP-5 — Fragmented interview &amp; offer management</w:t>
      </w:r>
      <w:r w:rsidDel="00000000" w:rsidR="00000000" w:rsidRPr="00000000">
        <w:rPr>
          <w:rtl w:val="0"/>
        </w:rPr>
        <w:t xml:space="preserve"> · Severity: MEDIUM Evidence: 4-person panel scheduling takes 3–5 email exchanges over 2–3 days; delays add 3–5 TTF days; offers tracked in personal spreadsheets; MD lacks real-time pipeline visibility [Document-Backed + Form-Stated — intake form S3; sales pipeline p.1; SOP p.3]. Relevance: Partly configuration/standardisation, not AI — separate honestly in the audit.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PP-6 — Ungoverned AI use amid immature GDPR posture (emergent)</w:t>
      </w:r>
      <w:r w:rsidDel="00000000" w:rsidR="00000000" w:rsidRPr="00000000">
        <w:rPr>
          <w:rtl w:val="0"/>
        </w:rPr>
        <w:t xml:space="preserve"> · Severity: HIGH Evidence: Candidate PII in personal ChatGPT accounts, no policy/assessment; no documented retention; 3 DSARs handled manually/inconsistently; pre-2021 consent incomplete [Document-Backed + Form-Stated — previous AI initiatives p.3–4; intake form S6; tech inventory p.2]. Relevance: Live compliance exposure predating any recommendation — governance is remediation, not later-phase overhead. Natural fit for the stated initial budget.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PP-7 — Researcher turnover and knowledge retention (emergent)</w:t>
      </w:r>
      <w:r w:rsidDel="00000000" w:rsidR="00000000" w:rsidRPr="00000000">
        <w:rPr>
          <w:rtl w:val="0"/>
        </w:rPr>
        <w:t xml:space="preserve"> · Severity: MEDIUM Evidence: ~35% annual turnover in the 22-person researcher tier (avg tenure 1.3 yrs); knowledge lives in personal inboxes/notes [Document-Backed — org chart p.2; tech inventory p.2]. Relevance: Raises the value of codifying sourcing knowledge; interacts with H2 2026 hiring (+6–8 researchers if RPO launches).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p38utba00sy4" w:id="15"/>
      <w:bookmarkEnd w:id="15"/>
      <w:r w:rsidDel="00000000" w:rsidR="00000000" w:rsidRPr="00000000">
        <w:rPr>
          <w:rtl w:val="0"/>
        </w:rPr>
        <w:t xml:space="preserve">10.2 Opportunity Hypotheses (pre-scoring brainstorm inputs — eight)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Hypothesis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design constraints &amp; timing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Company Brain — unified data foundation + AI knowledge layer (Layer 2 / ARIA)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PP-0 (root); unblocks PP-3, PP-5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Cross-cutting — underpins all three FY2026 priorities; direct prerequisite for the Priority-3 AI mandate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Raw materials exist (Vincere + Xero APIs, 9 yrs history) but the integration layer does not [tech inventory p.2]. Largest scope, lowest current feasibility. Prerequisites: H-5 (governance) + H-4 (governed data). Phase: decision-intelligence over clean Xero+pipeline data first; candidate/knowledge layer as data proves reliable. Hub build post-July-cutover; design + governance pre-cutover. Band 1 → ARIA Standard ceiling; Vincere = non-standard adapter (Custom/roadmap dependency); investment case cited from Blueprint ROI evidence, not intake budget signal.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AI-assisted sourcing &amp; candidate matching (9 yrs placement history)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PP-1, PP-2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Priority 2: TTF 38→28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Generic tools failed on specialist CEE roles twice — CEE-sample pilot mandatory; internal-data variant depends on H-4, consumes H-0; post-cutover for ATS integration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CV formatting + candidate summary automation (draft-only, HITL)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Priority 3: ≤30 min per candidate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Quality bar set by consultants who rejected the VA; HITL non-negotiable; largely ATS-independent — pre-cutover start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client status reporting from the 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PP-3, PP-0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CSAT 3.83→4.20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Client's own conclusion: automation, not templates; a consumer of H-0 — requires populated Vincere + integration layer, post-cutover; tool-enforced, zero new consultant steps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Candidate database revival: dedupe, enrich, govern at migration 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PP-2, PP-0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Enabler for H-0/H-1/H-3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governed-data component of H-0 (Brain Genesis). One-time window: governance before July cutover (2023 lesson); includes GDPR consent audit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use policy, company AI account, shared prompt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remediation + EU AI Act readiness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Immediate; low cost; converts live GDPR exposure into managed capability; prerequisite for scaling every hypothesis including H-0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Interview scheduling standardisation + shared pipeline visibility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MD visibility; TTF −3–5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Substantially configuration, not AI — separate honestly to protect credibility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BD proposal automation + RPO productisation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BD effort (runner-up)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Priority 3 RPO launch; win rate 34→40%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Template + drafting assistance; RPO tier/SLA/pricing documentation; low data dependency — pre-cutover start</w:t>
            </w:r>
          </w:p>
        </w:tc>
      </w:tr>
    </w:tbl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88o3h2dxt2wy" w:id="16"/>
      <w:bookmarkEnd w:id="16"/>
      <w:r w:rsidDel="00000000" w:rsidR="00000000" w:rsidRPr="00000000">
        <w:rPr>
          <w:rtl w:val="0"/>
        </w:rPr>
        <w:t xml:space="preserve">10.3 Band verdict for the golden case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Meridian = </w:t>
      </w:r>
      <w:r w:rsidDel="00000000" w:rsidR="00000000" w:rsidRPr="00000000">
        <w:rPr>
          <w:b w:val="1"/>
          <w:bCs w:val="1"/>
          <w:rtl w:val="0"/>
        </w:rPr>
        <w:t xml:space="preserve">Band 1 (LOW)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Layer 1 fragmented (zero integrations) + org friction (Partner resistance, adoption reversion pattern) → PP-0 CRITICAL (systemic) → H-0 phased, governance-first → ARIA tier ceiling </w:t>
      </w: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roadmap: governance + zero-data quick wins (H-5, H-2, H-7) → Brain Genesis (H-4) pre-cutover → brain consumers (H-3, H-1) post-cutover.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Provenance: synthesised from the Meridian Client Handoff Dossier v1 (BP-TEST-001), ARIA→Agentic AI Company OS 360° Productization Report (2026-07-20), Blueprint v35/v35.1 Era M acceptance report (BP-2026-MTP-001), and the Meridian Golden Case Example draft. All client-evidence claims carry the source document's confidence tags; pattern-level design decisions are [Inferred] from the session log of 2026-07-20 and marked where load-bearing.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