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0" w:line="30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56"/>
          <w:szCs w:val="56"/>
          <w:rtl w:val="0"/>
        </w:rPr>
        <w:t xml:space="preserve">MERIDIAN TALENT PARTNERS 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360" w:line="300" w:lineRule="auto"/>
        <w:rPr>
          <w:color w:val="c17b2c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c17b2c"/>
          <w:sz w:val="48"/>
          <w:szCs w:val="48"/>
          <w:rtl w:val="0"/>
        </w:rPr>
        <w:t xml:space="preserve">Golden Case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Pain Point Register (Prioritized)</w:t>
      </w:r>
    </w:p>
    <w:p w:rsidR="00000000" w:rsidDel="00000000" w:rsidP="00000000" w:rsidRDefault="00000000" w:rsidRPr="00000000" w14:paraId="00000004">
      <w:pPr>
        <w:spacing w:after="120" w:before="60" w:line="276" w:lineRule="auto"/>
        <w:rPr>
          <w:rFonts w:ascii="Calibri" w:cs="Calibri" w:eastAsia="Calibri" w:hAnsi="Calibri"/>
          <w:color w:val="2d3748"/>
          <w:sz w:val="22"/>
          <w:szCs w:val="22"/>
        </w:rPr>
      </w:pPr>
      <w:r w:rsidDel="00000000" w:rsidR="00000000" w:rsidRPr="00000000">
        <w:rPr>
          <w:rtl w:val="0"/>
        </w:rPr>
        <w:t xml:space="preserve">Nine </w:t>
      </w:r>
      <w:r w:rsidDel="00000000" w:rsidR="00000000" w:rsidRPr="00000000">
        <w:rPr>
          <w:rFonts w:ascii="Calibri" w:cs="Calibri" w:eastAsia="Calibri" w:hAnsi="Calibri"/>
          <w:color w:val="2d3748"/>
          <w:sz w:val="22"/>
          <w:szCs w:val="22"/>
          <w:rtl w:val="0"/>
        </w:rPr>
        <w:t xml:space="preserve">pain points: the five form-stated items (PP-1 to PP-5, always included per the Blueprint selection algorithm) plus </w:t>
      </w:r>
      <w:r w:rsidDel="00000000" w:rsidR="00000000" w:rsidRPr="00000000">
        <w:rPr>
          <w:rtl w:val="0"/>
        </w:rPr>
        <w:t xml:space="preserve">four</w:t>
      </w:r>
      <w:r w:rsidDel="00000000" w:rsidR="00000000" w:rsidRPr="00000000">
        <w:rPr>
          <w:rFonts w:ascii="Calibri" w:cs="Calibri" w:eastAsia="Calibri" w:hAnsi="Calibri"/>
          <w:color w:val="2d3748"/>
          <w:sz w:val="22"/>
          <w:szCs w:val="22"/>
          <w:rtl w:val="0"/>
        </w:rPr>
        <w:t xml:space="preserve"> emergent candidates from documents, selected on Severity ×3 + Evidence Strength ×2 + Strategic Relevance ×1. Runners-up not promoted: BD proposal effort (4–8 hrs, no template), Operations Director capacity overload (tracked instead as a delivery risk), and executive search fee-sharing friction (organisational, not process).</w:t>
      </w:r>
    </w:p>
    <w:p w:rsidR="00000000" w:rsidDel="00000000" w:rsidP="00000000" w:rsidRDefault="00000000" w:rsidRPr="00000000" w14:paraId="00000005">
      <w:pPr>
        <w:pStyle w:val="Heading2"/>
        <w:pBdr>
          <w:left w:color="auto" w:space="0" w:sz="0" w:val="none"/>
        </w:pBdr>
        <w:spacing w:after="80" w:line="276" w:lineRule="auto"/>
        <w:rPr>
          <w:color w:val="2d3748"/>
          <w:sz w:val="34"/>
          <w:szCs w:val="34"/>
        </w:rPr>
      </w:pPr>
      <w:bookmarkStart w:colFirst="0" w:colLast="0" w:name="_heading=h.ufq6uxh59cub" w:id="0"/>
      <w:bookmarkEnd w:id="0"/>
      <w:r w:rsidDel="00000000" w:rsidR="00000000" w:rsidRPr="00000000">
        <w:rPr>
          <w:color w:val="2d3748"/>
          <w:sz w:val="34"/>
          <w:szCs w:val="34"/>
          <w:rtl w:val="0"/>
        </w:rPr>
        <w:t xml:space="preserve">The H-0 → ARIA Foundation Pattern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 line:</w:t>
      </w:r>
      <w:r w:rsidDel="00000000" w:rsidR="00000000" w:rsidRPr="00000000">
        <w:rPr>
          <w:rtl w:val="0"/>
        </w:rPr>
        <w:t xml:space="preserve"> every Blueprint that finds a fragmented-data client with agent-shaped work promotes a single foundational rung — H-0, the AI-Brain foundation — and that rung is delivered as an ARIA Foundry instance. The Blueprint diagnoses; ARIA operationalises.</w:t>
      </w:r>
    </w:p>
    <w:p w:rsidR="00000000" w:rsidDel="00000000" w:rsidP="00000000" w:rsidRDefault="00000000" w:rsidRPr="00000000" w14:paraId="00000007">
      <w:pPr>
        <w:pStyle w:val="Heading3"/>
        <w:spacing w:after="80" w:line="276" w:lineRule="auto"/>
        <w:rPr>
          <w:color w:val="2d3748"/>
        </w:rPr>
      </w:pPr>
      <w:bookmarkStart w:colFirst="0" w:colLast="0" w:name="_heading=h.flbtnzg2heay" w:id="1"/>
      <w:bookmarkEnd w:id="1"/>
      <w:r w:rsidDel="00000000" w:rsidR="00000000" w:rsidRPr="00000000">
        <w:rPr>
          <w:color w:val="2d3748"/>
          <w:rtl w:val="0"/>
        </w:rPr>
        <w:t xml:space="preserve">1. The universal pain point (PP-0 template)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Nearly every operating company carries the same structural pain, so PP-0 is a </w:t>
      </w:r>
      <w:r w:rsidDel="00000000" w:rsidR="00000000" w:rsidRPr="00000000">
        <w:rPr>
          <w:i w:val="1"/>
          <w:iCs w:val="1"/>
          <w:rtl w:val="0"/>
        </w:rPr>
        <w:t xml:space="preserve">pattern entry</w:t>
      </w:r>
      <w:r w:rsidDel="00000000" w:rsidR="00000000" w:rsidRPr="00000000">
        <w:rPr>
          <w:rtl w:val="0"/>
        </w:rPr>
        <w:t xml:space="preserve"> you instantiate, not a discovery you hope to make:</w:t>
      </w:r>
    </w:p>
    <w:p w:rsidR="00000000" w:rsidDel="00000000" w:rsidP="00000000" w:rsidRDefault="00000000" w:rsidRPr="00000000" w14:paraId="00000009">
      <w:pPr>
        <w:spacing w:after="12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PP-0 - Fragmented data infrastructure: no integrated single source of truth </w:t>
      </w:r>
    </w:p>
    <w:p w:rsidR="00000000" w:rsidDel="00000000" w:rsidP="00000000" w:rsidRDefault="00000000" w:rsidRPr="00000000" w14:paraId="0000000B">
      <w:pPr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CRITICAL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(systematic)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 </w:t>
      </w:r>
      <w:r w:rsidDel="00000000" w:rsidR="00000000" w:rsidRPr="00000000">
        <w:rPr>
          <w:rtl w:val="0"/>
        </w:rPr>
        <w:t xml:space="preserve">There are zero active integrations between any systems; all data exchange is manual (CSV export, copy-paste). All reporting is compiled by hand into Excel — there is no data warehouse, no BI layer, and no single source of truth for operational performance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color w:val="4a6fa5"/>
          <w:sz w:val="16"/>
          <w:szCs w:val="16"/>
          <w:rtl w:val="0"/>
        </w:rPr>
        <w:t xml:space="preserve">[Document-Backed — tech inventory p.2]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PP-1 — Manual candidate sourcing bottleneck</w:t>
      </w:r>
    </w:p>
    <w:p w:rsidR="00000000" w:rsidDel="00000000" w:rsidP="00000000" w:rsidRDefault="00000000" w:rsidRPr="00000000" w14:paraId="0000000E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2"/>
          <w:szCs w:val="22"/>
          <w:rtl w:val="0"/>
        </w:rPr>
        <w:t xml:space="preserve">Severity: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c0000"/>
          <w:sz w:val="22"/>
          <w:szCs w:val="22"/>
          <w:rtl w:val="0"/>
        </w:rPr>
        <w:t xml:space="preserve">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2"/>
          <w:szCs w:val="22"/>
          <w:rtl w:val="0"/>
        </w:rPr>
        <w:t xml:space="preserve">Evidence: </w:t>
      </w:r>
      <w:r w:rsidDel="00000000" w:rsidR="00000000" w:rsidRPr="00000000">
        <w:rPr>
          <w:rFonts w:ascii="Calibri" w:cs="Calibri" w:eastAsia="Calibri" w:hAnsi="Calibri"/>
          <w:color w:val="2d3748"/>
          <w:sz w:val="22"/>
          <w:szCs w:val="22"/>
          <w:rtl w:val="0"/>
        </w:rPr>
        <w:t xml:space="preserve">6–8 researcher-hours per mandate across ~35–40 active mandates/month; sourcing consumes 22 of 38 average time-to-fill days (58%); LinkedIn AI suggestions unreliable for specialist roles; no tool learns from 9 years of placement history.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6fa5"/>
          <w:sz w:val="16"/>
          <w:szCs w:val="16"/>
          <w:rtl w:val="0"/>
        </w:rPr>
        <w:t xml:space="preserve">  [Document-Backed + Form-Stated — intake form S3; sales pipeline p.1–2; SOP p.1–2]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2"/>
          <w:szCs w:val="22"/>
          <w:rtl w:val="0"/>
        </w:rPr>
        <w:t xml:space="preserve">Impact &amp; audit relevance: </w:t>
      </w:r>
      <w:r w:rsidDel="00000000" w:rsidR="00000000" w:rsidRPr="00000000">
        <w:rPr>
          <w:rFonts w:ascii="Calibri" w:cs="Calibri" w:eastAsia="Calibri" w:hAnsi="Calibri"/>
          <w:color w:val="2d3748"/>
          <w:sz w:val="22"/>
          <w:szCs w:val="22"/>
          <w:rtl w:val="0"/>
        </w:rPr>
        <w:t xml:space="preserve">Directly blocks strategic Priority 1 (38→28 days) and the revenue-per-FTE target. The single highest-leverage process in the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PP-2 — Dead candidate database (47,000 records)</w:t>
      </w:r>
    </w:p>
    <w:p w:rsidR="00000000" w:rsidDel="00000000" w:rsidP="00000000" w:rsidRDefault="00000000" w:rsidRPr="00000000" w14:paraId="00000012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2"/>
          <w:szCs w:val="22"/>
          <w:rtl w:val="0"/>
        </w:rPr>
        <w:t xml:space="preserve">Severity: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67e22"/>
          <w:sz w:val="22"/>
          <w:szCs w:val="22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2"/>
          <w:szCs w:val="22"/>
          <w:rtl w:val="0"/>
        </w:rPr>
        <w:t xml:space="preserve">Evidence: </w:t>
      </w:r>
      <w:r w:rsidDel="00000000" w:rsidR="00000000" w:rsidRPr="00000000">
        <w:rPr>
          <w:rFonts w:ascii="Calibri" w:cs="Calibri" w:eastAsia="Calibri" w:hAnsi="Calibri"/>
          <w:color w:val="2d3748"/>
          <w:sz w:val="22"/>
          <w:szCs w:val="22"/>
          <w:rtl w:val="0"/>
        </w:rPr>
        <w:t xml:space="preserve">30–40% of records outdated, missing skills data, or duplicated; consultants start fresh on LinkedIn for every mandate; 2023 cleaning attempt reverted for lack of governance; Vincere migration proceeding without a cleansing stage.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6fa5"/>
          <w:sz w:val="16"/>
          <w:szCs w:val="16"/>
          <w:rtl w:val="0"/>
        </w:rPr>
        <w:t xml:space="preserve">  [Document-Backed + Form-Stated — intake form S3/S6; tech inventory p.2; previous AI initiatives p.2]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2"/>
          <w:szCs w:val="22"/>
          <w:rtl w:val="0"/>
        </w:rPr>
        <w:t xml:space="preserve">Impact &amp; audit relevance: </w:t>
      </w:r>
      <w:r w:rsidDel="00000000" w:rsidR="00000000" w:rsidRPr="00000000">
        <w:rPr>
          <w:rFonts w:ascii="Calibri" w:cs="Calibri" w:eastAsia="Calibri" w:hAnsi="Calibri"/>
          <w:color w:val="2d3748"/>
          <w:sz w:val="22"/>
          <w:szCs w:val="22"/>
          <w:rtl w:val="0"/>
        </w:rPr>
        <w:t xml:space="preserve">A paid-for asset producing zero sourcing value — and the prerequisite for any internal-data AI matching. The migration window is a one-time governance opportunity.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6fa5"/>
          <w:sz w:val="16"/>
          <w:szCs w:val="16"/>
          <w:rtl w:val="0"/>
        </w:rPr>
        <w:t xml:space="preserve">  [Inferred — Appendix A #3]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PP-3 — Inconsistent client reporting &amp; transparency</w:t>
      </w:r>
    </w:p>
    <w:p w:rsidR="00000000" w:rsidDel="00000000" w:rsidP="00000000" w:rsidRDefault="00000000" w:rsidRPr="00000000" w14:paraId="00000016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2"/>
          <w:szCs w:val="22"/>
          <w:rtl w:val="0"/>
        </w:rPr>
        <w:t xml:space="preserve">Severity: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67e22"/>
          <w:sz w:val="22"/>
          <w:szCs w:val="22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2"/>
          <w:szCs w:val="22"/>
          <w:rtl w:val="0"/>
        </w:rPr>
        <w:t xml:space="preserve">Evidence: </w:t>
      </w:r>
      <w:r w:rsidDel="00000000" w:rsidR="00000000" w:rsidRPr="00000000">
        <w:rPr>
          <w:rFonts w:ascii="Calibri" w:cs="Calibri" w:eastAsia="Calibri" w:hAnsi="Calibri"/>
          <w:color w:val="2d3748"/>
          <w:sz w:val="22"/>
          <w:szCs w:val="22"/>
          <w:rtl w:val="0"/>
        </w:rPr>
        <w:t xml:space="preserve">Comms rated 3.1/5 (lowest dimension, unchanged 2+ years); ~40% weekly-update adherence; 6 of 12 surveyed clients say consultants “go quiet”; 4 of 12 want a dashboard; 2024 template attempt failed in 6 weeks.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6fa5"/>
          <w:sz w:val="16"/>
          <w:szCs w:val="16"/>
          <w:rtl w:val="0"/>
        </w:rPr>
        <w:t xml:space="preserve">  [Document-Backed + Form-Stated — intake form S3; marketing/customer data p.1; SOP p.3; previous AI initiatives p.2]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2"/>
          <w:szCs w:val="22"/>
          <w:rtl w:val="0"/>
        </w:rPr>
        <w:t xml:space="preserve">Impact &amp; audit relevance: </w:t>
      </w:r>
      <w:r w:rsidDel="00000000" w:rsidR="00000000" w:rsidRPr="00000000">
        <w:rPr>
          <w:rFonts w:ascii="Calibri" w:cs="Calibri" w:eastAsia="Calibri" w:hAnsi="Calibri"/>
          <w:color w:val="2d3748"/>
          <w:sz w:val="22"/>
          <w:szCs w:val="22"/>
          <w:rtl w:val="0"/>
        </w:rPr>
        <w:t xml:space="preserve">Gates the 4.2/5 satisfaction target and defends against dual-sourcing churn. The client’s own review concludes the fix is automated ATS-driven updates — which requires the ATS to be populated first (links to PP-6).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PP-4 — Manual CV formatting &amp; candidate summaries</w:t>
      </w:r>
    </w:p>
    <w:p w:rsidR="00000000" w:rsidDel="00000000" w:rsidP="00000000" w:rsidRDefault="00000000" w:rsidRPr="00000000" w14:paraId="0000001A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2"/>
          <w:szCs w:val="22"/>
          <w:rtl w:val="0"/>
        </w:rPr>
        <w:t xml:space="preserve">Severity: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67e22"/>
          <w:sz w:val="22"/>
          <w:szCs w:val="22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2"/>
          <w:szCs w:val="22"/>
          <w:rtl w:val="0"/>
        </w:rPr>
        <w:t xml:space="preserve">Evidence: </w:t>
      </w:r>
      <w:r w:rsidDel="00000000" w:rsidR="00000000" w:rsidRPr="00000000">
        <w:rPr>
          <w:rFonts w:ascii="Calibri" w:cs="Calibri" w:eastAsia="Calibri" w:hAnsi="Calibri"/>
          <w:color w:val="2d3748"/>
          <w:sz w:val="22"/>
          <w:szCs w:val="22"/>
          <w:rtl w:val="0"/>
        </w:rPr>
        <w:t xml:space="preserve">1.5–2 consultant-hours per submission; 8–10 hours per 5-candidate shortlist; done by consultants, not support staff; VA outsourcing failed on quality and overhead.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6fa5"/>
          <w:sz w:val="16"/>
          <w:szCs w:val="16"/>
          <w:rtl w:val="0"/>
        </w:rPr>
        <w:t xml:space="preserve">  [Document-Backed + Form-Stated — intake form S3; SOP p.2–3; previous AI initiatives p.3]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2"/>
          <w:szCs w:val="22"/>
          <w:rtl w:val="0"/>
        </w:rPr>
        <w:t xml:space="preserve">Impact &amp; audit relevance: </w:t>
      </w:r>
      <w:r w:rsidDel="00000000" w:rsidR="00000000" w:rsidRPr="00000000">
        <w:rPr>
          <w:rFonts w:ascii="Calibri" w:cs="Calibri" w:eastAsia="Calibri" w:hAnsi="Calibri"/>
          <w:color w:val="2d3748"/>
          <w:sz w:val="22"/>
          <w:szCs w:val="22"/>
          <w:rtl w:val="0"/>
        </w:rPr>
        <w:t xml:space="preserve">The most cleanly quantified admin burden in the evidence base, with an explicit strategic target already set (≤30 min per candidate). Likely the fastest credible quick win.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PP-5 — Fragmented interview &amp; offer management</w:t>
      </w:r>
    </w:p>
    <w:p w:rsidR="00000000" w:rsidDel="00000000" w:rsidP="00000000" w:rsidRDefault="00000000" w:rsidRPr="00000000" w14:paraId="0000001E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2"/>
          <w:szCs w:val="22"/>
          <w:rtl w:val="0"/>
        </w:rPr>
        <w:t xml:space="preserve">Severity: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7ae60"/>
          <w:sz w:val="22"/>
          <w:szCs w:val="22"/>
          <w:rtl w:val="0"/>
        </w:rPr>
        <w:t xml:space="preserve">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2"/>
          <w:szCs w:val="22"/>
          <w:rtl w:val="0"/>
        </w:rPr>
        <w:t xml:space="preserve">Evidence: </w:t>
      </w:r>
      <w:r w:rsidDel="00000000" w:rsidR="00000000" w:rsidRPr="00000000">
        <w:rPr>
          <w:rFonts w:ascii="Calibri" w:cs="Calibri" w:eastAsia="Calibri" w:hAnsi="Calibri"/>
          <w:color w:val="2d3748"/>
          <w:sz w:val="22"/>
          <w:szCs w:val="22"/>
          <w:rtl w:val="0"/>
        </w:rPr>
        <w:t xml:space="preserve">4-person panel scheduling takes 3–5 email exchanges over 2–3 days; scheduling delays add 3–5 days to TTF; offers tracked in personal spreadsheets; MD has no real-time pipeline visibility.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6fa5"/>
          <w:sz w:val="16"/>
          <w:szCs w:val="16"/>
          <w:rtl w:val="0"/>
        </w:rPr>
        <w:t xml:space="preserve">  [Document-Backed + Form-Stated — intake form S3; sales pipeline p.1; SOP p.3]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2"/>
          <w:szCs w:val="22"/>
          <w:rtl w:val="0"/>
        </w:rPr>
        <w:t xml:space="preserve">Impact &amp; audit relevance: </w:t>
      </w:r>
      <w:r w:rsidDel="00000000" w:rsidR="00000000" w:rsidRPr="00000000">
        <w:rPr>
          <w:rFonts w:ascii="Calibri" w:cs="Calibri" w:eastAsia="Calibri" w:hAnsi="Calibri"/>
          <w:color w:val="2d3748"/>
          <w:sz w:val="22"/>
          <w:szCs w:val="22"/>
          <w:rtl w:val="0"/>
        </w:rPr>
        <w:t xml:space="preserve">Partly a configuration/standardisation problem (Calendly at 40% adoption; Vincere pipeline views) rather than an AI problem — worth separating in the audit.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PP-6 — Ungoverned AI use amid immature GDPR posture (emergent)</w:t>
      </w:r>
    </w:p>
    <w:p w:rsidR="00000000" w:rsidDel="00000000" w:rsidP="00000000" w:rsidRDefault="00000000" w:rsidRPr="00000000" w14:paraId="00000022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2"/>
          <w:szCs w:val="22"/>
          <w:rtl w:val="0"/>
        </w:rPr>
        <w:t xml:space="preserve">Severity: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67e22"/>
          <w:sz w:val="22"/>
          <w:szCs w:val="22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2"/>
          <w:szCs w:val="22"/>
          <w:rtl w:val="0"/>
        </w:rPr>
        <w:t xml:space="preserve">Evidence: </w:t>
      </w:r>
      <w:r w:rsidDel="00000000" w:rsidR="00000000" w:rsidRPr="00000000">
        <w:rPr>
          <w:rFonts w:ascii="Calibri" w:cs="Calibri" w:eastAsia="Calibri" w:hAnsi="Calibri"/>
          <w:color w:val="2d3748"/>
          <w:sz w:val="22"/>
          <w:szCs w:val="22"/>
          <w:rtl w:val="0"/>
        </w:rPr>
        <w:t xml:space="preserve">Candidate PII flows into personal ChatGPT accounts with no policy or assessment; no documented retention policies; 3 data-subject requests in the past year handled manually and inconsistently; pre-2021 consent records incomplete.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6fa5"/>
          <w:sz w:val="16"/>
          <w:szCs w:val="16"/>
          <w:rtl w:val="0"/>
        </w:rPr>
        <w:t xml:space="preserve">  [Document-Backed + Form-Stated — previous AI initiatives p.3–4; intake form S6; tech inventory p.2]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2"/>
          <w:szCs w:val="22"/>
          <w:rtl w:val="0"/>
        </w:rPr>
        <w:t xml:space="preserve">Impact &amp; audit relevance: </w:t>
      </w:r>
      <w:r w:rsidDel="00000000" w:rsidR="00000000" w:rsidRPr="00000000">
        <w:rPr>
          <w:rFonts w:ascii="Calibri" w:cs="Calibri" w:eastAsia="Calibri" w:hAnsi="Calibri"/>
          <w:color w:val="2d3748"/>
          <w:sz w:val="22"/>
          <w:szCs w:val="22"/>
          <w:rtl w:val="0"/>
        </w:rPr>
        <w:t xml:space="preserve">A live compliance exposure that predates any engagement recommendation — governance is not a later phase here, it is remediation of an existing risk. Also the natural fit for the stated €10K–€50K budget.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PP-7 — Researcher turnover and knowledge retention (emergent)</w:t>
      </w:r>
    </w:p>
    <w:p w:rsidR="00000000" w:rsidDel="00000000" w:rsidP="00000000" w:rsidRDefault="00000000" w:rsidRPr="00000000" w14:paraId="00000026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2"/>
          <w:szCs w:val="22"/>
          <w:rtl w:val="0"/>
        </w:rPr>
        <w:t xml:space="preserve">Severity: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7ae60"/>
          <w:sz w:val="22"/>
          <w:szCs w:val="22"/>
          <w:rtl w:val="0"/>
        </w:rPr>
        <w:t xml:space="preserve">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2"/>
          <w:szCs w:val="22"/>
          <w:rtl w:val="0"/>
        </w:rPr>
        <w:t xml:space="preserve">Evidence: </w:t>
      </w:r>
      <w:r w:rsidDel="00000000" w:rsidR="00000000" w:rsidRPr="00000000">
        <w:rPr>
          <w:rFonts w:ascii="Calibri" w:cs="Calibri" w:eastAsia="Calibri" w:hAnsi="Calibri"/>
          <w:color w:val="2d3748"/>
          <w:sz w:val="22"/>
          <w:szCs w:val="22"/>
          <w:rtl w:val="0"/>
        </w:rPr>
        <w:t xml:space="preserve">~35% annual turnover at the 22-person researcher tier (avg tenure 1.3 years); training and knowledge retention named as significant challenges; consultant-specific market knowledge lives in personal inboxes and notes.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6fa5"/>
          <w:sz w:val="16"/>
          <w:szCs w:val="16"/>
          <w:rtl w:val="0"/>
        </w:rPr>
        <w:t xml:space="preserve">  [Document-Backed — org chart p.2; tech inventory p.2]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2"/>
          <w:szCs w:val="22"/>
          <w:rtl w:val="0"/>
        </w:rPr>
        <w:t xml:space="preserve">Impact &amp; audit relevance: </w:t>
      </w:r>
      <w:r w:rsidDel="00000000" w:rsidR="00000000" w:rsidRPr="00000000">
        <w:rPr>
          <w:rFonts w:ascii="Calibri" w:cs="Calibri" w:eastAsia="Calibri" w:hAnsi="Calibri"/>
          <w:color w:val="2d3748"/>
          <w:sz w:val="22"/>
          <w:szCs w:val="22"/>
          <w:rtl w:val="0"/>
        </w:rPr>
        <w:t xml:space="preserve">Raises the value of codifying sourcing knowledge into systems and playbooks; interacts with H2 2026 hiring plans (+6–8 researchers if RPO launches).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2. Preliminary Opportunity Hypotheses (Brainstorm Inputs)</w:t>
      </w:r>
    </w:p>
    <w:p w:rsidR="00000000" w:rsidDel="00000000" w:rsidP="00000000" w:rsidRDefault="00000000" w:rsidRPr="00000000" w14:paraId="0000002B">
      <w:pPr>
        <w:pBdr>
          <w:left w:color="2e5090" w:space="8" w:sz="24" w:val="single"/>
        </w:pBdr>
        <w:shd w:fill="f7f9fc" w:val="clear"/>
        <w:spacing w:after="40" w:before="20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17b2c"/>
          <w:sz w:val="22"/>
          <w:szCs w:val="22"/>
          <w:rtl w:val="0"/>
        </w:rPr>
        <w:t xml:space="preserve">STATUS OF THIS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left w:color="2e5090" w:space="8" w:sz="24" w:val="single"/>
        </w:pBdr>
        <w:shd w:fill="f7f9fc" w:val="clear"/>
        <w:spacing w:after="200" w:before="0" w:line="276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color w:val="2d3748"/>
          <w:sz w:val="22"/>
          <w:szCs w:val="22"/>
          <w:rtl w:val="0"/>
        </w:rPr>
        <w:t xml:space="preserve">These </w:t>
      </w:r>
      <w:r w:rsidDel="00000000" w:rsidR="00000000" w:rsidRPr="00000000">
        <w:rPr>
          <w:rtl w:val="0"/>
        </w:rPr>
        <w:t xml:space="preserve">eight</w:t>
      </w:r>
      <w:r w:rsidDel="00000000" w:rsidR="00000000" w:rsidRPr="00000000">
        <w:rPr>
          <w:rFonts w:ascii="Calibri" w:cs="Calibri" w:eastAsia="Calibri" w:hAnsi="Calibri"/>
          <w:color w:val="2d3748"/>
          <w:sz w:val="22"/>
          <w:szCs w:val="22"/>
          <w:rtl w:val="0"/>
        </w:rPr>
        <w:t xml:space="preserve"> hypotheses are pre-scoring inputs for the joint working session. They carry no Impact/Feasibility/Alignment scores, no ranking, and no financials — producing those is exactly the manual audit work this handoff prepares. Each hypothesis is anchored to evidenced pain points and the client’s stated priorities; adoption-risk and sequencing notes apply the lessons from Section 9.</w:t>
      </w:r>
      <w:r w:rsidDel="00000000" w:rsidR="00000000" w:rsidRPr="00000000">
        <w:rPr>
          <w:rtl w:val="0"/>
        </w:rPr>
      </w:r>
    </w:p>
    <w:tbl>
      <w:tblPr>
        <w:tblStyle w:val="Table1"/>
        <w:tblW w:w="863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8"/>
        <w:gridCol w:w="2246"/>
        <w:gridCol w:w="1037"/>
        <w:gridCol w:w="1728"/>
        <w:gridCol w:w="3110"/>
        <w:tblGridChange w:id="0">
          <w:tblGrid>
            <w:gridCol w:w="518"/>
            <w:gridCol w:w="2246"/>
            <w:gridCol w:w="1037"/>
            <w:gridCol w:w="1728"/>
            <w:gridCol w:w="3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shd w:fill="1b2a4a" w:val="clear"/>
            <w:tcMar>
              <w:top w:w="60.0" w:type="dxa"/>
              <w:left w:w="115.0" w:type="dxa"/>
              <w:bottom w:w="6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shd w:fill="1b2a4a" w:val="clear"/>
            <w:tcMar>
              <w:top w:w="60.0" w:type="dxa"/>
              <w:left w:w="115.0" w:type="dxa"/>
              <w:bottom w:w="6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Hypothesis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shd w:fill="1b2a4a" w:val="clear"/>
            <w:tcMar>
              <w:top w:w="60.0" w:type="dxa"/>
              <w:left w:w="115.0" w:type="dxa"/>
              <w:bottom w:w="6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Addresses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shd w:fill="1b2a4a" w:val="clear"/>
            <w:tcMar>
              <w:top w:w="60.0" w:type="dxa"/>
              <w:left w:w="115.0" w:type="dxa"/>
              <w:bottom w:w="6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Strategic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shd w:fill="1b2a4a" w:val="clear"/>
            <w:tcMar>
              <w:top w:w="60.0" w:type="dxa"/>
              <w:left w:w="115.0" w:type="dxa"/>
              <w:bottom w:w="6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design constraints &amp; 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="252.00000000000003" w:lineRule="auto"/>
              <w:rPr>
                <w:rFonts w:ascii="Calibri" w:cs="Calibri" w:eastAsia="Calibri" w:hAnsi="Calibri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="252.00000000000003" w:lineRule="auto"/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Company Brain — unified data foundation + AI knowledge laye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="252.00000000000003" w:lineRule="auto"/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PP-0 (root); unblocks PP-3, PP-5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="252.00000000000003" w:lineRule="auto"/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Cross-cutting — underpins all three FY2026 priorities (Speed · Scale · Smarter Delivery); direct prerequisite for the Priority-3 AI mandate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="252.00000000000003" w:lineRule="auto"/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Raw materials exist (documented Vincere + Xero APIs, 9 yrs history) but the integration layer does not [tech inventory p.2]. Largest scope, lowest current feasibility. Prerequisites: H-5 (governance) + H-4 (governed data) — a brain over ungoverned POOR data reproduces the 2023 revert and the twice-failed CEE tooling. Phase it: decision-intelligence over clean Xero+pipeline data first, candidate/knowledge layer as data proves reliable. Hub build post-July-cutover; design + governance pre-cutover. Full scope exceeds the €10K–€50K signal — scope Phase 1 to the envelope.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0"/>
                <w:szCs w:val="20"/>
                <w:rtl w:val="0"/>
              </w:rPr>
              <w:t xml:space="preserve">H-1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AI-assisted sourcing &amp; candidate matching, learning from 9 years of placement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PP-1, PP-2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Priority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: TTF 38→28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Generic tools failed on specialist CEE roles twice — pilot on CEE sample mandatory; internal-data variant depends on H-4 and consumes H-0 ; post-cutover for ATS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shd w:fill="f0f4f8" w:val="clear"/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0"/>
                <w:szCs w:val="20"/>
                <w:rtl w:val="0"/>
              </w:rPr>
              <w:t xml:space="preserve">H-2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shd w:fill="f0f4f8" w:val="clear"/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CV formatting + candidate summary automation (draft-only, human-reviewed)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shd w:fill="f0f4f8" w:val="clear"/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PP-4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shd w:fill="f0f4f8" w:val="clear"/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Priority 3: ≤30 min per candidate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shd w:fill="f0f4f8" w:val="clear"/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Quality bar set by the consultants who rejected the VA; HITL review non-negotiable; largely ATS-independent — can start pre-cutover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0"/>
                <w:szCs w:val="20"/>
                <w:rtl w:val="0"/>
              </w:rPr>
              <w:t xml:space="preserve">H-3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Automated client status reporting driven from the 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PP-3, PP-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CSAT 3.83→4.20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Client’s own conclusion: automation, not templates;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 consumer/output of H-0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requires populated Vincere + integration layer — post-cutover; tool-enforced, zero new consultant 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shd w:fill="f0f4f8" w:val="clear"/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0"/>
                <w:szCs w:val="20"/>
                <w:rtl w:val="0"/>
              </w:rPr>
              <w:t xml:space="preserve">H-4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shd w:fill="f0f4f8" w:val="clear"/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Candidate database revival: dedupe, enrich, and govern at the migration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shd w:fill="f0f4f8" w:val="clear"/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PP-2, PP-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shd w:fill="f0f4f8" w:val="clear"/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Enabler for H-1/H-3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shd w:fill="f0f4f8" w:val="clear"/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governed-data component of H-0.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One-time window: governance rules must land before July cutover (2023 lesson: cleaning without governance reverts); includes GDPR consent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0"/>
                <w:szCs w:val="20"/>
                <w:rtl w:val="0"/>
              </w:rPr>
              <w:t xml:space="preserve">H-5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AI use policy, company AI account, and shared prompt library (governance foundation)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PP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Risk remediation + EU AI Act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Immediate; low cost; converts live GDPR exposure into managed capability; fits the stated €10K–€50K envelope; prerequisite for scaling any other hypothesis including H-0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shd w:fill="f0f4f8" w:val="clear"/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0"/>
                <w:szCs w:val="20"/>
                <w:rtl w:val="0"/>
              </w:rPr>
              <w:t xml:space="preserve">H-6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shd w:fill="f0f4f8" w:val="clear"/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Interview scheduling standardisation + shared pipeline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shd w:fill="f0f4f8" w:val="clear"/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PP-5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shd w:fill="f0f4f8" w:val="clear"/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MD visibility; TTF (−3–5 days of scheduling drag)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shd w:fill="f0f4f8" w:val="clear"/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Substantially configuration (Calendly standardisation, Vincere pipeline views) rather than AI — separate honestly in the audit to protect credibility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0"/>
                <w:szCs w:val="20"/>
                <w:rtl w:val="0"/>
              </w:rPr>
              <w:t xml:space="preserve">H-7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BD proposal automation + RPO productisation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BD effort (runner-up 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Priority 3 RPO launch; win rate 34→40%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b" w:space="0" w:sz="4" w:val="single"/>
              <w:left w:color="bdc3cb" w:space="0" w:sz="4" w:val="single"/>
              <w:bottom w:color="bdc3cb" w:space="0" w:sz="4" w:val="single"/>
              <w:right w:color="bdc3cb" w:space="0" w:sz="4" w:val="single"/>
            </w:tcBorders>
            <w:tcMar>
              <w:top w:w="40.0" w:type="dxa"/>
              <w:left w:w="115.0" w:type="dxa"/>
              <w:bottom w:w="40.0" w:type="dxa"/>
              <w:right w:w="115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Proposal template + drafting assistance; RPO tier/SLA/pricing documentation support; low data dependency — can start pre-cutover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12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60"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800" w:top="1800" w:left="1800" w:right="180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Prepared by AI Assist BG  |  INTERNAL — TEST CLIENT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bottom w:color="2e5090" w:space="4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Meridian Talent Partners OOD — Client Handoff Dossier &amp; Audit Preparation Brief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d3748"/>
        <w:sz w:val="22"/>
        <w:szCs w:val="22"/>
      </w:rPr>
    </w:rPrDefault>
    <w:pPrDefault>
      <w:pPr>
        <w:spacing w:after="120" w:before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5090" w:space="6" w:sz="8" w:val="single"/>
        <w:right w:space="0" w:sz="0" w:val="nil"/>
        <w:between w:space="0" w:sz="0" w:val="nil"/>
      </w:pBdr>
      <w:shd w:fill="auto" w:val="clear"/>
      <w:spacing w:after="280" w:before="480" w:line="264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b2a4a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color="2e5090" w:space="8" w:sz="18" w:val="single"/>
        <w:bottom w:space="0" w:sz="0" w:val="nil"/>
        <w:right w:space="0" w:sz="0" w:val="nil"/>
        <w:between w:space="0" w:sz="0" w:val="nil"/>
      </w:pBdr>
      <w:shd w:fill="auto" w:val="clear"/>
      <w:spacing w:after="200" w:before="360" w:line="264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090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64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a6fa5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b5563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6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6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6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d3748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Bt5EKtkvhV/FNrTSbLY40WgDnA==">CgMxLjAyDmgudWZxNnV4aDU5Y3ViMg5oLmZsYnRuemcyaGVheTgAciExSmJTMklyTDZVMUpweG5BaWhwTTg2QXlVZWZFWjR3aEE=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