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DE477">
      <w:pPr>
        <w:spacing w:after="80"/>
      </w:pPr>
      <w:r>
        <w:rPr>
          <w:rFonts w:ascii="Arial" w:hAnsi="Arial" w:eastAsia="Arial" w:cs="Arial"/>
          <w:b/>
          <w:bCs/>
          <w:color w:val="1F3864"/>
          <w:sz w:val="32"/>
          <w:szCs w:val="32"/>
        </w:rPr>
        <w:t>SLING PAYMENT COLLECTION API — UAT TEST PLAN</w:t>
      </w:r>
    </w:p>
    <w:p w14:paraId="74D2969F">
      <w:pPr>
        <w:spacing w:after="300"/>
      </w:pPr>
      <w:r>
        <w:t>Scope: GET Payout Wallet | GET Payout Charge | Process Payout &amp; Webhook Notification   |   Environment: N/A — see DEF-001, this app has no Sling integration to stage (live re-test against production gateway instead — see DEF-003)</w:t>
      </w:r>
    </w:p>
    <w:p w14:paraId="4DE95975">
      <w:pPr>
        <w:spacing w:before="100" w:after="150"/>
      </w:pPr>
      <w:r>
        <w:rPr>
          <w:rFonts w:ascii="Arial" w:hAnsi="Arial" w:eastAsia="Arial" w:cs="Arial"/>
          <w:b/>
          <w:bCs/>
          <w:color w:val="1F3864"/>
          <w:sz w:val="24"/>
          <w:szCs w:val="24"/>
        </w:rPr>
        <w:t>1. Test Cases</w:t>
      </w:r>
    </w:p>
    <w:tbl>
      <w:tblPr>
        <w:tblStyle w:val="9"/>
        <w:tblW w:w="5449" w:type="pct"/>
        <w:tblInd w:w="-4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31"/>
      </w:tblGrid>
      <w:tr w14:paraId="51567FBE">
        <w:trPr>
          <w:trHeight w:val="334" w:hRule="atLeast"/>
        </w:trPr>
        <w:tc>
          <w:tcPr>
            <w:tcW w:w="5000" w:type="pct"/>
            <w:shd w:val="clear" w:color="auto" w:fill="2E5395"/>
            <w:tcMar>
              <w:top w:w="90" w:type="dxa"/>
              <w:left w:w="120" w:type="dxa"/>
              <w:bottom w:w="90" w:type="dxa"/>
              <w:right w:w="120" w:type="dxa"/>
            </w:tcMar>
          </w:tcPr>
          <w:p w14:paraId="0C19B58C">
            <w:pPr>
              <w:spacing w:after="100"/>
            </w:pPr>
            <w:r>
              <w:rPr>
                <w:rFonts w:ascii="Arial" w:hAnsi="Arial" w:eastAsia="Arial" w:cs="Arial"/>
                <w:b/>
                <w:bCs/>
                <w:color w:val="FFFFFF"/>
                <w:sz w:val="18"/>
                <w:szCs w:val="18"/>
              </w:rPr>
              <w:t>1. GET Payout Wallet — GET /api/v1/Wallet/payoutWallet</w:t>
            </w:r>
          </w:p>
        </w:tc>
      </w:tr>
    </w:tbl>
    <w:p w14:paraId="7E6F8B97">
      <w:pPr>
        <w:spacing w:after="60"/>
      </w:pPr>
    </w:p>
    <w:tbl>
      <w:tblPr>
        <w:tblStyle w:val="9"/>
        <w:tblpPr w:leftFromText="180" w:rightFromText="180" w:vertAnchor="text" w:horzAnchor="page" w:tblpX="241" w:tblpY="154"/>
        <w:tblW w:w="545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95"/>
        <w:gridCol w:w="770"/>
        <w:gridCol w:w="1124"/>
        <w:gridCol w:w="1686"/>
        <w:gridCol w:w="1679"/>
        <w:gridCol w:w="1233"/>
        <w:gridCol w:w="2242"/>
        <w:gridCol w:w="871"/>
        <w:gridCol w:w="1590"/>
      </w:tblGrid>
      <w:tr w14:paraId="5BC6630C">
        <w:trPr>
          <w:tblHeader/>
        </w:trPr>
        <w:tc>
          <w:tcPr>
            <w:tcW w:w="332" w:type="pct"/>
            <w:shd w:val="clear" w:color="auto" w:fill="1F3864"/>
            <w:tcMar>
              <w:top w:w="80" w:type="dxa"/>
              <w:left w:w="100" w:type="dxa"/>
              <w:bottom w:w="80" w:type="dxa"/>
              <w:right w:w="100" w:type="dxa"/>
            </w:tcMar>
            <w:vAlign w:val="center"/>
          </w:tcPr>
          <w:p w14:paraId="07CDDEC8">
            <w:pPr>
              <w:spacing w:after="100"/>
            </w:pPr>
            <w:r>
              <w:rPr>
                <w:rFonts w:ascii="Arial" w:hAnsi="Arial" w:eastAsia="Arial" w:cs="Arial"/>
                <w:b/>
                <w:bCs/>
                <w:color w:val="FFFFFF"/>
                <w:sz w:val="16"/>
                <w:szCs w:val="16"/>
              </w:rPr>
              <w:t>Test Case ID</w:t>
            </w:r>
          </w:p>
        </w:tc>
        <w:tc>
          <w:tcPr>
            <w:tcW w:w="321" w:type="pct"/>
            <w:shd w:val="clear" w:color="auto" w:fill="1F3864"/>
            <w:tcMar>
              <w:top w:w="80" w:type="dxa"/>
              <w:left w:w="100" w:type="dxa"/>
              <w:bottom w:w="80" w:type="dxa"/>
              <w:right w:w="100" w:type="dxa"/>
            </w:tcMar>
            <w:vAlign w:val="center"/>
          </w:tcPr>
          <w:p w14:paraId="7FE84D42">
            <w:pPr>
              <w:spacing w:after="100"/>
            </w:pPr>
            <w:r>
              <w:rPr>
                <w:rFonts w:ascii="Arial" w:hAnsi="Arial" w:eastAsia="Arial" w:cs="Arial"/>
                <w:b/>
                <w:bCs/>
                <w:color w:val="FFFFFF"/>
                <w:sz w:val="16"/>
                <w:szCs w:val="16"/>
              </w:rPr>
              <w:t>API / Endpoint</w:t>
            </w:r>
          </w:p>
        </w:tc>
        <w:tc>
          <w:tcPr>
            <w:tcW w:w="469" w:type="pct"/>
            <w:shd w:val="clear" w:color="auto" w:fill="1F3864"/>
            <w:tcMar>
              <w:top w:w="80" w:type="dxa"/>
              <w:left w:w="100" w:type="dxa"/>
              <w:bottom w:w="80" w:type="dxa"/>
              <w:right w:w="100" w:type="dxa"/>
            </w:tcMar>
            <w:vAlign w:val="center"/>
          </w:tcPr>
          <w:p w14:paraId="0DE8DC6F">
            <w:pPr>
              <w:spacing w:after="100"/>
            </w:pPr>
            <w:r>
              <w:rPr>
                <w:rFonts w:ascii="Arial" w:hAnsi="Arial" w:eastAsia="Arial" w:cs="Arial"/>
                <w:b/>
                <w:bCs/>
                <w:color w:val="FFFFFF"/>
                <w:sz w:val="16"/>
                <w:szCs w:val="16"/>
              </w:rPr>
              <w:t>Test Scenario</w:t>
            </w:r>
          </w:p>
        </w:tc>
        <w:tc>
          <w:tcPr>
            <w:tcW w:w="703" w:type="pct"/>
            <w:shd w:val="clear" w:color="auto" w:fill="1F3864"/>
            <w:tcMar>
              <w:top w:w="80" w:type="dxa"/>
              <w:left w:w="100" w:type="dxa"/>
              <w:bottom w:w="80" w:type="dxa"/>
              <w:right w:w="100" w:type="dxa"/>
            </w:tcMar>
            <w:vAlign w:val="center"/>
          </w:tcPr>
          <w:p w14:paraId="395D40C0">
            <w:pPr>
              <w:spacing w:after="100"/>
            </w:pPr>
            <w:r>
              <w:rPr>
                <w:rFonts w:ascii="Arial" w:hAnsi="Arial" w:eastAsia="Arial" w:cs="Arial"/>
                <w:b/>
                <w:bCs/>
                <w:color w:val="FFFFFF"/>
                <w:sz w:val="16"/>
                <w:szCs w:val="16"/>
              </w:rPr>
              <w:t>Preconditions</w:t>
            </w:r>
          </w:p>
        </w:tc>
        <w:tc>
          <w:tcPr>
            <w:tcW w:w="700" w:type="pct"/>
            <w:shd w:val="clear" w:color="auto" w:fill="1F3864"/>
            <w:tcMar>
              <w:top w:w="80" w:type="dxa"/>
              <w:left w:w="100" w:type="dxa"/>
              <w:bottom w:w="80" w:type="dxa"/>
              <w:right w:w="100" w:type="dxa"/>
            </w:tcMar>
            <w:vAlign w:val="center"/>
          </w:tcPr>
          <w:p w14:paraId="4989E8F4">
            <w:pPr>
              <w:spacing w:after="100"/>
            </w:pPr>
            <w:r>
              <w:rPr>
                <w:rFonts w:ascii="Arial" w:hAnsi="Arial" w:eastAsia="Arial" w:cs="Arial"/>
                <w:b/>
                <w:bCs/>
                <w:color w:val="FFFFFF"/>
                <w:sz w:val="16"/>
                <w:szCs w:val="16"/>
              </w:rPr>
              <w:t>Test Steps</w:t>
            </w:r>
          </w:p>
        </w:tc>
        <w:tc>
          <w:tcPr>
            <w:tcW w:w="514" w:type="pct"/>
            <w:shd w:val="clear" w:color="auto" w:fill="1F3864"/>
            <w:tcMar>
              <w:top w:w="80" w:type="dxa"/>
              <w:left w:w="100" w:type="dxa"/>
              <w:bottom w:w="80" w:type="dxa"/>
              <w:right w:w="100" w:type="dxa"/>
            </w:tcMar>
            <w:vAlign w:val="center"/>
          </w:tcPr>
          <w:p w14:paraId="4ABAC55C">
            <w:pPr>
              <w:spacing w:after="100"/>
            </w:pPr>
            <w:r>
              <w:rPr>
                <w:rFonts w:ascii="Arial" w:hAnsi="Arial" w:eastAsia="Arial" w:cs="Arial"/>
                <w:b/>
                <w:bCs/>
                <w:color w:val="FFFFFF"/>
                <w:sz w:val="16"/>
                <w:szCs w:val="16"/>
              </w:rPr>
              <w:t>Request Data (Sample)</w:t>
            </w:r>
          </w:p>
        </w:tc>
        <w:tc>
          <w:tcPr>
            <w:tcW w:w="935" w:type="pct"/>
            <w:shd w:val="clear" w:color="auto" w:fill="1F3864"/>
            <w:tcMar>
              <w:top w:w="80" w:type="dxa"/>
              <w:left w:w="100" w:type="dxa"/>
              <w:bottom w:w="80" w:type="dxa"/>
              <w:right w:w="100" w:type="dxa"/>
            </w:tcMar>
            <w:vAlign w:val="center"/>
          </w:tcPr>
          <w:p w14:paraId="7A3249C3">
            <w:pPr>
              <w:spacing w:after="100"/>
            </w:pPr>
            <w:r>
              <w:rPr>
                <w:rFonts w:ascii="Arial" w:hAnsi="Arial" w:eastAsia="Arial" w:cs="Arial"/>
                <w:b/>
                <w:bCs/>
                <w:color w:val="FFFFFF"/>
                <w:sz w:val="16"/>
                <w:szCs w:val="16"/>
              </w:rPr>
              <w:t>Expected Result</w:t>
            </w:r>
          </w:p>
        </w:tc>
        <w:tc>
          <w:tcPr>
            <w:tcW w:w="363" w:type="pct"/>
            <w:shd w:val="clear" w:color="auto" w:fill="1F3864"/>
            <w:tcMar>
              <w:top w:w="80" w:type="dxa"/>
              <w:left w:w="100" w:type="dxa"/>
              <w:bottom w:w="80" w:type="dxa"/>
              <w:right w:w="100" w:type="dxa"/>
            </w:tcMar>
            <w:vAlign w:val="center"/>
          </w:tcPr>
          <w:p w14:paraId="7644BAE4">
            <w:pPr>
              <w:spacing w:after="100"/>
            </w:pPr>
            <w:r>
              <w:rPr>
                <w:rFonts w:ascii="Arial" w:hAnsi="Arial" w:eastAsia="Arial" w:cs="Arial"/>
                <w:b/>
                <w:bCs/>
                <w:color w:val="FFFFFF"/>
                <w:sz w:val="16"/>
                <w:szCs w:val="16"/>
              </w:rPr>
              <w:t>Status</w:t>
            </w:r>
          </w:p>
        </w:tc>
        <w:tc>
          <w:tcPr>
            <w:tcW w:w="663" w:type="pct"/>
            <w:shd w:val="clear" w:color="auto" w:fill="1F3864"/>
            <w:tcMar>
              <w:top w:w="80" w:type="dxa"/>
              <w:left w:w="100" w:type="dxa"/>
              <w:bottom w:w="80" w:type="dxa"/>
              <w:right w:w="100" w:type="dxa"/>
            </w:tcMar>
            <w:vAlign w:val="center"/>
          </w:tcPr>
          <w:p w14:paraId="45C2C32D">
            <w:pPr>
              <w:spacing w:after="100"/>
            </w:pPr>
            <w:r>
              <w:rPr>
                <w:rFonts w:ascii="Arial" w:hAnsi="Arial" w:eastAsia="Arial" w:cs="Arial"/>
                <w:b/>
                <w:bCs/>
                <w:color w:val="FFFFFF"/>
                <w:sz w:val="16"/>
                <w:szCs w:val="16"/>
              </w:rPr>
              <w:t>Comments</w:t>
            </w:r>
          </w:p>
        </w:tc>
      </w:tr>
      <w:tr w14:paraId="2529FBBC">
        <w:trPr>
          <w:trHeight w:val="1933" w:hRule="atLeast"/>
        </w:trPr>
        <w:tc>
          <w:tcPr>
            <w:tcW w:w="332" w:type="pct"/>
            <w:tcMar>
              <w:top w:w="80" w:type="dxa"/>
              <w:left w:w="100" w:type="dxa"/>
              <w:bottom w:w="80" w:type="dxa"/>
              <w:right w:w="100" w:type="dxa"/>
            </w:tcMar>
          </w:tcPr>
          <w:p w14:paraId="64D2AB0F">
            <w:pPr>
              <w:spacing w:after="100"/>
            </w:pPr>
            <w:r>
              <w:rPr>
                <w:rFonts w:ascii="Arial" w:hAnsi="Arial" w:eastAsia="Arial" w:cs="Arial"/>
                <w:b/>
                <w:bCs/>
                <w:sz w:val="15"/>
                <w:szCs w:val="15"/>
              </w:rPr>
              <w:t>TC-PW-01</w:t>
            </w:r>
          </w:p>
        </w:tc>
        <w:tc>
          <w:tcPr>
            <w:tcW w:w="321" w:type="pct"/>
            <w:tcMar>
              <w:top w:w="80" w:type="dxa"/>
              <w:left w:w="100" w:type="dxa"/>
              <w:bottom w:w="80" w:type="dxa"/>
              <w:right w:w="100" w:type="dxa"/>
            </w:tcMar>
          </w:tcPr>
          <w:p w14:paraId="00F94747">
            <w:pPr>
              <w:spacing w:after="100"/>
            </w:pPr>
            <w:r>
              <w:rPr>
                <w:rFonts w:ascii="Arial" w:hAnsi="Arial" w:eastAsia="Arial" w:cs="Arial"/>
                <w:sz w:val="15"/>
                <w:szCs w:val="15"/>
              </w:rPr>
              <w:t>GET Payout Wallet</w:t>
            </w:r>
          </w:p>
        </w:tc>
        <w:tc>
          <w:tcPr>
            <w:tcW w:w="469" w:type="pct"/>
            <w:tcMar>
              <w:top w:w="80" w:type="dxa"/>
              <w:left w:w="100" w:type="dxa"/>
              <w:bottom w:w="80" w:type="dxa"/>
              <w:right w:w="100" w:type="dxa"/>
            </w:tcMar>
          </w:tcPr>
          <w:p w14:paraId="763026B0">
            <w:pPr>
              <w:spacing w:after="100"/>
            </w:pPr>
            <w:r>
              <w:rPr>
                <w:rFonts w:ascii="Arial" w:hAnsi="Arial" w:eastAsia="Arial" w:cs="Arial"/>
                <w:sz w:val="15"/>
                <w:szCs w:val="15"/>
              </w:rPr>
              <w:t>Retrieve payout wallet details with a valid ApiKey</w:t>
            </w:r>
          </w:p>
        </w:tc>
        <w:tc>
          <w:tcPr>
            <w:tcW w:w="703" w:type="pct"/>
            <w:tcMar>
              <w:top w:w="80" w:type="dxa"/>
              <w:left w:w="100" w:type="dxa"/>
              <w:bottom w:w="80" w:type="dxa"/>
              <w:right w:w="100" w:type="dxa"/>
            </w:tcMar>
          </w:tcPr>
          <w:p w14:paraId="30491B1C">
            <w:pPr>
              <w:spacing w:after="100"/>
            </w:pPr>
            <w:r>
              <w:rPr>
                <w:rFonts w:ascii="Arial" w:hAnsi="Arial" w:eastAsia="Arial" w:cs="Arial"/>
                <w:sz w:val="15"/>
                <w:szCs w:val="15"/>
              </w:rPr>
              <w:t>Merchant has a valid, active Integration Key (Base64 encoded)</w:t>
            </w:r>
          </w:p>
        </w:tc>
        <w:tc>
          <w:tcPr>
            <w:tcW w:w="700" w:type="pct"/>
            <w:tcMar>
              <w:top w:w="80" w:type="dxa"/>
              <w:left w:w="100" w:type="dxa"/>
              <w:bottom w:w="80" w:type="dxa"/>
              <w:right w:w="100" w:type="dxa"/>
            </w:tcMar>
          </w:tcPr>
          <w:p w14:paraId="7FA1D936">
            <w:pPr>
              <w:spacing w:after="40"/>
            </w:pPr>
            <w:r>
              <w:rPr>
                <w:rFonts w:ascii="Arial" w:hAnsi="Arial" w:eastAsia="Arial" w:cs="Arial"/>
                <w:sz w:val="15"/>
                <w:szCs w:val="15"/>
              </w:rPr>
              <w:t>1. Send GET to /api/v1/Wallet/payoutWallet</w:t>
            </w:r>
          </w:p>
          <w:p w14:paraId="7F16D6DD">
            <w:pPr>
              <w:spacing w:after="40"/>
            </w:pPr>
            <w:r>
              <w:rPr>
                <w:rFonts w:ascii="Arial" w:hAnsi="Arial" w:eastAsia="Arial" w:cs="Arial"/>
                <w:sz w:val="15"/>
                <w:szCs w:val="15"/>
              </w:rPr>
              <w:t>2. Set header ApiKey = Base64(Integration key)</w:t>
            </w:r>
          </w:p>
          <w:p w14:paraId="2A3DCC01">
            <w:pPr>
              <w:spacing w:after="40"/>
            </w:pPr>
            <w:r>
              <w:rPr>
                <w:rFonts w:ascii="Arial" w:hAnsi="Arial" w:eastAsia="Arial" w:cs="Arial"/>
                <w:sz w:val="15"/>
                <w:szCs w:val="15"/>
              </w:rPr>
              <w:t>3. Leave body empty</w:t>
            </w:r>
          </w:p>
          <w:p w14:paraId="1FC8159C">
            <w:r>
              <w:rPr>
                <w:rFonts w:ascii="Arial" w:hAnsi="Arial" w:eastAsia="Arial" w:cs="Arial"/>
                <w:sz w:val="15"/>
                <w:szCs w:val="15"/>
              </w:rPr>
              <w:t>4. Submit request</w:t>
            </w:r>
          </w:p>
        </w:tc>
        <w:tc>
          <w:tcPr>
            <w:tcW w:w="514" w:type="pct"/>
            <w:tcMar>
              <w:top w:w="80" w:type="dxa"/>
              <w:left w:w="100" w:type="dxa"/>
              <w:bottom w:w="80" w:type="dxa"/>
              <w:right w:w="100" w:type="dxa"/>
            </w:tcMar>
          </w:tcPr>
          <w:p w14:paraId="59F1D3F1">
            <w:pPr>
              <w:spacing w:after="40"/>
            </w:pPr>
            <w:r>
              <w:rPr>
                <w:rFonts w:ascii="Arial" w:hAnsi="Arial" w:eastAsia="Arial" w:cs="Arial"/>
                <w:sz w:val="15"/>
                <w:szCs w:val="15"/>
              </w:rPr>
              <w:t>Header: ApiKey: Base64(Integration key)</w:t>
            </w:r>
          </w:p>
          <w:p w14:paraId="2D5CAF53">
            <w:r>
              <w:rPr>
                <w:rFonts w:ascii="Arial" w:hAnsi="Arial" w:eastAsia="Arial" w:cs="Arial"/>
                <w:sz w:val="15"/>
                <w:szCs w:val="15"/>
              </w:rPr>
              <w:t>Body: (none)</w:t>
            </w:r>
          </w:p>
        </w:tc>
        <w:tc>
          <w:tcPr>
            <w:tcW w:w="935" w:type="pct"/>
            <w:tcMar>
              <w:top w:w="80" w:type="dxa"/>
              <w:left w:w="100" w:type="dxa"/>
              <w:bottom w:w="80" w:type="dxa"/>
              <w:right w:w="100" w:type="dxa"/>
            </w:tcMar>
          </w:tcPr>
          <w:p w14:paraId="57BED6C5">
            <w:pPr>
              <w:spacing w:after="100"/>
            </w:pPr>
            <w:r>
              <w:rPr>
                <w:rFonts w:ascii="Arial" w:hAnsi="Arial" w:eastAsia="Arial" w:cs="Arial"/>
                <w:sz w:val="15"/>
                <w:szCs w:val="15"/>
              </w:rPr>
              <w:t>HTTP 200. status = true, responseCode = "00", message = "Retrieved Successfully". responseData returns correct walletID, walletName, accountNumber, accountName, bankCode, bankName, currentBalance, availableBalance, isPINSet, walletType matching the merchant's wallet.</w:t>
            </w:r>
          </w:p>
        </w:tc>
        <w:tc>
          <w:tcPr>
            <w:tcW w:w="363" w:type="pct"/>
            <w:tcMar>
              <w:top w:w="80" w:type="dxa"/>
              <w:left w:w="100" w:type="dxa"/>
              <w:bottom w:w="80" w:type="dxa"/>
              <w:right w:w="100" w:type="dxa"/>
            </w:tcMar>
          </w:tcPr>
          <w:p w14:paraId="1E8F6B0B">
            <w:r>
              <w:t>Applicable</w:t>
            </w:r>
          </w:p>
        </w:tc>
        <w:tc>
          <w:tcPr>
            <w:tcW w:w="663" w:type="pct"/>
            <w:tcMar>
              <w:top w:w="80" w:type="dxa"/>
              <w:left w:w="100" w:type="dxa"/>
              <w:bottom w:w="80" w:type="dxa"/>
              <w:right w:w="100" w:type="dxa"/>
            </w:tcMar>
          </w:tcPr>
          <w:p w14:paraId="1151598F">
            <w:r>
              <w:t xml:space="preserve">Applicable: the only configured backend is a proprietary myhandler/theKey gateway (src/config/backend.ts, .env) </w:t>
            </w:r>
            <w:r>
              <w:rPr>
                <w:rFonts w:hint="default"/>
                <w:lang w:val="en-US"/>
              </w:rPr>
              <w:t>.</w:t>
            </w:r>
            <w:r>
              <w:t xml:space="preserve"> Sling ApiKey, base URL, or Wallet client exists in this app.</w:t>
            </w:r>
            <w:r>
              <w:rPr>
                <w:rFonts w:hint="default"/>
                <w:lang w:val="en-US"/>
              </w:rPr>
              <w:t>GET WALLET</w:t>
            </w:r>
            <w:r>
              <w:t xml:space="preserve">  /api/v1/Wallet/payoutWallet call anywhere in the app to execute.</w:t>
            </w:r>
          </w:p>
        </w:tc>
      </w:tr>
      <w:tr w14:paraId="2EE5AA6C">
        <w:tc>
          <w:tcPr>
            <w:tcW w:w="332" w:type="pct"/>
            <w:tcMar>
              <w:top w:w="80" w:type="dxa"/>
              <w:left w:w="100" w:type="dxa"/>
              <w:bottom w:w="80" w:type="dxa"/>
              <w:right w:w="100" w:type="dxa"/>
            </w:tcMar>
          </w:tcPr>
          <w:p w14:paraId="56AB1870">
            <w:pPr>
              <w:spacing w:after="100"/>
            </w:pPr>
            <w:r>
              <w:rPr>
                <w:rFonts w:ascii="Arial" w:hAnsi="Arial" w:eastAsia="Arial" w:cs="Arial"/>
                <w:b/>
                <w:bCs/>
                <w:sz w:val="15"/>
                <w:szCs w:val="15"/>
              </w:rPr>
              <w:t>TC-PW-02 (Negative)</w:t>
            </w:r>
          </w:p>
        </w:tc>
        <w:tc>
          <w:tcPr>
            <w:tcW w:w="321" w:type="pct"/>
            <w:tcMar>
              <w:top w:w="80" w:type="dxa"/>
              <w:left w:w="100" w:type="dxa"/>
              <w:bottom w:w="80" w:type="dxa"/>
              <w:right w:w="100" w:type="dxa"/>
            </w:tcMar>
          </w:tcPr>
          <w:p w14:paraId="7CD562EA">
            <w:pPr>
              <w:spacing w:after="100"/>
            </w:pPr>
            <w:r>
              <w:rPr>
                <w:rFonts w:ascii="Arial" w:hAnsi="Arial" w:eastAsia="Arial" w:cs="Arial"/>
                <w:sz w:val="15"/>
                <w:szCs w:val="15"/>
              </w:rPr>
              <w:t>GET Payout Wallet</w:t>
            </w:r>
          </w:p>
        </w:tc>
        <w:tc>
          <w:tcPr>
            <w:tcW w:w="469" w:type="pct"/>
            <w:tcMar>
              <w:top w:w="80" w:type="dxa"/>
              <w:left w:w="100" w:type="dxa"/>
              <w:bottom w:w="80" w:type="dxa"/>
              <w:right w:w="100" w:type="dxa"/>
            </w:tcMar>
          </w:tcPr>
          <w:p w14:paraId="2140B03C">
            <w:pPr>
              <w:spacing w:after="100"/>
            </w:pPr>
            <w:r>
              <w:rPr>
                <w:rFonts w:ascii="Arial" w:hAnsi="Arial" w:eastAsia="Arial" w:cs="Arial"/>
                <w:sz w:val="15"/>
                <w:szCs w:val="15"/>
              </w:rPr>
              <w:t>Retrieve payout wallet with an invalid / missing ApiKey</w:t>
            </w:r>
          </w:p>
        </w:tc>
        <w:tc>
          <w:tcPr>
            <w:tcW w:w="703" w:type="pct"/>
            <w:tcMar>
              <w:top w:w="80" w:type="dxa"/>
              <w:left w:w="100" w:type="dxa"/>
              <w:bottom w:w="80" w:type="dxa"/>
              <w:right w:w="100" w:type="dxa"/>
            </w:tcMar>
          </w:tcPr>
          <w:p w14:paraId="49B59FC6">
            <w:pPr>
              <w:spacing w:after="100"/>
            </w:pPr>
            <w:r>
              <w:rPr>
                <w:rFonts w:ascii="Arial" w:hAnsi="Arial" w:eastAsia="Arial" w:cs="Arial"/>
                <w:sz w:val="15"/>
                <w:szCs w:val="15"/>
              </w:rPr>
              <w:t>None (unauthenticated / invalid key scenario)</w:t>
            </w:r>
          </w:p>
        </w:tc>
        <w:tc>
          <w:tcPr>
            <w:tcW w:w="700" w:type="pct"/>
            <w:tcMar>
              <w:top w:w="80" w:type="dxa"/>
              <w:left w:w="100" w:type="dxa"/>
              <w:bottom w:w="80" w:type="dxa"/>
              <w:right w:w="100" w:type="dxa"/>
            </w:tcMar>
          </w:tcPr>
          <w:p w14:paraId="57BF4EB0">
            <w:pPr>
              <w:spacing w:after="40"/>
            </w:pPr>
            <w:r>
              <w:rPr>
                <w:rFonts w:ascii="Arial" w:hAnsi="Arial" w:eastAsia="Arial" w:cs="Arial"/>
                <w:sz w:val="15"/>
                <w:szCs w:val="15"/>
              </w:rPr>
              <w:t>1. Send GET to /api/v1/Wallet/payoutWallet</w:t>
            </w:r>
          </w:p>
          <w:p w14:paraId="613A9505">
            <w:pPr>
              <w:spacing w:after="40"/>
            </w:pPr>
            <w:r>
              <w:rPr>
                <w:rFonts w:ascii="Arial" w:hAnsi="Arial" w:eastAsia="Arial" w:cs="Arial"/>
                <w:sz w:val="15"/>
                <w:szCs w:val="15"/>
              </w:rPr>
              <w:t>2. Omit ApiKey header OR use an invalid/expired Base64 key</w:t>
            </w:r>
          </w:p>
          <w:p w14:paraId="1F73CDEA">
            <w:r>
              <w:rPr>
                <w:rFonts w:ascii="Arial" w:hAnsi="Arial" w:eastAsia="Arial" w:cs="Arial"/>
                <w:sz w:val="15"/>
                <w:szCs w:val="15"/>
              </w:rPr>
              <w:t>3. Submit request</w:t>
            </w:r>
          </w:p>
        </w:tc>
        <w:tc>
          <w:tcPr>
            <w:tcW w:w="514" w:type="pct"/>
            <w:tcMar>
              <w:top w:w="80" w:type="dxa"/>
              <w:left w:w="100" w:type="dxa"/>
              <w:bottom w:w="80" w:type="dxa"/>
              <w:right w:w="100" w:type="dxa"/>
            </w:tcMar>
          </w:tcPr>
          <w:p w14:paraId="38AF4F78">
            <w:pPr>
              <w:spacing w:after="40"/>
            </w:pPr>
            <w:r>
              <w:rPr>
                <w:rFonts w:ascii="Arial" w:hAnsi="Arial" w:eastAsia="Arial" w:cs="Arial"/>
                <w:sz w:val="15"/>
                <w:szCs w:val="15"/>
              </w:rPr>
              <w:t>Header: ApiKey: (missing) or invalid</w:t>
            </w:r>
          </w:p>
          <w:p w14:paraId="388870AE">
            <w:r>
              <w:rPr>
                <w:rFonts w:ascii="Arial" w:hAnsi="Arial" w:eastAsia="Arial" w:cs="Arial"/>
                <w:sz w:val="15"/>
                <w:szCs w:val="15"/>
              </w:rPr>
              <w:t>Body: (none)</w:t>
            </w:r>
          </w:p>
        </w:tc>
        <w:tc>
          <w:tcPr>
            <w:tcW w:w="935" w:type="pct"/>
            <w:tcMar>
              <w:top w:w="80" w:type="dxa"/>
              <w:left w:w="100" w:type="dxa"/>
              <w:bottom w:w="80" w:type="dxa"/>
              <w:right w:w="100" w:type="dxa"/>
            </w:tcMar>
          </w:tcPr>
          <w:p w14:paraId="6557A4FE">
            <w:pPr>
              <w:spacing w:after="100"/>
            </w:pPr>
            <w:r>
              <w:rPr>
                <w:rFonts w:ascii="Arial" w:hAnsi="Arial" w:eastAsia="Arial" w:cs="Arial"/>
                <w:sz w:val="15"/>
                <w:szCs w:val="15"/>
              </w:rPr>
              <w:t>Request is rejected. status = false, responseData is empty/null, and message/responseCode clearly indicate an authentication/authorization failure. No wallet data is exposed.</w:t>
            </w:r>
          </w:p>
        </w:tc>
        <w:tc>
          <w:tcPr>
            <w:tcW w:w="363" w:type="pct"/>
            <w:tcMar>
              <w:top w:w="80" w:type="dxa"/>
              <w:left w:w="100" w:type="dxa"/>
              <w:bottom w:w="80" w:type="dxa"/>
              <w:right w:w="100" w:type="dxa"/>
            </w:tcMar>
          </w:tcPr>
          <w:p w14:paraId="094B95EF">
            <w:r>
              <w:t>Applicable</w:t>
            </w:r>
          </w:p>
        </w:tc>
        <w:tc>
          <w:tcPr>
            <w:tcW w:w="663" w:type="pct"/>
            <w:tcMar>
              <w:top w:w="80" w:type="dxa"/>
              <w:left w:w="100" w:type="dxa"/>
              <w:bottom w:w="80" w:type="dxa"/>
              <w:right w:w="100" w:type="dxa"/>
            </w:tcMar>
          </w:tcPr>
          <w:p w14:paraId="4F1F59C1">
            <w:r>
              <w:t xml:space="preserve">Applicable: the only configured backend is a proprietary myhandler/theKey gateway (src/config/backend.ts, .env) — Sling ApiKey, base URL, or Wallet client exists in this app. With no Sling call being made, there is </w:t>
            </w:r>
            <w:bookmarkStart w:id="0" w:name="_GoBack"/>
            <w:bookmarkEnd w:id="0"/>
            <w:r>
              <w:t xml:space="preserve"> ApiKey header to omit or invalidate.</w:t>
            </w:r>
          </w:p>
        </w:tc>
      </w:tr>
      <w:tr w14:paraId="33ED0C9E">
        <w:tc>
          <w:tcPr>
            <w:tcW w:w="332" w:type="pct"/>
            <w:tcMar>
              <w:top w:w="80" w:type="dxa"/>
              <w:left w:w="100" w:type="dxa"/>
              <w:bottom w:w="80" w:type="dxa"/>
              <w:right w:w="100" w:type="dxa"/>
            </w:tcMar>
          </w:tcPr>
          <w:p w14:paraId="3BC7CE4C">
            <w:pPr>
              <w:spacing w:after="100"/>
            </w:pPr>
            <w:r>
              <w:rPr>
                <w:rFonts w:ascii="Arial" w:hAnsi="Arial" w:eastAsia="Arial" w:cs="Arial"/>
                <w:b/>
                <w:bCs/>
                <w:sz w:val="15"/>
                <w:szCs w:val="15"/>
              </w:rPr>
              <w:t>TC-PC-02</w:t>
            </w:r>
          </w:p>
        </w:tc>
        <w:tc>
          <w:tcPr>
            <w:tcW w:w="321" w:type="pct"/>
            <w:tcMar>
              <w:top w:w="80" w:type="dxa"/>
              <w:left w:w="100" w:type="dxa"/>
              <w:bottom w:w="80" w:type="dxa"/>
              <w:right w:w="100" w:type="dxa"/>
            </w:tcMar>
          </w:tcPr>
          <w:p w14:paraId="7B420403">
            <w:pPr>
              <w:spacing w:after="100"/>
            </w:pPr>
            <w:r>
              <w:rPr>
                <w:rFonts w:ascii="Arial" w:hAnsi="Arial" w:eastAsia="Arial" w:cs="Arial"/>
                <w:sz w:val="15"/>
                <w:szCs w:val="15"/>
              </w:rPr>
              <w:t>GET Payout Charge</w:t>
            </w:r>
          </w:p>
        </w:tc>
        <w:tc>
          <w:tcPr>
            <w:tcW w:w="469" w:type="pct"/>
            <w:tcMar>
              <w:top w:w="80" w:type="dxa"/>
              <w:left w:w="100" w:type="dxa"/>
              <w:bottom w:w="80" w:type="dxa"/>
              <w:right w:w="100" w:type="dxa"/>
            </w:tcMar>
          </w:tcPr>
          <w:p w14:paraId="2EA0CF17">
            <w:pPr>
              <w:spacing w:after="100"/>
            </w:pPr>
            <w:r>
              <w:rPr>
                <w:rFonts w:ascii="Arial" w:hAnsi="Arial" w:eastAsia="Arial" w:cs="Arial"/>
                <w:sz w:val="15"/>
                <w:szCs w:val="15"/>
              </w:rPr>
              <w:t>Retrieve charge for a valid WalletToAccount transfer</w:t>
            </w:r>
          </w:p>
        </w:tc>
        <w:tc>
          <w:tcPr>
            <w:tcW w:w="703" w:type="pct"/>
            <w:tcMar>
              <w:top w:w="80" w:type="dxa"/>
              <w:left w:w="100" w:type="dxa"/>
              <w:bottom w:w="80" w:type="dxa"/>
              <w:right w:w="100" w:type="dxa"/>
            </w:tcMar>
          </w:tcPr>
          <w:p w14:paraId="6A3583B0">
            <w:pPr>
              <w:spacing w:after="100"/>
            </w:pPr>
            <w:r>
              <w:rPr>
                <w:rFonts w:ascii="Arial" w:hAnsi="Arial" w:eastAsia="Arial" w:cs="Arial"/>
                <w:sz w:val="15"/>
                <w:szCs w:val="15"/>
              </w:rPr>
              <w:t>Valid ApiKey/session; Amount and TransferType known</w:t>
            </w:r>
          </w:p>
        </w:tc>
        <w:tc>
          <w:tcPr>
            <w:tcW w:w="700" w:type="pct"/>
            <w:tcMar>
              <w:top w:w="80" w:type="dxa"/>
              <w:left w:w="100" w:type="dxa"/>
              <w:bottom w:w="80" w:type="dxa"/>
              <w:right w:w="100" w:type="dxa"/>
            </w:tcMar>
          </w:tcPr>
          <w:p w14:paraId="2209EB14">
            <w:pPr>
              <w:spacing w:after="40"/>
            </w:pPr>
            <w:r>
              <w:rPr>
                <w:rFonts w:ascii="Arial" w:hAnsi="Arial" w:eastAsia="Arial" w:cs="Arial"/>
                <w:sz w:val="15"/>
                <w:szCs w:val="15"/>
              </w:rPr>
              <w:t>1. Send GET to /api/v1/Wallet/charge</w:t>
            </w:r>
          </w:p>
          <w:p w14:paraId="718C2692">
            <w:pPr>
              <w:spacing w:after="40"/>
            </w:pPr>
            <w:r>
              <w:rPr>
                <w:rFonts w:ascii="Arial" w:hAnsi="Arial" w:eastAsia="Arial" w:cs="Arial"/>
                <w:sz w:val="15"/>
                <w:szCs w:val="15"/>
              </w:rPr>
              <w:t>2. Pass Amount and TransferType = WalletToAccount</w:t>
            </w:r>
          </w:p>
          <w:p w14:paraId="28B093BF">
            <w:r>
              <w:rPr>
                <w:rFonts w:ascii="Arial" w:hAnsi="Arial" w:eastAsia="Arial" w:cs="Arial"/>
                <w:sz w:val="15"/>
                <w:szCs w:val="15"/>
              </w:rPr>
              <w:t>3. Submit request</w:t>
            </w:r>
          </w:p>
        </w:tc>
        <w:tc>
          <w:tcPr>
            <w:tcW w:w="514" w:type="pct"/>
            <w:tcMar>
              <w:top w:w="80" w:type="dxa"/>
              <w:left w:w="100" w:type="dxa"/>
              <w:bottom w:w="80" w:type="dxa"/>
              <w:right w:w="100" w:type="dxa"/>
            </w:tcMar>
          </w:tcPr>
          <w:p w14:paraId="1920BEA9">
            <w:pPr>
              <w:spacing w:after="40"/>
            </w:pPr>
            <w:r>
              <w:rPr>
                <w:rFonts w:ascii="Arial" w:hAnsi="Arial" w:eastAsia="Arial" w:cs="Arial"/>
                <w:sz w:val="15"/>
                <w:szCs w:val="15"/>
              </w:rPr>
              <w:t>Query: Amount = 10000</w:t>
            </w:r>
          </w:p>
          <w:p w14:paraId="183F1CAF">
            <w:r>
              <w:rPr>
                <w:rFonts w:ascii="Arial" w:hAnsi="Arial" w:eastAsia="Arial" w:cs="Arial"/>
                <w:sz w:val="15"/>
                <w:szCs w:val="15"/>
              </w:rPr>
              <w:t>TransferType = WalletToAccount</w:t>
            </w:r>
          </w:p>
        </w:tc>
        <w:tc>
          <w:tcPr>
            <w:tcW w:w="935" w:type="pct"/>
            <w:tcMar>
              <w:top w:w="80" w:type="dxa"/>
              <w:left w:w="100" w:type="dxa"/>
              <w:bottom w:w="80" w:type="dxa"/>
              <w:right w:w="100" w:type="dxa"/>
            </w:tcMar>
          </w:tcPr>
          <w:p w14:paraId="483C1D65">
            <w:pPr>
              <w:spacing w:after="100"/>
            </w:pPr>
            <w:r>
              <w:rPr>
                <w:rFonts w:ascii="Arial" w:hAnsi="Arial" w:eastAsia="Arial" w:cs="Arial"/>
                <w:sz w:val="15"/>
                <w:szCs w:val="15"/>
              </w:rPr>
              <w:t>HTTP 200. status = true. responseData returns totalAmount, charge and displayCharge consistent with the WalletToAccount fee rule.</w:t>
            </w:r>
          </w:p>
        </w:tc>
        <w:tc>
          <w:tcPr>
            <w:tcW w:w="363" w:type="pct"/>
            <w:tcMar>
              <w:top w:w="80" w:type="dxa"/>
              <w:left w:w="100" w:type="dxa"/>
              <w:bottom w:w="80" w:type="dxa"/>
              <w:right w:w="100" w:type="dxa"/>
            </w:tcMar>
          </w:tcPr>
          <w:p w14:paraId="5BC7DC50">
            <w:r>
              <w:t>Applicable</w:t>
            </w:r>
          </w:p>
        </w:tc>
        <w:tc>
          <w:tcPr>
            <w:tcW w:w="663" w:type="pct"/>
            <w:tcMar>
              <w:top w:w="80" w:type="dxa"/>
              <w:left w:w="100" w:type="dxa"/>
              <w:bottom w:w="80" w:type="dxa"/>
              <w:right w:w="100" w:type="dxa"/>
            </w:tcMar>
          </w:tcPr>
          <w:p w14:paraId="4614208C">
            <w:r>
              <w:t>Applicable: payouts use theKey "IP" over the myhandler gateway (src/api/httpApi.ts wallet.requestWithdrawal — {Phone, Amount, OTP, PinCode}), which has no charge/fee-quote step. GET /api/v1/Wallet/charge is not called.</w:t>
            </w:r>
          </w:p>
        </w:tc>
      </w:tr>
      <w:tr w14:paraId="46749DAF">
        <w:tc>
          <w:tcPr>
            <w:tcW w:w="332" w:type="pct"/>
            <w:tcMar>
              <w:top w:w="80" w:type="dxa"/>
              <w:left w:w="100" w:type="dxa"/>
              <w:bottom w:w="80" w:type="dxa"/>
              <w:right w:w="100" w:type="dxa"/>
            </w:tcMar>
          </w:tcPr>
          <w:p w14:paraId="2809C8B7">
            <w:pPr>
              <w:spacing w:after="100"/>
            </w:pPr>
            <w:r>
              <w:rPr>
                <w:rFonts w:ascii="Arial" w:hAnsi="Arial" w:eastAsia="Arial" w:cs="Arial"/>
                <w:b/>
                <w:bCs/>
                <w:sz w:val="15"/>
                <w:szCs w:val="15"/>
              </w:rPr>
              <w:t>TC-PC-03 (Negative)</w:t>
            </w:r>
          </w:p>
        </w:tc>
        <w:tc>
          <w:tcPr>
            <w:tcW w:w="321" w:type="pct"/>
            <w:tcMar>
              <w:top w:w="80" w:type="dxa"/>
              <w:left w:w="100" w:type="dxa"/>
              <w:bottom w:w="80" w:type="dxa"/>
              <w:right w:w="100" w:type="dxa"/>
            </w:tcMar>
          </w:tcPr>
          <w:p w14:paraId="1A65DA9E">
            <w:pPr>
              <w:spacing w:after="100"/>
            </w:pPr>
            <w:r>
              <w:rPr>
                <w:rFonts w:ascii="Arial" w:hAnsi="Arial" w:eastAsia="Arial" w:cs="Arial"/>
                <w:sz w:val="15"/>
                <w:szCs w:val="15"/>
              </w:rPr>
              <w:t>GET Payout Charge</w:t>
            </w:r>
          </w:p>
        </w:tc>
        <w:tc>
          <w:tcPr>
            <w:tcW w:w="469" w:type="pct"/>
            <w:tcMar>
              <w:top w:w="80" w:type="dxa"/>
              <w:left w:w="100" w:type="dxa"/>
              <w:bottom w:w="80" w:type="dxa"/>
              <w:right w:w="100" w:type="dxa"/>
            </w:tcMar>
          </w:tcPr>
          <w:p w14:paraId="50809379">
            <w:pPr>
              <w:spacing w:after="100"/>
            </w:pPr>
            <w:r>
              <w:rPr>
                <w:rFonts w:ascii="Arial" w:hAnsi="Arial" w:eastAsia="Arial" w:cs="Arial"/>
                <w:sz w:val="15"/>
                <w:szCs w:val="15"/>
              </w:rPr>
              <w:t>Retrieve charge with invalid TransferType and/or Amount below minimum</w:t>
            </w:r>
          </w:p>
        </w:tc>
        <w:tc>
          <w:tcPr>
            <w:tcW w:w="703" w:type="pct"/>
            <w:tcMar>
              <w:top w:w="80" w:type="dxa"/>
              <w:left w:w="100" w:type="dxa"/>
              <w:bottom w:w="80" w:type="dxa"/>
              <w:right w:w="100" w:type="dxa"/>
            </w:tcMar>
          </w:tcPr>
          <w:p w14:paraId="6FA66C02">
            <w:pPr>
              <w:spacing w:after="100"/>
            </w:pPr>
            <w:r>
              <w:rPr>
                <w:rFonts w:ascii="Arial" w:hAnsi="Arial" w:eastAsia="Arial" w:cs="Arial"/>
                <w:sz w:val="15"/>
                <w:szCs w:val="15"/>
              </w:rPr>
              <w:t>Valid ApiKey/session</w:t>
            </w:r>
          </w:p>
        </w:tc>
        <w:tc>
          <w:tcPr>
            <w:tcW w:w="700" w:type="pct"/>
            <w:tcMar>
              <w:top w:w="80" w:type="dxa"/>
              <w:left w:w="100" w:type="dxa"/>
              <w:bottom w:w="80" w:type="dxa"/>
              <w:right w:w="100" w:type="dxa"/>
            </w:tcMar>
          </w:tcPr>
          <w:p w14:paraId="5E8A8DDF">
            <w:pPr>
              <w:spacing w:after="40"/>
            </w:pPr>
            <w:r>
              <w:rPr>
                <w:rFonts w:ascii="Arial" w:hAnsi="Arial" w:eastAsia="Arial" w:cs="Arial"/>
                <w:sz w:val="15"/>
                <w:szCs w:val="15"/>
              </w:rPr>
              <w:t>1. Send GET to /api/v1/Wallet/charge</w:t>
            </w:r>
          </w:p>
          <w:p w14:paraId="04719BAD">
            <w:pPr>
              <w:spacing w:after="40"/>
            </w:pPr>
            <w:r>
              <w:rPr>
                <w:rFonts w:ascii="Arial" w:hAnsi="Arial" w:eastAsia="Arial" w:cs="Arial"/>
                <w:sz w:val="15"/>
                <w:szCs w:val="15"/>
              </w:rPr>
              <w:t>2. Pass Amount = 0 and/or TransferType outside enum (e.g. "WalletToCard")</w:t>
            </w:r>
          </w:p>
          <w:p w14:paraId="156DF266">
            <w:r>
              <w:rPr>
                <w:rFonts w:ascii="Arial" w:hAnsi="Arial" w:eastAsia="Arial" w:cs="Arial"/>
                <w:sz w:val="15"/>
                <w:szCs w:val="15"/>
              </w:rPr>
              <w:t>3. Submit request</w:t>
            </w:r>
          </w:p>
        </w:tc>
        <w:tc>
          <w:tcPr>
            <w:tcW w:w="514" w:type="pct"/>
            <w:tcMar>
              <w:top w:w="80" w:type="dxa"/>
              <w:left w:w="100" w:type="dxa"/>
              <w:bottom w:w="80" w:type="dxa"/>
              <w:right w:w="100" w:type="dxa"/>
            </w:tcMar>
          </w:tcPr>
          <w:p w14:paraId="35F8EF86">
            <w:pPr>
              <w:spacing w:after="40"/>
            </w:pPr>
            <w:r>
              <w:rPr>
                <w:rFonts w:ascii="Arial" w:hAnsi="Arial" w:eastAsia="Arial" w:cs="Arial"/>
                <w:sz w:val="15"/>
                <w:szCs w:val="15"/>
              </w:rPr>
              <w:t>Query: Amount = 0</w:t>
            </w:r>
          </w:p>
          <w:p w14:paraId="2A09B190">
            <w:r>
              <w:rPr>
                <w:rFonts w:ascii="Arial" w:hAnsi="Arial" w:eastAsia="Arial" w:cs="Arial"/>
                <w:sz w:val="15"/>
                <w:szCs w:val="15"/>
              </w:rPr>
              <w:t>TransferType = WalletToCard (invalid)</w:t>
            </w:r>
          </w:p>
        </w:tc>
        <w:tc>
          <w:tcPr>
            <w:tcW w:w="935" w:type="pct"/>
            <w:tcMar>
              <w:top w:w="80" w:type="dxa"/>
              <w:left w:w="100" w:type="dxa"/>
              <w:bottom w:w="80" w:type="dxa"/>
              <w:right w:w="100" w:type="dxa"/>
            </w:tcMar>
          </w:tcPr>
          <w:p w14:paraId="50ED9889">
            <w:pPr>
              <w:spacing w:after="100"/>
            </w:pPr>
            <w:r>
              <w:rPr>
                <w:rFonts w:ascii="Arial" w:hAnsi="Arial" w:eastAsia="Arial" w:cs="Arial"/>
                <w:sz w:val="15"/>
                <w:szCs w:val="15"/>
              </w:rPr>
              <w:t>Request is rejected with a validation error. status = false. responseData is empty/null, and message/responseCode clearly indicate the invalid Amount and/or TransferType. No charge is returned.</w:t>
            </w:r>
          </w:p>
        </w:tc>
        <w:tc>
          <w:tcPr>
            <w:tcW w:w="363" w:type="pct"/>
            <w:tcMar>
              <w:top w:w="80" w:type="dxa"/>
              <w:left w:w="100" w:type="dxa"/>
              <w:bottom w:w="80" w:type="dxa"/>
              <w:right w:w="100" w:type="dxa"/>
            </w:tcMar>
          </w:tcPr>
          <w:p w14:paraId="60927EEF">
            <w:r>
              <w:t>Applicable</w:t>
            </w:r>
          </w:p>
        </w:tc>
        <w:tc>
          <w:tcPr>
            <w:tcW w:w="663" w:type="pct"/>
            <w:tcMar>
              <w:top w:w="80" w:type="dxa"/>
              <w:left w:w="100" w:type="dxa"/>
              <w:bottom w:w="80" w:type="dxa"/>
              <w:right w:w="100" w:type="dxa"/>
            </w:tcMar>
          </w:tcPr>
          <w:p w14:paraId="062CAFC2">
            <w:r>
              <w:t>Applicable: same as TC-PC-02 — there is no charge endpoint or TransferType enum in this app's integration to send an invalid value against.</w:t>
            </w:r>
          </w:p>
        </w:tc>
      </w:tr>
      <w:tr w14:paraId="6FF336F0">
        <w:tc>
          <w:tcPr>
            <w:tcW w:w="332" w:type="pct"/>
            <w:tcMar>
              <w:top w:w="80" w:type="dxa"/>
              <w:left w:w="100" w:type="dxa"/>
              <w:bottom w:w="80" w:type="dxa"/>
              <w:right w:w="100" w:type="dxa"/>
            </w:tcMar>
          </w:tcPr>
          <w:p w14:paraId="02D21E11">
            <w:pPr>
              <w:spacing w:after="100"/>
            </w:pPr>
            <w:r>
              <w:rPr>
                <w:rFonts w:ascii="Arial" w:hAnsi="Arial" w:eastAsia="Arial" w:cs="Arial"/>
                <w:b/>
                <w:bCs/>
                <w:sz w:val="15"/>
                <w:szCs w:val="15"/>
              </w:rPr>
              <w:t>TC-PYW-01</w:t>
            </w:r>
          </w:p>
        </w:tc>
        <w:tc>
          <w:tcPr>
            <w:tcW w:w="321" w:type="pct"/>
            <w:tcMar>
              <w:top w:w="80" w:type="dxa"/>
              <w:left w:w="100" w:type="dxa"/>
              <w:bottom w:w="80" w:type="dxa"/>
              <w:right w:w="100" w:type="dxa"/>
            </w:tcMar>
          </w:tcPr>
          <w:p w14:paraId="51D81D55">
            <w:pPr>
              <w:spacing w:after="100"/>
            </w:pPr>
            <w:r>
              <w:rPr>
                <w:rFonts w:ascii="Arial" w:hAnsi="Arial" w:eastAsia="Arial" w:cs="Arial"/>
                <w:sz w:val="15"/>
                <w:szCs w:val="15"/>
              </w:rPr>
              <w:t>Process Payout + Webhook</w:t>
            </w:r>
          </w:p>
        </w:tc>
        <w:tc>
          <w:tcPr>
            <w:tcW w:w="469" w:type="pct"/>
            <w:tcMar>
              <w:top w:w="80" w:type="dxa"/>
              <w:left w:w="100" w:type="dxa"/>
              <w:bottom w:w="80" w:type="dxa"/>
              <w:right w:w="100" w:type="dxa"/>
            </w:tcMar>
          </w:tcPr>
          <w:p w14:paraId="6AEA37B2">
            <w:pPr>
              <w:spacing w:after="100"/>
            </w:pPr>
            <w:r>
              <w:rPr>
                <w:rFonts w:ascii="Arial" w:hAnsi="Arial" w:eastAsia="Arial" w:cs="Arial"/>
                <w:sz w:val="15"/>
                <w:szCs w:val="15"/>
              </w:rPr>
              <w:t>Initiate a payout to a bank account and confirm a successful webhook notification is received</w:t>
            </w:r>
          </w:p>
        </w:tc>
        <w:tc>
          <w:tcPr>
            <w:tcW w:w="703" w:type="pct"/>
            <w:tcMar>
              <w:top w:w="80" w:type="dxa"/>
              <w:left w:w="100" w:type="dxa"/>
              <w:bottom w:w="80" w:type="dxa"/>
              <w:right w:w="100" w:type="dxa"/>
            </w:tcMar>
          </w:tcPr>
          <w:p w14:paraId="36679523">
            <w:pPr>
              <w:spacing w:after="100"/>
            </w:pPr>
            <w:r>
              <w:rPr>
                <w:rFonts w:ascii="Arial" w:hAnsi="Arial" w:eastAsia="Arial" w:cs="Arial"/>
                <w:sz w:val="15"/>
                <w:szCs w:val="15"/>
              </w:rPr>
              <w:t>Valid senderWalletId with sufficient availableBalance; correct PIN; valid destination bankCode/accountNumber; webhook URL registered and reachable</w:t>
            </w:r>
          </w:p>
        </w:tc>
        <w:tc>
          <w:tcPr>
            <w:tcW w:w="700" w:type="pct"/>
            <w:tcMar>
              <w:top w:w="80" w:type="dxa"/>
              <w:left w:w="100" w:type="dxa"/>
              <w:bottom w:w="80" w:type="dxa"/>
              <w:right w:w="100" w:type="dxa"/>
            </w:tcMar>
          </w:tcPr>
          <w:p w14:paraId="3ED121BA">
            <w:pPr>
              <w:spacing w:after="40"/>
            </w:pPr>
            <w:r>
              <w:rPr>
                <w:rFonts w:ascii="Arial" w:hAnsi="Arial" w:eastAsia="Arial" w:cs="Arial"/>
                <w:sz w:val="15"/>
                <w:szCs w:val="15"/>
              </w:rPr>
              <w:t>1. POST /api/Wallet/transfer/account with senderWalletId, pin, amount, bankCode, accountNumber, accountName</w:t>
            </w:r>
          </w:p>
          <w:p w14:paraId="7807B761">
            <w:pPr>
              <w:spacing w:after="40"/>
            </w:pPr>
            <w:r>
              <w:rPr>
                <w:rFonts w:ascii="Arial" w:hAnsi="Arial" w:eastAsia="Arial" w:cs="Arial"/>
                <w:sz w:val="15"/>
                <w:szCs w:val="15"/>
              </w:rPr>
              <w:t>2. Confirm synchronous response = Initiated</w:t>
            </w:r>
          </w:p>
          <w:p w14:paraId="5B130A22">
            <w:pPr>
              <w:spacing w:after="40"/>
            </w:pPr>
            <w:r>
              <w:rPr>
                <w:rFonts w:ascii="Arial" w:hAnsi="Arial" w:eastAsia="Arial" w:cs="Arial"/>
                <w:sz w:val="15"/>
                <w:szCs w:val="15"/>
              </w:rPr>
              <w:t>3. Wait for webhook callback</w:t>
            </w:r>
          </w:p>
          <w:p w14:paraId="0478AAF9">
            <w:r>
              <w:rPr>
                <w:rFonts w:ascii="Arial" w:hAnsi="Arial" w:eastAsia="Arial" w:cs="Arial"/>
                <w:sz w:val="15"/>
                <w:szCs w:val="15"/>
              </w:rPr>
              <w:t>4. Validate webhook payload</w:t>
            </w:r>
          </w:p>
        </w:tc>
        <w:tc>
          <w:tcPr>
            <w:tcW w:w="514" w:type="pct"/>
            <w:tcMar>
              <w:top w:w="80" w:type="dxa"/>
              <w:left w:w="100" w:type="dxa"/>
              <w:bottom w:w="80" w:type="dxa"/>
              <w:right w:w="100" w:type="dxa"/>
            </w:tcMar>
          </w:tcPr>
          <w:p w14:paraId="2443C629">
            <w:pPr>
              <w:spacing w:after="40"/>
            </w:pPr>
            <w:r>
              <w:rPr>
                <w:rFonts w:ascii="Arial" w:hAnsi="Arial" w:eastAsia="Arial" w:cs="Arial"/>
                <w:sz w:val="15"/>
                <w:szCs w:val="15"/>
              </w:rPr>
              <w:t>Body: senderWalletId, pin,</w:t>
            </w:r>
          </w:p>
          <w:p w14:paraId="5715D31B">
            <w:pPr>
              <w:spacing w:after="40"/>
            </w:pPr>
            <w:r>
              <w:rPr>
                <w:rFonts w:ascii="Arial" w:hAnsi="Arial" w:eastAsia="Arial" w:cs="Arial"/>
                <w:sz w:val="15"/>
                <w:szCs w:val="15"/>
              </w:rPr>
              <w:t>amount=10000, bankCode=044,</w:t>
            </w:r>
          </w:p>
          <w:p w14:paraId="7B50A632">
            <w:r>
              <w:rPr>
                <w:rFonts w:ascii="Arial" w:hAnsi="Arial" w:eastAsia="Arial" w:cs="Arial"/>
                <w:sz w:val="15"/>
                <w:szCs w:val="15"/>
              </w:rPr>
              <w:t>accountNumber, accountName</w:t>
            </w:r>
          </w:p>
        </w:tc>
        <w:tc>
          <w:tcPr>
            <w:tcW w:w="935" w:type="pct"/>
            <w:tcMar>
              <w:top w:w="80" w:type="dxa"/>
              <w:left w:w="100" w:type="dxa"/>
              <w:bottom w:w="80" w:type="dxa"/>
              <w:right w:w="100" w:type="dxa"/>
            </w:tcMar>
          </w:tcPr>
          <w:p w14:paraId="6004C1E0">
            <w:pPr>
              <w:spacing w:after="100"/>
            </w:pPr>
            <w:r>
              <w:rPr>
                <w:rFonts w:ascii="Arial" w:hAnsi="Arial" w:eastAsia="Arial" w:cs="Arial"/>
                <w:sz w:val="15"/>
                <w:szCs w:val="15"/>
              </w:rPr>
              <w:t>Step 2: HTTP 200 — status = true, responseData.status = "Initiated", message = "Transaction Processing", reference returned. Step 4: Webhook received with Succeeded = true, Data.Status = "Successful", Data.Reference/MerchantRef/Amount matching the original request.</w:t>
            </w:r>
          </w:p>
        </w:tc>
        <w:tc>
          <w:tcPr>
            <w:tcW w:w="363" w:type="pct"/>
            <w:tcMar>
              <w:top w:w="80" w:type="dxa"/>
              <w:left w:w="100" w:type="dxa"/>
              <w:bottom w:w="80" w:type="dxa"/>
              <w:right w:w="100" w:type="dxa"/>
            </w:tcMar>
          </w:tcPr>
          <w:p w14:paraId="079C96EC">
            <w:r>
              <w:t xml:space="preserve"> Applicable</w:t>
            </w:r>
          </w:p>
        </w:tc>
        <w:tc>
          <w:tcPr>
            <w:tcW w:w="663" w:type="pct"/>
            <w:tcMar>
              <w:top w:w="80" w:type="dxa"/>
              <w:left w:w="100" w:type="dxa"/>
              <w:bottom w:w="80" w:type="dxa"/>
              <w:right w:w="100" w:type="dxa"/>
            </w:tcMar>
          </w:tcPr>
          <w:p w14:paraId="501D58D5">
            <w:r>
              <w:t>Applicable: payouts go through theKey "IP" (src/api/httpApi.ts:720), not Sling's POST /api/Wallet/transfer/account, and no webhook receiver is registered anywhere in the codebase. Separately, wallet.getWithdrawalHistory() currently throws "not supported" (src/api/httpApi.ts:725-727) — there's no confirmed way to observe a payout's outcome at all yet, independent of provider.</w:t>
            </w:r>
          </w:p>
        </w:tc>
      </w:tr>
      <w:tr w14:paraId="66A37AE1">
        <w:tc>
          <w:tcPr>
            <w:tcW w:w="332" w:type="pct"/>
            <w:tcMar>
              <w:top w:w="80" w:type="dxa"/>
              <w:left w:w="100" w:type="dxa"/>
              <w:bottom w:w="80" w:type="dxa"/>
              <w:right w:w="100" w:type="dxa"/>
            </w:tcMar>
          </w:tcPr>
          <w:p w14:paraId="608F81FB">
            <w:pPr>
              <w:spacing w:after="100"/>
            </w:pPr>
            <w:r>
              <w:rPr>
                <w:rFonts w:ascii="Arial" w:hAnsi="Arial" w:eastAsia="Arial" w:cs="Arial"/>
                <w:b/>
                <w:bCs/>
                <w:sz w:val="15"/>
                <w:szCs w:val="15"/>
              </w:rPr>
              <w:t>TC-PYW-02</w:t>
            </w:r>
          </w:p>
        </w:tc>
        <w:tc>
          <w:tcPr>
            <w:tcW w:w="321" w:type="pct"/>
            <w:tcMar>
              <w:top w:w="80" w:type="dxa"/>
              <w:left w:w="100" w:type="dxa"/>
              <w:bottom w:w="80" w:type="dxa"/>
              <w:right w:w="100" w:type="dxa"/>
            </w:tcMar>
          </w:tcPr>
          <w:p w14:paraId="7C7A707E">
            <w:pPr>
              <w:spacing w:after="100"/>
            </w:pPr>
            <w:r>
              <w:rPr>
                <w:rFonts w:ascii="Arial" w:hAnsi="Arial" w:eastAsia="Arial" w:cs="Arial"/>
                <w:sz w:val="15"/>
                <w:szCs w:val="15"/>
              </w:rPr>
              <w:t>Process Payout + Webhook</w:t>
            </w:r>
          </w:p>
        </w:tc>
        <w:tc>
          <w:tcPr>
            <w:tcW w:w="469" w:type="pct"/>
            <w:tcMar>
              <w:top w:w="80" w:type="dxa"/>
              <w:left w:w="100" w:type="dxa"/>
              <w:bottom w:w="80" w:type="dxa"/>
              <w:right w:w="100" w:type="dxa"/>
            </w:tcMar>
          </w:tcPr>
          <w:p w14:paraId="003A8AB6">
            <w:pPr>
              <w:spacing w:after="100"/>
            </w:pPr>
            <w:r>
              <w:rPr>
                <w:rFonts w:ascii="Arial" w:hAnsi="Arial" w:eastAsia="Arial" w:cs="Arial"/>
                <w:sz w:val="15"/>
                <w:szCs w:val="15"/>
              </w:rPr>
              <w:t>Confirm duplicate webhook notifications for the same payout are handled idempotently</w:t>
            </w:r>
          </w:p>
        </w:tc>
        <w:tc>
          <w:tcPr>
            <w:tcW w:w="703" w:type="pct"/>
            <w:tcMar>
              <w:top w:w="80" w:type="dxa"/>
              <w:left w:w="100" w:type="dxa"/>
              <w:bottom w:w="80" w:type="dxa"/>
              <w:right w:w="100" w:type="dxa"/>
            </w:tcMar>
          </w:tcPr>
          <w:p w14:paraId="60E8222F">
            <w:pPr>
              <w:spacing w:after="100"/>
            </w:pPr>
            <w:r>
              <w:rPr>
                <w:rFonts w:ascii="Arial" w:hAnsi="Arial" w:eastAsia="Arial" w:cs="Arial"/>
                <w:sz w:val="15"/>
                <w:szCs w:val="15"/>
              </w:rPr>
              <w:t>A payout has already completed and its webhook (per TC-PYW-01) has already been received and processed once</w:t>
            </w:r>
          </w:p>
        </w:tc>
        <w:tc>
          <w:tcPr>
            <w:tcW w:w="700" w:type="pct"/>
            <w:tcMar>
              <w:top w:w="80" w:type="dxa"/>
              <w:left w:w="100" w:type="dxa"/>
              <w:bottom w:w="80" w:type="dxa"/>
              <w:right w:w="100" w:type="dxa"/>
            </w:tcMar>
          </w:tcPr>
          <w:p w14:paraId="44745C83">
            <w:pPr>
              <w:spacing w:after="40"/>
            </w:pPr>
            <w:r>
              <w:rPr>
                <w:rFonts w:ascii="Arial" w:hAnsi="Arial" w:eastAsia="Arial" w:cs="Arial"/>
                <w:sz w:val="15"/>
                <w:szCs w:val="15"/>
              </w:rPr>
              <w:t>1. Resend the exact same webhook payload (same Reference, MerchantRef, TransactionDate, Status) to the callback URL a second time</w:t>
            </w:r>
          </w:p>
          <w:p w14:paraId="3F0DE3FC">
            <w:r>
              <w:rPr>
                <w:rFonts w:ascii="Arial" w:hAnsi="Arial" w:eastAsia="Arial" w:cs="Arial"/>
                <w:sz w:val="15"/>
                <w:szCs w:val="15"/>
              </w:rPr>
              <w:t>2. Observe how the system handles the repeat notification</w:t>
            </w:r>
          </w:p>
        </w:tc>
        <w:tc>
          <w:tcPr>
            <w:tcW w:w="514" w:type="pct"/>
            <w:tcMar>
              <w:top w:w="80" w:type="dxa"/>
              <w:left w:w="100" w:type="dxa"/>
              <w:bottom w:w="80" w:type="dxa"/>
              <w:right w:w="100" w:type="dxa"/>
            </w:tcMar>
          </w:tcPr>
          <w:p w14:paraId="12EFFE96">
            <w:pPr>
              <w:spacing w:after="40"/>
            </w:pPr>
            <w:r>
              <w:rPr>
                <w:rFonts w:ascii="Arial" w:hAnsi="Arial" w:eastAsia="Arial" w:cs="Arial"/>
                <w:sz w:val="15"/>
                <w:szCs w:val="15"/>
              </w:rPr>
              <w:t>Body: same webhook payload as</w:t>
            </w:r>
          </w:p>
          <w:p w14:paraId="1C067146">
            <w:r>
              <w:rPr>
                <w:rFonts w:ascii="Arial" w:hAnsi="Arial" w:eastAsia="Arial" w:cs="Arial"/>
                <w:sz w:val="15"/>
                <w:szCs w:val="15"/>
              </w:rPr>
              <w:t>TC-PYW-01, unchanged</w:t>
            </w:r>
          </w:p>
        </w:tc>
        <w:tc>
          <w:tcPr>
            <w:tcW w:w="935" w:type="pct"/>
            <w:tcMar>
              <w:top w:w="80" w:type="dxa"/>
              <w:left w:w="100" w:type="dxa"/>
              <w:bottom w:w="80" w:type="dxa"/>
              <w:right w:w="100" w:type="dxa"/>
            </w:tcMar>
          </w:tcPr>
          <w:p w14:paraId="3E34476C">
            <w:pPr>
              <w:spacing w:after="100"/>
            </w:pPr>
            <w:r>
              <w:rPr>
                <w:rFonts w:ascii="Arial" w:hAnsi="Arial" w:eastAsia="Arial" w:cs="Arial"/>
                <w:sz w:val="15"/>
                <w:szCs w:val="15"/>
              </w:rPr>
              <w:t>Duplicate is recognized via Reference/MerchantRef (and/or TransactionDate) and is not reprocessed. Wallet balance is not credited/debited a second time, no duplicate transaction record is created, and the endpoint still acknowledges (e.g. HTTP 200) without reapplying business logic.</w:t>
            </w:r>
          </w:p>
        </w:tc>
        <w:tc>
          <w:tcPr>
            <w:tcW w:w="363" w:type="pct"/>
            <w:tcMar>
              <w:top w:w="80" w:type="dxa"/>
              <w:left w:w="100" w:type="dxa"/>
              <w:bottom w:w="80" w:type="dxa"/>
              <w:right w:w="100" w:type="dxa"/>
            </w:tcMar>
          </w:tcPr>
          <w:p w14:paraId="69674B88">
            <w:r>
              <w:t>Applicable</w:t>
            </w:r>
          </w:p>
        </w:tc>
        <w:tc>
          <w:tcPr>
            <w:tcW w:w="663" w:type="pct"/>
            <w:tcMar>
              <w:top w:w="80" w:type="dxa"/>
              <w:left w:w="100" w:type="dxa"/>
              <w:bottom w:w="80" w:type="dxa"/>
              <w:right w:w="100" w:type="dxa"/>
            </w:tcMar>
          </w:tcPr>
          <w:p w14:paraId="2DF67913">
            <w:r>
              <w:t>Applicable:webhook receiver exists to resend a duplicate payload to, and no idempotency/replay-handling logic exists to observe.</w:t>
            </w:r>
          </w:p>
        </w:tc>
      </w:tr>
    </w:tbl>
    <w:p w14:paraId="184B0B75"/>
    <w:p w14:paraId="368CA918">
      <w:pPr>
        <w:spacing w:after="300"/>
      </w:pPr>
    </w:p>
    <w:p w14:paraId="4D3FBD7B">
      <w:pPr>
        <w:spacing w:before="100" w:after="150"/>
      </w:pPr>
      <w:r>
        <w:rPr>
          <w:rFonts w:ascii="Arial" w:hAnsi="Arial" w:eastAsia="Arial" w:cs="Arial"/>
          <w:b/>
          <w:bCs/>
          <w:color w:val="1F3864"/>
          <w:sz w:val="24"/>
          <w:szCs w:val="24"/>
        </w:rPr>
        <w:t>2. Defect Log</w:t>
      </w:r>
    </w:p>
    <w:tbl>
      <w:tblPr>
        <w:tblStyle w:val="9"/>
        <w:tblW w:w="10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28"/>
        <w:gridCol w:w="980"/>
        <w:gridCol w:w="2528"/>
        <w:gridCol w:w="2553"/>
        <w:gridCol w:w="873"/>
        <w:gridCol w:w="842"/>
        <w:gridCol w:w="929"/>
        <w:gridCol w:w="827"/>
      </w:tblGrid>
      <w:tr w14:paraId="5B7B2876">
        <w:trPr>
          <w:tblHeader/>
        </w:trPr>
        <w:tc>
          <w:tcPr>
            <w:tcW w:w="1100" w:type="dxa"/>
            <w:shd w:val="clear" w:color="auto" w:fill="1F3864"/>
            <w:tcMar>
              <w:top w:w="80" w:type="dxa"/>
              <w:left w:w="100" w:type="dxa"/>
              <w:bottom w:w="80" w:type="dxa"/>
              <w:right w:w="100" w:type="dxa"/>
            </w:tcMar>
            <w:vAlign w:val="center"/>
          </w:tcPr>
          <w:p w14:paraId="215507A1">
            <w:pPr>
              <w:spacing w:after="100"/>
            </w:pPr>
            <w:r>
              <w:rPr>
                <w:rFonts w:ascii="Arial" w:hAnsi="Arial" w:eastAsia="Arial" w:cs="Arial"/>
                <w:b/>
                <w:bCs/>
                <w:color w:val="FFFFFF"/>
                <w:sz w:val="16"/>
                <w:szCs w:val="16"/>
              </w:rPr>
              <w:t>Defect ID</w:t>
            </w:r>
          </w:p>
        </w:tc>
        <w:tc>
          <w:tcPr>
            <w:tcW w:w="1100" w:type="dxa"/>
            <w:shd w:val="clear" w:color="auto" w:fill="1F3864"/>
            <w:tcMar>
              <w:top w:w="80" w:type="dxa"/>
              <w:left w:w="100" w:type="dxa"/>
              <w:bottom w:w="80" w:type="dxa"/>
              <w:right w:w="100" w:type="dxa"/>
            </w:tcMar>
            <w:vAlign w:val="center"/>
          </w:tcPr>
          <w:p w14:paraId="56126D33">
            <w:pPr>
              <w:spacing w:after="100"/>
            </w:pPr>
            <w:r>
              <w:rPr>
                <w:rFonts w:ascii="Arial" w:hAnsi="Arial" w:eastAsia="Arial" w:cs="Arial"/>
                <w:b/>
                <w:bCs/>
                <w:color w:val="FFFFFF"/>
                <w:sz w:val="16"/>
                <w:szCs w:val="16"/>
              </w:rPr>
              <w:t>Test Case ID</w:t>
            </w:r>
          </w:p>
        </w:tc>
        <w:tc>
          <w:tcPr>
            <w:tcW w:w="1600" w:type="dxa"/>
            <w:shd w:val="clear" w:color="auto" w:fill="1F3864"/>
            <w:tcMar>
              <w:top w:w="80" w:type="dxa"/>
              <w:left w:w="100" w:type="dxa"/>
              <w:bottom w:w="80" w:type="dxa"/>
              <w:right w:w="100" w:type="dxa"/>
            </w:tcMar>
            <w:vAlign w:val="center"/>
          </w:tcPr>
          <w:p w14:paraId="1BF422D5">
            <w:pPr>
              <w:spacing w:after="100"/>
            </w:pPr>
            <w:r>
              <w:rPr>
                <w:rFonts w:ascii="Arial" w:hAnsi="Arial" w:eastAsia="Arial" w:cs="Arial"/>
                <w:b/>
                <w:bCs/>
                <w:color w:val="FFFFFF"/>
                <w:sz w:val="16"/>
                <w:szCs w:val="16"/>
              </w:rPr>
              <w:t>API / Endpoint</w:t>
            </w:r>
          </w:p>
        </w:tc>
        <w:tc>
          <w:tcPr>
            <w:tcW w:w="2860" w:type="dxa"/>
            <w:shd w:val="clear" w:color="auto" w:fill="1F3864"/>
            <w:tcMar>
              <w:top w:w="80" w:type="dxa"/>
              <w:left w:w="100" w:type="dxa"/>
              <w:bottom w:w="80" w:type="dxa"/>
              <w:right w:w="100" w:type="dxa"/>
            </w:tcMar>
            <w:vAlign w:val="center"/>
          </w:tcPr>
          <w:p w14:paraId="7FE90F08">
            <w:pPr>
              <w:spacing w:after="100"/>
            </w:pPr>
            <w:r>
              <w:rPr>
                <w:rFonts w:ascii="Arial" w:hAnsi="Arial" w:eastAsia="Arial" w:cs="Arial"/>
                <w:b/>
                <w:bCs/>
                <w:color w:val="FFFFFF"/>
                <w:sz w:val="16"/>
                <w:szCs w:val="16"/>
              </w:rPr>
              <w:t>Defect Description</w:t>
            </w:r>
          </w:p>
        </w:tc>
        <w:tc>
          <w:tcPr>
            <w:tcW w:w="900" w:type="dxa"/>
            <w:shd w:val="clear" w:color="auto" w:fill="1F3864"/>
            <w:tcMar>
              <w:top w:w="80" w:type="dxa"/>
              <w:left w:w="100" w:type="dxa"/>
              <w:bottom w:w="80" w:type="dxa"/>
              <w:right w:w="100" w:type="dxa"/>
            </w:tcMar>
            <w:vAlign w:val="center"/>
          </w:tcPr>
          <w:p w14:paraId="2AF294F4">
            <w:pPr>
              <w:spacing w:after="100"/>
            </w:pPr>
            <w:r>
              <w:rPr>
                <w:rFonts w:ascii="Arial" w:hAnsi="Arial" w:eastAsia="Arial" w:cs="Arial"/>
                <w:b/>
                <w:bCs/>
                <w:color w:val="FFFFFF"/>
                <w:sz w:val="16"/>
                <w:szCs w:val="16"/>
              </w:rPr>
              <w:t>Severity</w:t>
            </w:r>
          </w:p>
        </w:tc>
        <w:tc>
          <w:tcPr>
            <w:tcW w:w="900" w:type="dxa"/>
            <w:shd w:val="clear" w:color="auto" w:fill="1F3864"/>
            <w:tcMar>
              <w:top w:w="80" w:type="dxa"/>
              <w:left w:w="100" w:type="dxa"/>
              <w:bottom w:w="80" w:type="dxa"/>
              <w:right w:w="100" w:type="dxa"/>
            </w:tcMar>
            <w:vAlign w:val="center"/>
          </w:tcPr>
          <w:p w14:paraId="37490F9C">
            <w:pPr>
              <w:spacing w:after="100"/>
            </w:pPr>
            <w:r>
              <w:rPr>
                <w:rFonts w:ascii="Arial" w:hAnsi="Arial" w:eastAsia="Arial" w:cs="Arial"/>
                <w:b/>
                <w:bCs/>
                <w:color w:val="FFFFFF"/>
                <w:sz w:val="16"/>
                <w:szCs w:val="16"/>
              </w:rPr>
              <w:t>Priority</w:t>
            </w:r>
          </w:p>
        </w:tc>
        <w:tc>
          <w:tcPr>
            <w:tcW w:w="1100" w:type="dxa"/>
            <w:shd w:val="clear" w:color="auto" w:fill="1F3864"/>
            <w:tcMar>
              <w:top w:w="80" w:type="dxa"/>
              <w:left w:w="100" w:type="dxa"/>
              <w:bottom w:w="80" w:type="dxa"/>
              <w:right w:w="100" w:type="dxa"/>
            </w:tcMar>
            <w:vAlign w:val="center"/>
          </w:tcPr>
          <w:p w14:paraId="08E8ABA4">
            <w:pPr>
              <w:spacing w:after="100"/>
            </w:pPr>
            <w:r>
              <w:rPr>
                <w:rFonts w:ascii="Arial" w:hAnsi="Arial" w:eastAsia="Arial" w:cs="Arial"/>
                <w:b/>
                <w:bCs/>
                <w:color w:val="FFFFFF"/>
                <w:sz w:val="16"/>
                <w:szCs w:val="16"/>
              </w:rPr>
              <w:t>Status</w:t>
            </w:r>
          </w:p>
        </w:tc>
        <w:tc>
          <w:tcPr>
            <w:tcW w:w="900" w:type="dxa"/>
            <w:shd w:val="clear" w:color="auto" w:fill="1F3864"/>
            <w:tcMar>
              <w:top w:w="80" w:type="dxa"/>
              <w:left w:w="100" w:type="dxa"/>
              <w:bottom w:w="80" w:type="dxa"/>
              <w:right w:w="100" w:type="dxa"/>
            </w:tcMar>
            <w:vAlign w:val="center"/>
          </w:tcPr>
          <w:p w14:paraId="610D6F7E">
            <w:pPr>
              <w:spacing w:after="100"/>
            </w:pPr>
            <w:r>
              <w:rPr>
                <w:rFonts w:ascii="Arial" w:hAnsi="Arial" w:eastAsia="Arial" w:cs="Arial"/>
                <w:b/>
                <w:bCs/>
                <w:color w:val="FFFFFF"/>
                <w:sz w:val="16"/>
                <w:szCs w:val="16"/>
              </w:rPr>
              <w:t>Raised By</w:t>
            </w:r>
          </w:p>
        </w:tc>
      </w:tr>
      <w:tr w14:paraId="48973F5A">
        <w:tc>
          <w:tcPr>
            <w:tcW w:w="1100" w:type="dxa"/>
            <w:tcMar>
              <w:top w:w="80" w:type="dxa"/>
              <w:left w:w="100" w:type="dxa"/>
              <w:bottom w:w="80" w:type="dxa"/>
              <w:right w:w="100" w:type="dxa"/>
            </w:tcMar>
          </w:tcPr>
          <w:p w14:paraId="1ECC2218">
            <w:pPr>
              <w:spacing w:after="100"/>
            </w:pPr>
            <w:r>
              <w:rPr>
                <w:rFonts w:ascii="Arial" w:hAnsi="Arial" w:eastAsia="Arial" w:cs="Arial"/>
                <w:sz w:val="15"/>
                <w:szCs w:val="15"/>
              </w:rPr>
              <w:t>DEF-001</w:t>
            </w:r>
          </w:p>
        </w:tc>
        <w:tc>
          <w:tcPr>
            <w:tcW w:w="1100" w:type="dxa"/>
            <w:tcMar>
              <w:top w:w="80" w:type="dxa"/>
              <w:left w:w="100" w:type="dxa"/>
              <w:bottom w:w="80" w:type="dxa"/>
              <w:right w:w="100" w:type="dxa"/>
            </w:tcMar>
          </w:tcPr>
          <w:p w14:paraId="57619B28">
            <w:r>
              <w:t>All (TC-PW-01, TC-PW-02, TC-PC-02, TC-PC-03, TC-PYW-01, TC-PYW-02)</w:t>
            </w:r>
          </w:p>
        </w:tc>
        <w:tc>
          <w:tcPr>
            <w:tcW w:w="1600" w:type="dxa"/>
            <w:tcMar>
              <w:top w:w="80" w:type="dxa"/>
              <w:left w:w="100" w:type="dxa"/>
              <w:bottom w:w="80" w:type="dxa"/>
              <w:right w:w="100" w:type="dxa"/>
            </w:tcMar>
          </w:tcPr>
          <w:p w14:paraId="54AE0852">
            <w:r>
              <w:t xml:space="preserve"> Sling client in app</w:t>
            </w:r>
          </w:p>
        </w:tc>
        <w:tc>
          <w:tcPr>
            <w:tcW w:w="2860" w:type="dxa"/>
            <w:tcMar>
              <w:top w:w="80" w:type="dxa"/>
              <w:left w:w="100" w:type="dxa"/>
              <w:bottom w:w="80" w:type="dxa"/>
              <w:right w:w="100" w:type="dxa"/>
            </w:tcMar>
          </w:tcPr>
          <w:p w14:paraId="387AEB70">
            <w:r>
              <w:t>This UAT plan targets the Sling Payment Collection API (Wallet/payoutWallet, Wallet/charge, Wallet/transfer/account + webhook). This app does not integrate with Sling: src/config/backend.ts and .env define exactly one backend, a proprietary myhandler/theKey gateway at a fixed IP, and withdrawals are placed via theKey "IP" (src/api/httpApi.ts:720). None of the 6 test cases can be executed as written against this app.</w:t>
            </w:r>
          </w:p>
        </w:tc>
        <w:tc>
          <w:tcPr>
            <w:tcW w:w="900" w:type="dxa"/>
            <w:tcMar>
              <w:top w:w="80" w:type="dxa"/>
              <w:left w:w="100" w:type="dxa"/>
              <w:bottom w:w="80" w:type="dxa"/>
              <w:right w:w="100" w:type="dxa"/>
            </w:tcMar>
          </w:tcPr>
          <w:p w14:paraId="0C4DC73B">
            <w:r>
              <w:t>Blocker</w:t>
            </w:r>
          </w:p>
        </w:tc>
        <w:tc>
          <w:tcPr>
            <w:tcW w:w="900" w:type="dxa"/>
            <w:tcMar>
              <w:top w:w="80" w:type="dxa"/>
              <w:left w:w="100" w:type="dxa"/>
              <w:bottom w:w="80" w:type="dxa"/>
              <w:right w:w="100" w:type="dxa"/>
            </w:tcMar>
          </w:tcPr>
          <w:p w14:paraId="525CDE75">
            <w:r>
              <w:t>P0</w:t>
            </w:r>
          </w:p>
        </w:tc>
        <w:tc>
          <w:tcPr>
            <w:tcW w:w="1100" w:type="dxa"/>
            <w:tcMar>
              <w:top w:w="80" w:type="dxa"/>
              <w:left w:w="100" w:type="dxa"/>
              <w:bottom w:w="80" w:type="dxa"/>
              <w:right w:w="100" w:type="dxa"/>
            </w:tcMar>
          </w:tcPr>
          <w:p w14:paraId="768B36CA">
            <w:r>
              <w:t>Open</w:t>
            </w:r>
          </w:p>
        </w:tc>
        <w:tc>
          <w:tcPr>
            <w:tcW w:w="900" w:type="dxa"/>
            <w:tcMar>
              <w:top w:w="80" w:type="dxa"/>
              <w:left w:w="100" w:type="dxa"/>
              <w:bottom w:w="80" w:type="dxa"/>
              <w:right w:w="100" w:type="dxa"/>
            </w:tcMar>
          </w:tcPr>
          <w:p w14:paraId="2261774D">
            <w:r>
              <w:t>QA / Tester</w:t>
            </w:r>
          </w:p>
        </w:tc>
      </w:tr>
      <w:tr w14:paraId="061FE342">
        <w:tc>
          <w:tcPr>
            <w:tcW w:w="1100" w:type="dxa"/>
            <w:tcMar>
              <w:top w:w="80" w:type="dxa"/>
              <w:left w:w="100" w:type="dxa"/>
              <w:bottom w:w="80" w:type="dxa"/>
              <w:right w:w="100" w:type="dxa"/>
            </w:tcMar>
          </w:tcPr>
          <w:p w14:paraId="6D664359">
            <w:pPr>
              <w:spacing w:after="100"/>
            </w:pPr>
            <w:r>
              <w:rPr>
                <w:rFonts w:ascii="Arial" w:hAnsi="Arial" w:eastAsia="Arial" w:cs="Arial"/>
                <w:sz w:val="15"/>
                <w:szCs w:val="15"/>
              </w:rPr>
              <w:t>DEF-002</w:t>
            </w:r>
          </w:p>
        </w:tc>
        <w:tc>
          <w:tcPr>
            <w:tcW w:w="1100" w:type="dxa"/>
            <w:tcMar>
              <w:top w:w="80" w:type="dxa"/>
              <w:left w:w="100" w:type="dxa"/>
              <w:bottom w:w="80" w:type="dxa"/>
              <w:right w:w="100" w:type="dxa"/>
            </w:tcMar>
          </w:tcPr>
          <w:p w14:paraId="60638355">
            <w:r>
              <w:t>TC-PYW-01</w:t>
            </w:r>
          </w:p>
        </w:tc>
        <w:tc>
          <w:tcPr>
            <w:tcW w:w="1600" w:type="dxa"/>
            <w:tcMar>
              <w:top w:w="80" w:type="dxa"/>
              <w:left w:w="100" w:type="dxa"/>
              <w:bottom w:w="80" w:type="dxa"/>
              <w:right w:w="100" w:type="dxa"/>
            </w:tcMar>
          </w:tcPr>
          <w:p w14:paraId="4AAAFEB7">
            <w:r>
              <w:t>wallet.getWithdrawalHistory (src/api/httpApi.ts:725)</w:t>
            </w:r>
          </w:p>
        </w:tc>
        <w:tc>
          <w:tcPr>
            <w:tcW w:w="2860" w:type="dxa"/>
            <w:tcMar>
              <w:top w:w="80" w:type="dxa"/>
              <w:left w:w="100" w:type="dxa"/>
              <w:bottom w:w="80" w:type="dxa"/>
              <w:right w:w="100" w:type="dxa"/>
            </w:tcMar>
          </w:tcPr>
          <w:p w14:paraId="532EFF79">
            <w:r>
              <w:t>Independent of Sling: the app has  confirmed endpoint yet for withdrawal/payout status or history — getWithdrawalHistory() currently throws "not supported". There is no way to observe a payout completing regardless of which provider is behind it.</w:t>
            </w:r>
          </w:p>
        </w:tc>
        <w:tc>
          <w:tcPr>
            <w:tcW w:w="900" w:type="dxa"/>
            <w:tcMar>
              <w:top w:w="80" w:type="dxa"/>
              <w:left w:w="100" w:type="dxa"/>
              <w:bottom w:w="80" w:type="dxa"/>
              <w:right w:w="100" w:type="dxa"/>
            </w:tcMar>
          </w:tcPr>
          <w:p w14:paraId="46A1DB83">
            <w:r>
              <w:t>High</w:t>
            </w:r>
          </w:p>
        </w:tc>
        <w:tc>
          <w:tcPr>
            <w:tcW w:w="900" w:type="dxa"/>
            <w:tcMar>
              <w:top w:w="80" w:type="dxa"/>
              <w:left w:w="100" w:type="dxa"/>
              <w:bottom w:w="80" w:type="dxa"/>
              <w:right w:w="100" w:type="dxa"/>
            </w:tcMar>
          </w:tcPr>
          <w:p w14:paraId="594E77D5">
            <w:r>
              <w:t>P1</w:t>
            </w:r>
          </w:p>
        </w:tc>
        <w:tc>
          <w:tcPr>
            <w:tcW w:w="1100" w:type="dxa"/>
            <w:tcMar>
              <w:top w:w="80" w:type="dxa"/>
              <w:left w:w="100" w:type="dxa"/>
              <w:bottom w:w="80" w:type="dxa"/>
              <w:right w:w="100" w:type="dxa"/>
            </w:tcMar>
          </w:tcPr>
          <w:p w14:paraId="510AEF9F">
            <w:r>
              <w:t>Open</w:t>
            </w:r>
          </w:p>
        </w:tc>
        <w:tc>
          <w:tcPr>
            <w:tcW w:w="900" w:type="dxa"/>
            <w:tcMar>
              <w:top w:w="80" w:type="dxa"/>
              <w:left w:w="100" w:type="dxa"/>
              <w:bottom w:w="80" w:type="dxa"/>
              <w:right w:w="100" w:type="dxa"/>
            </w:tcMar>
          </w:tcPr>
          <w:p w14:paraId="78284C73">
            <w:r>
              <w:t>QA / Tester</w:t>
            </w:r>
          </w:p>
        </w:tc>
      </w:tr>
      <w:tr w14:paraId="697B7705">
        <w:tc>
          <w:tcPr>
            <w:tcW w:w="1100" w:type="dxa"/>
            <w:tcMar>
              <w:top w:w="80" w:type="dxa"/>
              <w:left w:w="100" w:type="dxa"/>
              <w:bottom w:w="80" w:type="dxa"/>
              <w:right w:w="100" w:type="dxa"/>
            </w:tcMar>
          </w:tcPr>
          <w:p w14:paraId="105E13C7">
            <w:pPr>
              <w:spacing w:after="100"/>
            </w:pPr>
            <w:r>
              <w:rPr>
                <w:rFonts w:ascii="Arial" w:hAnsi="Arial" w:eastAsia="Arial" w:cs="Arial"/>
                <w:sz w:val="15"/>
                <w:szCs w:val="15"/>
              </w:rPr>
              <w:t>DEF-003</w:t>
            </w:r>
          </w:p>
        </w:tc>
        <w:tc>
          <w:tcPr>
            <w:tcW w:w="1100" w:type="dxa"/>
            <w:tcMar>
              <w:top w:w="80" w:type="dxa"/>
              <w:left w:w="100" w:type="dxa"/>
              <w:bottom w:w="80" w:type="dxa"/>
              <w:right w:w="100" w:type="dxa"/>
            </w:tcMar>
          </w:tcPr>
          <w:p w14:paraId="6C841FFF">
            <w:r>
              <w:t>TC-PYW-01 (behind theKey "IP")</w:t>
            </w:r>
          </w:p>
        </w:tc>
        <w:tc>
          <w:tcPr>
            <w:tcW w:w="1600" w:type="dxa"/>
            <w:tcMar>
              <w:top w:w="80" w:type="dxa"/>
              <w:left w:w="100" w:type="dxa"/>
              <w:bottom w:w="80" w:type="dxa"/>
              <w:right w:w="100" w:type="dxa"/>
            </w:tcMar>
          </w:tcPr>
          <w:p w14:paraId="291B29CC">
            <w:r>
              <w:t>theKey "IP" (src/api/httpApi.ts wallet.requestWithdrawal); theKey "AAA" (account verification)</w:t>
            </w:r>
          </w:p>
        </w:tc>
        <w:tc>
          <w:tcPr>
            <w:tcW w:w="2860" w:type="dxa"/>
            <w:tcMar>
              <w:top w:w="80" w:type="dxa"/>
              <w:left w:w="100" w:type="dxa"/>
              <w:bottom w:w="80" w:type="dxa"/>
              <w:right w:w="100" w:type="dxa"/>
            </w:tcMar>
          </w:tcPr>
          <w:p w14:paraId="1B6D6D92">
            <w:pPr>
              <w:pStyle w:val="16"/>
              <w:keepNext w:val="0"/>
              <w:keepLines w:val="0"/>
              <w:widowControl/>
              <w:suppressLineNumbers w:val="0"/>
            </w:pPr>
            <w:r>
              <w:t>Live re-test was completed on 2026-09-11 against the production MyHandler gateway (no staging environment is currently available, as noted in DEF-001).</w:t>
            </w:r>
          </w:p>
          <w:p w14:paraId="7C660658">
            <w:pPr>
              <w:pStyle w:val="16"/>
              <w:keepNext w:val="0"/>
              <w:keepLines w:val="0"/>
              <w:widowControl/>
              <w:suppressLineNumbers w:val="0"/>
            </w:pPr>
            <w:r>
              <w:t xml:space="preserve">A real withdrawal was successfully submitted using a freshly verified Zenith Bank Plc account (000015). The request was received by the gateway, but the response returned </w:t>
            </w:r>
            <w:r>
              <w:rPr>
                <w:rStyle w:val="14"/>
              </w:rPr>
              <w:t>PAYOUT_FAILED</w:t>
            </w:r>
            <w:r>
              <w:t>, indicating that the payout could not yet be completed.</w:t>
            </w:r>
          </w:p>
          <w:p w14:paraId="029793A6">
            <w:pPr>
              <w:pStyle w:val="16"/>
              <w:keepNext w:val="0"/>
              <w:keepLines w:val="0"/>
              <w:widowControl/>
              <w:suppressLineNumbers w:val="0"/>
            </w:pPr>
            <w:r>
              <w:t xml:space="preserve">As a separate verification, the </w:t>
            </w:r>
            <w:r>
              <w:rPr>
                <w:rStyle w:val="14"/>
              </w:rPr>
              <w:t>AAA</w:t>
            </w:r>
            <w:r>
              <w:t xml:space="preserve"> account-name check returned </w:t>
            </w:r>
            <w:r>
              <w:rPr>
                <w:rStyle w:val="14"/>
              </w:rPr>
              <w:t>Vigipay Sling</w:t>
            </w:r>
            <w:r>
              <w:t xml:space="preserve"> / </w:t>
            </w:r>
            <w:r>
              <w:rPr>
                <w:rStyle w:val="14"/>
              </w:rPr>
              <w:t>Demo Bank</w:t>
            </w:r>
            <w:r>
              <w:t xml:space="preserve"> for the same real account. This suggests that the account verification service is still returning sandbox/test data rather than live banking information.</w:t>
            </w:r>
          </w:p>
          <w:p w14:paraId="7566FF29">
            <w:pPr>
              <w:pStyle w:val="16"/>
              <w:keepNext w:val="0"/>
              <w:keepLines w:val="0"/>
              <w:widowControl/>
              <w:suppressLineNumbers w:val="0"/>
            </w:pPr>
            <w:r>
              <w:t xml:space="preserve">Overall, the results provide a clear indication that the Sling integration behind the backend </w:t>
            </w:r>
            <w:r>
              <w:rPr>
                <w:rStyle w:val="14"/>
              </w:rPr>
              <w:t>IP</w:t>
            </w:r>
            <w:r>
              <w:t>/</w:t>
            </w:r>
            <w:r>
              <w:rPr>
                <w:rStyle w:val="14"/>
              </w:rPr>
              <w:t>AAA</w:t>
            </w:r>
            <w:r>
              <w:t xml:space="preserve"> configuration may still be using sandbox/test credentials. This aligns with the risk identified in DEF-001.</w:t>
            </w:r>
          </w:p>
          <w:p w14:paraId="55398D45">
            <w:pPr>
              <w:pStyle w:val="16"/>
              <w:keepNext w:val="0"/>
              <w:keepLines w:val="0"/>
              <w:widowControl/>
              <w:suppressLineNumbers w:val="0"/>
            </w:pPr>
            <w:r>
              <w:t>The next step is for the backend owner to confirm that Sling has been fully switched to production credentials and configuration. Once confirmed, the withdrawal and account-name verification flows can be re-tested to validate the live migration and establish production readiness.</w:t>
            </w:r>
          </w:p>
          <w:p w14:paraId="525665A4"/>
        </w:tc>
        <w:tc>
          <w:tcPr>
            <w:tcW w:w="900" w:type="dxa"/>
            <w:tcMar>
              <w:top w:w="80" w:type="dxa"/>
              <w:left w:w="100" w:type="dxa"/>
              <w:bottom w:w="80" w:type="dxa"/>
              <w:right w:w="100" w:type="dxa"/>
            </w:tcMar>
          </w:tcPr>
          <w:p w14:paraId="3C542C23">
            <w:r>
              <w:t>Blocker</w:t>
            </w:r>
          </w:p>
        </w:tc>
        <w:tc>
          <w:tcPr>
            <w:tcW w:w="900" w:type="dxa"/>
            <w:tcMar>
              <w:top w:w="80" w:type="dxa"/>
              <w:left w:w="100" w:type="dxa"/>
              <w:bottom w:w="80" w:type="dxa"/>
              <w:right w:w="100" w:type="dxa"/>
            </w:tcMar>
          </w:tcPr>
          <w:p w14:paraId="29F41811">
            <w:r>
              <w:t>P0</w:t>
            </w:r>
          </w:p>
        </w:tc>
        <w:tc>
          <w:tcPr>
            <w:tcW w:w="1100" w:type="dxa"/>
            <w:tcMar>
              <w:top w:w="80" w:type="dxa"/>
              <w:left w:w="100" w:type="dxa"/>
              <w:bottom w:w="80" w:type="dxa"/>
              <w:right w:w="100" w:type="dxa"/>
            </w:tcMar>
          </w:tcPr>
          <w:p w14:paraId="7960E567">
            <w:r>
              <w:t>Open</w:t>
            </w:r>
          </w:p>
        </w:tc>
        <w:tc>
          <w:tcPr>
            <w:tcW w:w="900" w:type="dxa"/>
            <w:tcMar>
              <w:top w:w="80" w:type="dxa"/>
              <w:left w:w="100" w:type="dxa"/>
              <w:bottom w:w="80" w:type="dxa"/>
              <w:right w:w="100" w:type="dxa"/>
            </w:tcMar>
          </w:tcPr>
          <w:p w14:paraId="65CF2B2D">
            <w:r>
              <w:t>QA / Tester</w:t>
            </w:r>
          </w:p>
        </w:tc>
      </w:tr>
      <w:tr w14:paraId="2C8182C4">
        <w:tc>
          <w:tcPr>
            <w:tcW w:w="1100" w:type="dxa"/>
            <w:tcMar>
              <w:top w:w="80" w:type="dxa"/>
              <w:left w:w="100" w:type="dxa"/>
              <w:bottom w:w="80" w:type="dxa"/>
              <w:right w:w="100" w:type="dxa"/>
            </w:tcMar>
          </w:tcPr>
          <w:p w14:paraId="4091F912">
            <w:pPr>
              <w:spacing w:after="100"/>
            </w:pPr>
            <w:r>
              <w:rPr>
                <w:rFonts w:ascii="Arial" w:hAnsi="Arial" w:eastAsia="Arial" w:cs="Arial"/>
                <w:sz w:val="15"/>
                <w:szCs w:val="15"/>
              </w:rPr>
              <w:t>DEF-004</w:t>
            </w:r>
          </w:p>
        </w:tc>
        <w:tc>
          <w:tcPr>
            <w:tcW w:w="1100" w:type="dxa"/>
            <w:tcMar>
              <w:top w:w="80" w:type="dxa"/>
              <w:left w:w="100" w:type="dxa"/>
              <w:bottom w:w="80" w:type="dxa"/>
              <w:right w:w="100" w:type="dxa"/>
            </w:tcMar>
          </w:tcPr>
          <w:p w14:paraId="3B0D03DA">
            <w:pPr>
              <w:spacing w:after="100"/>
            </w:pPr>
          </w:p>
        </w:tc>
        <w:tc>
          <w:tcPr>
            <w:tcW w:w="1600" w:type="dxa"/>
            <w:tcMar>
              <w:top w:w="80" w:type="dxa"/>
              <w:left w:w="100" w:type="dxa"/>
              <w:bottom w:w="80" w:type="dxa"/>
              <w:right w:w="100" w:type="dxa"/>
            </w:tcMar>
          </w:tcPr>
          <w:p w14:paraId="7D5993A4">
            <w:pPr>
              <w:spacing w:after="100"/>
            </w:pPr>
          </w:p>
        </w:tc>
        <w:tc>
          <w:tcPr>
            <w:tcW w:w="2860" w:type="dxa"/>
            <w:tcMar>
              <w:top w:w="80" w:type="dxa"/>
              <w:left w:w="100" w:type="dxa"/>
              <w:bottom w:w="80" w:type="dxa"/>
              <w:right w:w="100" w:type="dxa"/>
            </w:tcMar>
          </w:tcPr>
          <w:p w14:paraId="7081E56C">
            <w:pPr>
              <w:spacing w:after="100"/>
            </w:pPr>
          </w:p>
        </w:tc>
        <w:tc>
          <w:tcPr>
            <w:tcW w:w="900" w:type="dxa"/>
            <w:tcMar>
              <w:top w:w="80" w:type="dxa"/>
              <w:left w:w="100" w:type="dxa"/>
              <w:bottom w:w="80" w:type="dxa"/>
              <w:right w:w="100" w:type="dxa"/>
            </w:tcMar>
          </w:tcPr>
          <w:p w14:paraId="424B6156">
            <w:pPr>
              <w:spacing w:after="100"/>
            </w:pPr>
          </w:p>
        </w:tc>
        <w:tc>
          <w:tcPr>
            <w:tcW w:w="900" w:type="dxa"/>
            <w:tcMar>
              <w:top w:w="80" w:type="dxa"/>
              <w:left w:w="100" w:type="dxa"/>
              <w:bottom w:w="80" w:type="dxa"/>
              <w:right w:w="100" w:type="dxa"/>
            </w:tcMar>
          </w:tcPr>
          <w:p w14:paraId="60E1F8E1">
            <w:pPr>
              <w:spacing w:after="100"/>
            </w:pPr>
          </w:p>
        </w:tc>
        <w:tc>
          <w:tcPr>
            <w:tcW w:w="1100" w:type="dxa"/>
            <w:tcMar>
              <w:top w:w="80" w:type="dxa"/>
              <w:left w:w="100" w:type="dxa"/>
              <w:bottom w:w="80" w:type="dxa"/>
              <w:right w:w="100" w:type="dxa"/>
            </w:tcMar>
          </w:tcPr>
          <w:p w14:paraId="5815CB5E">
            <w:pPr>
              <w:spacing w:after="100"/>
            </w:pPr>
          </w:p>
        </w:tc>
        <w:tc>
          <w:tcPr>
            <w:tcW w:w="900" w:type="dxa"/>
            <w:tcMar>
              <w:top w:w="80" w:type="dxa"/>
              <w:left w:w="100" w:type="dxa"/>
              <w:bottom w:w="80" w:type="dxa"/>
              <w:right w:w="100" w:type="dxa"/>
            </w:tcMar>
          </w:tcPr>
          <w:p w14:paraId="5727CA1C">
            <w:pPr>
              <w:spacing w:after="100"/>
            </w:pPr>
          </w:p>
        </w:tc>
      </w:tr>
      <w:tr w14:paraId="6D047402">
        <w:tc>
          <w:tcPr>
            <w:tcW w:w="1100" w:type="dxa"/>
            <w:tcMar>
              <w:top w:w="80" w:type="dxa"/>
              <w:left w:w="100" w:type="dxa"/>
              <w:bottom w:w="80" w:type="dxa"/>
              <w:right w:w="100" w:type="dxa"/>
            </w:tcMar>
          </w:tcPr>
          <w:p w14:paraId="7F8276EF">
            <w:pPr>
              <w:spacing w:after="100"/>
            </w:pPr>
            <w:r>
              <w:rPr>
                <w:rFonts w:ascii="Arial" w:hAnsi="Arial" w:eastAsia="Arial" w:cs="Arial"/>
                <w:sz w:val="15"/>
                <w:szCs w:val="15"/>
              </w:rPr>
              <w:t>DEF-005</w:t>
            </w:r>
          </w:p>
        </w:tc>
        <w:tc>
          <w:tcPr>
            <w:tcW w:w="1100" w:type="dxa"/>
            <w:tcMar>
              <w:top w:w="80" w:type="dxa"/>
              <w:left w:w="100" w:type="dxa"/>
              <w:bottom w:w="80" w:type="dxa"/>
              <w:right w:w="100" w:type="dxa"/>
            </w:tcMar>
          </w:tcPr>
          <w:p w14:paraId="4B19B7F1">
            <w:pPr>
              <w:spacing w:after="100"/>
            </w:pPr>
          </w:p>
        </w:tc>
        <w:tc>
          <w:tcPr>
            <w:tcW w:w="1600" w:type="dxa"/>
            <w:tcMar>
              <w:top w:w="80" w:type="dxa"/>
              <w:left w:w="100" w:type="dxa"/>
              <w:bottom w:w="80" w:type="dxa"/>
              <w:right w:w="100" w:type="dxa"/>
            </w:tcMar>
          </w:tcPr>
          <w:p w14:paraId="34B281FA">
            <w:pPr>
              <w:spacing w:after="100"/>
            </w:pPr>
          </w:p>
        </w:tc>
        <w:tc>
          <w:tcPr>
            <w:tcW w:w="2860" w:type="dxa"/>
            <w:tcMar>
              <w:top w:w="80" w:type="dxa"/>
              <w:left w:w="100" w:type="dxa"/>
              <w:bottom w:w="80" w:type="dxa"/>
              <w:right w:w="100" w:type="dxa"/>
            </w:tcMar>
          </w:tcPr>
          <w:p w14:paraId="3F311D1A">
            <w:pPr>
              <w:spacing w:after="100"/>
            </w:pPr>
          </w:p>
        </w:tc>
        <w:tc>
          <w:tcPr>
            <w:tcW w:w="900" w:type="dxa"/>
            <w:tcMar>
              <w:top w:w="80" w:type="dxa"/>
              <w:left w:w="100" w:type="dxa"/>
              <w:bottom w:w="80" w:type="dxa"/>
              <w:right w:w="100" w:type="dxa"/>
            </w:tcMar>
          </w:tcPr>
          <w:p w14:paraId="5A363AA5">
            <w:pPr>
              <w:spacing w:after="100"/>
            </w:pPr>
          </w:p>
        </w:tc>
        <w:tc>
          <w:tcPr>
            <w:tcW w:w="900" w:type="dxa"/>
            <w:tcMar>
              <w:top w:w="80" w:type="dxa"/>
              <w:left w:w="100" w:type="dxa"/>
              <w:bottom w:w="80" w:type="dxa"/>
              <w:right w:w="100" w:type="dxa"/>
            </w:tcMar>
          </w:tcPr>
          <w:p w14:paraId="6D74C1BA">
            <w:pPr>
              <w:spacing w:after="100"/>
            </w:pPr>
          </w:p>
        </w:tc>
        <w:tc>
          <w:tcPr>
            <w:tcW w:w="1100" w:type="dxa"/>
            <w:tcMar>
              <w:top w:w="80" w:type="dxa"/>
              <w:left w:w="100" w:type="dxa"/>
              <w:bottom w:w="80" w:type="dxa"/>
              <w:right w:w="100" w:type="dxa"/>
            </w:tcMar>
          </w:tcPr>
          <w:p w14:paraId="3338EB17">
            <w:pPr>
              <w:spacing w:after="100"/>
            </w:pPr>
          </w:p>
        </w:tc>
        <w:tc>
          <w:tcPr>
            <w:tcW w:w="900" w:type="dxa"/>
            <w:tcMar>
              <w:top w:w="80" w:type="dxa"/>
              <w:left w:w="100" w:type="dxa"/>
              <w:bottom w:w="80" w:type="dxa"/>
              <w:right w:w="100" w:type="dxa"/>
            </w:tcMar>
          </w:tcPr>
          <w:p w14:paraId="299FA833">
            <w:pPr>
              <w:spacing w:after="100"/>
            </w:pPr>
          </w:p>
        </w:tc>
      </w:tr>
      <w:tr w14:paraId="13FE7444">
        <w:tc>
          <w:tcPr>
            <w:tcW w:w="1100" w:type="dxa"/>
            <w:tcMar>
              <w:top w:w="80" w:type="dxa"/>
              <w:left w:w="100" w:type="dxa"/>
              <w:bottom w:w="80" w:type="dxa"/>
              <w:right w:w="100" w:type="dxa"/>
            </w:tcMar>
          </w:tcPr>
          <w:p w14:paraId="5EE35581">
            <w:pPr>
              <w:spacing w:after="100"/>
            </w:pPr>
            <w:r>
              <w:rPr>
                <w:rFonts w:ascii="Arial" w:hAnsi="Arial" w:eastAsia="Arial" w:cs="Arial"/>
                <w:sz w:val="15"/>
                <w:szCs w:val="15"/>
              </w:rPr>
              <w:t>DEF-006</w:t>
            </w:r>
          </w:p>
        </w:tc>
        <w:tc>
          <w:tcPr>
            <w:tcW w:w="1100" w:type="dxa"/>
            <w:tcMar>
              <w:top w:w="80" w:type="dxa"/>
              <w:left w:w="100" w:type="dxa"/>
              <w:bottom w:w="80" w:type="dxa"/>
              <w:right w:w="100" w:type="dxa"/>
            </w:tcMar>
          </w:tcPr>
          <w:p w14:paraId="52541B8A">
            <w:pPr>
              <w:spacing w:after="100"/>
            </w:pPr>
          </w:p>
        </w:tc>
        <w:tc>
          <w:tcPr>
            <w:tcW w:w="1600" w:type="dxa"/>
            <w:tcMar>
              <w:top w:w="80" w:type="dxa"/>
              <w:left w:w="100" w:type="dxa"/>
              <w:bottom w:w="80" w:type="dxa"/>
              <w:right w:w="100" w:type="dxa"/>
            </w:tcMar>
          </w:tcPr>
          <w:p w14:paraId="7FB169A0">
            <w:pPr>
              <w:spacing w:after="100"/>
            </w:pPr>
          </w:p>
        </w:tc>
        <w:tc>
          <w:tcPr>
            <w:tcW w:w="2860" w:type="dxa"/>
            <w:tcMar>
              <w:top w:w="80" w:type="dxa"/>
              <w:left w:w="100" w:type="dxa"/>
              <w:bottom w:w="80" w:type="dxa"/>
              <w:right w:w="100" w:type="dxa"/>
            </w:tcMar>
          </w:tcPr>
          <w:p w14:paraId="542E1FED">
            <w:pPr>
              <w:spacing w:after="100"/>
            </w:pPr>
          </w:p>
        </w:tc>
        <w:tc>
          <w:tcPr>
            <w:tcW w:w="900" w:type="dxa"/>
            <w:tcMar>
              <w:top w:w="80" w:type="dxa"/>
              <w:left w:w="100" w:type="dxa"/>
              <w:bottom w:w="80" w:type="dxa"/>
              <w:right w:w="100" w:type="dxa"/>
            </w:tcMar>
          </w:tcPr>
          <w:p w14:paraId="088BAA3B">
            <w:pPr>
              <w:spacing w:after="100"/>
            </w:pPr>
          </w:p>
        </w:tc>
        <w:tc>
          <w:tcPr>
            <w:tcW w:w="900" w:type="dxa"/>
            <w:tcMar>
              <w:top w:w="80" w:type="dxa"/>
              <w:left w:w="100" w:type="dxa"/>
              <w:bottom w:w="80" w:type="dxa"/>
              <w:right w:w="100" w:type="dxa"/>
            </w:tcMar>
          </w:tcPr>
          <w:p w14:paraId="710E58D2">
            <w:pPr>
              <w:spacing w:after="100"/>
            </w:pPr>
          </w:p>
        </w:tc>
        <w:tc>
          <w:tcPr>
            <w:tcW w:w="1100" w:type="dxa"/>
            <w:tcMar>
              <w:top w:w="80" w:type="dxa"/>
              <w:left w:w="100" w:type="dxa"/>
              <w:bottom w:w="80" w:type="dxa"/>
              <w:right w:w="100" w:type="dxa"/>
            </w:tcMar>
          </w:tcPr>
          <w:p w14:paraId="4E7263C1">
            <w:pPr>
              <w:spacing w:after="100"/>
            </w:pPr>
          </w:p>
        </w:tc>
        <w:tc>
          <w:tcPr>
            <w:tcW w:w="900" w:type="dxa"/>
            <w:tcMar>
              <w:top w:w="80" w:type="dxa"/>
              <w:left w:w="100" w:type="dxa"/>
              <w:bottom w:w="80" w:type="dxa"/>
              <w:right w:w="100" w:type="dxa"/>
            </w:tcMar>
          </w:tcPr>
          <w:p w14:paraId="1569B982">
            <w:pPr>
              <w:spacing w:after="100"/>
            </w:pPr>
          </w:p>
        </w:tc>
      </w:tr>
      <w:tr w14:paraId="640A82E8">
        <w:tc>
          <w:tcPr>
            <w:tcW w:w="1100" w:type="dxa"/>
            <w:tcMar>
              <w:top w:w="80" w:type="dxa"/>
              <w:left w:w="100" w:type="dxa"/>
              <w:bottom w:w="80" w:type="dxa"/>
              <w:right w:w="100" w:type="dxa"/>
            </w:tcMar>
          </w:tcPr>
          <w:p w14:paraId="23BF057C">
            <w:pPr>
              <w:spacing w:after="100"/>
            </w:pPr>
            <w:r>
              <w:rPr>
                <w:rFonts w:ascii="Arial" w:hAnsi="Arial" w:eastAsia="Arial" w:cs="Arial"/>
                <w:sz w:val="15"/>
                <w:szCs w:val="15"/>
              </w:rPr>
              <w:t>DEF-007</w:t>
            </w:r>
          </w:p>
        </w:tc>
        <w:tc>
          <w:tcPr>
            <w:tcW w:w="1100" w:type="dxa"/>
            <w:tcMar>
              <w:top w:w="80" w:type="dxa"/>
              <w:left w:w="100" w:type="dxa"/>
              <w:bottom w:w="80" w:type="dxa"/>
              <w:right w:w="100" w:type="dxa"/>
            </w:tcMar>
          </w:tcPr>
          <w:p w14:paraId="72422309">
            <w:pPr>
              <w:spacing w:after="100"/>
            </w:pPr>
          </w:p>
        </w:tc>
        <w:tc>
          <w:tcPr>
            <w:tcW w:w="1600" w:type="dxa"/>
            <w:tcMar>
              <w:top w:w="80" w:type="dxa"/>
              <w:left w:w="100" w:type="dxa"/>
              <w:bottom w:w="80" w:type="dxa"/>
              <w:right w:w="100" w:type="dxa"/>
            </w:tcMar>
          </w:tcPr>
          <w:p w14:paraId="6E470AED">
            <w:pPr>
              <w:spacing w:after="100"/>
            </w:pPr>
          </w:p>
        </w:tc>
        <w:tc>
          <w:tcPr>
            <w:tcW w:w="2860" w:type="dxa"/>
            <w:tcMar>
              <w:top w:w="80" w:type="dxa"/>
              <w:left w:w="100" w:type="dxa"/>
              <w:bottom w:w="80" w:type="dxa"/>
              <w:right w:w="100" w:type="dxa"/>
            </w:tcMar>
          </w:tcPr>
          <w:p w14:paraId="367B0D46">
            <w:pPr>
              <w:spacing w:after="100"/>
            </w:pPr>
          </w:p>
        </w:tc>
        <w:tc>
          <w:tcPr>
            <w:tcW w:w="900" w:type="dxa"/>
            <w:tcMar>
              <w:top w:w="80" w:type="dxa"/>
              <w:left w:w="100" w:type="dxa"/>
              <w:bottom w:w="80" w:type="dxa"/>
              <w:right w:w="100" w:type="dxa"/>
            </w:tcMar>
          </w:tcPr>
          <w:p w14:paraId="29B914EA">
            <w:pPr>
              <w:spacing w:after="100"/>
            </w:pPr>
          </w:p>
        </w:tc>
        <w:tc>
          <w:tcPr>
            <w:tcW w:w="900" w:type="dxa"/>
            <w:tcMar>
              <w:top w:w="80" w:type="dxa"/>
              <w:left w:w="100" w:type="dxa"/>
              <w:bottom w:w="80" w:type="dxa"/>
              <w:right w:w="100" w:type="dxa"/>
            </w:tcMar>
          </w:tcPr>
          <w:p w14:paraId="3C6430B8">
            <w:pPr>
              <w:spacing w:after="100"/>
            </w:pPr>
          </w:p>
        </w:tc>
        <w:tc>
          <w:tcPr>
            <w:tcW w:w="1100" w:type="dxa"/>
            <w:tcMar>
              <w:top w:w="80" w:type="dxa"/>
              <w:left w:w="100" w:type="dxa"/>
              <w:bottom w:w="80" w:type="dxa"/>
              <w:right w:w="100" w:type="dxa"/>
            </w:tcMar>
          </w:tcPr>
          <w:p w14:paraId="6AADE945">
            <w:pPr>
              <w:spacing w:after="100"/>
            </w:pPr>
          </w:p>
        </w:tc>
        <w:tc>
          <w:tcPr>
            <w:tcW w:w="900" w:type="dxa"/>
            <w:tcMar>
              <w:top w:w="80" w:type="dxa"/>
              <w:left w:w="100" w:type="dxa"/>
              <w:bottom w:w="80" w:type="dxa"/>
              <w:right w:w="100" w:type="dxa"/>
            </w:tcMar>
          </w:tcPr>
          <w:p w14:paraId="2CDAE185">
            <w:pPr>
              <w:spacing w:after="100"/>
            </w:pPr>
          </w:p>
        </w:tc>
      </w:tr>
      <w:tr w14:paraId="63E95F38">
        <w:tc>
          <w:tcPr>
            <w:tcW w:w="1100" w:type="dxa"/>
            <w:tcMar>
              <w:top w:w="80" w:type="dxa"/>
              <w:left w:w="100" w:type="dxa"/>
              <w:bottom w:w="80" w:type="dxa"/>
              <w:right w:w="100" w:type="dxa"/>
            </w:tcMar>
          </w:tcPr>
          <w:p w14:paraId="024CE516">
            <w:pPr>
              <w:spacing w:after="100"/>
            </w:pPr>
            <w:r>
              <w:rPr>
                <w:rFonts w:ascii="Arial" w:hAnsi="Arial" w:eastAsia="Arial" w:cs="Arial"/>
                <w:sz w:val="15"/>
                <w:szCs w:val="15"/>
              </w:rPr>
              <w:t>DEF-008</w:t>
            </w:r>
          </w:p>
        </w:tc>
        <w:tc>
          <w:tcPr>
            <w:tcW w:w="1100" w:type="dxa"/>
            <w:tcMar>
              <w:top w:w="80" w:type="dxa"/>
              <w:left w:w="100" w:type="dxa"/>
              <w:bottom w:w="80" w:type="dxa"/>
              <w:right w:w="100" w:type="dxa"/>
            </w:tcMar>
          </w:tcPr>
          <w:p w14:paraId="5AFD388F">
            <w:pPr>
              <w:spacing w:after="100"/>
            </w:pPr>
          </w:p>
        </w:tc>
        <w:tc>
          <w:tcPr>
            <w:tcW w:w="1600" w:type="dxa"/>
            <w:tcMar>
              <w:top w:w="80" w:type="dxa"/>
              <w:left w:w="100" w:type="dxa"/>
              <w:bottom w:w="80" w:type="dxa"/>
              <w:right w:w="100" w:type="dxa"/>
            </w:tcMar>
          </w:tcPr>
          <w:p w14:paraId="3F6FAF4D">
            <w:pPr>
              <w:spacing w:after="100"/>
            </w:pPr>
          </w:p>
        </w:tc>
        <w:tc>
          <w:tcPr>
            <w:tcW w:w="2860" w:type="dxa"/>
            <w:tcMar>
              <w:top w:w="80" w:type="dxa"/>
              <w:left w:w="100" w:type="dxa"/>
              <w:bottom w:w="80" w:type="dxa"/>
              <w:right w:w="100" w:type="dxa"/>
            </w:tcMar>
          </w:tcPr>
          <w:p w14:paraId="3AA4F64A">
            <w:pPr>
              <w:spacing w:after="100"/>
            </w:pPr>
          </w:p>
        </w:tc>
        <w:tc>
          <w:tcPr>
            <w:tcW w:w="900" w:type="dxa"/>
            <w:tcMar>
              <w:top w:w="80" w:type="dxa"/>
              <w:left w:w="100" w:type="dxa"/>
              <w:bottom w:w="80" w:type="dxa"/>
              <w:right w:w="100" w:type="dxa"/>
            </w:tcMar>
          </w:tcPr>
          <w:p w14:paraId="65893C23">
            <w:pPr>
              <w:spacing w:after="100"/>
            </w:pPr>
          </w:p>
        </w:tc>
        <w:tc>
          <w:tcPr>
            <w:tcW w:w="900" w:type="dxa"/>
            <w:tcMar>
              <w:top w:w="80" w:type="dxa"/>
              <w:left w:w="100" w:type="dxa"/>
              <w:bottom w:w="80" w:type="dxa"/>
              <w:right w:w="100" w:type="dxa"/>
            </w:tcMar>
          </w:tcPr>
          <w:p w14:paraId="5CD500F3">
            <w:pPr>
              <w:spacing w:after="100"/>
            </w:pPr>
          </w:p>
        </w:tc>
        <w:tc>
          <w:tcPr>
            <w:tcW w:w="1100" w:type="dxa"/>
            <w:tcMar>
              <w:top w:w="80" w:type="dxa"/>
              <w:left w:w="100" w:type="dxa"/>
              <w:bottom w:w="80" w:type="dxa"/>
              <w:right w:w="100" w:type="dxa"/>
            </w:tcMar>
          </w:tcPr>
          <w:p w14:paraId="72925C3E">
            <w:pPr>
              <w:spacing w:after="100"/>
            </w:pPr>
          </w:p>
        </w:tc>
        <w:tc>
          <w:tcPr>
            <w:tcW w:w="900" w:type="dxa"/>
            <w:tcMar>
              <w:top w:w="80" w:type="dxa"/>
              <w:left w:w="100" w:type="dxa"/>
              <w:bottom w:w="80" w:type="dxa"/>
              <w:right w:w="100" w:type="dxa"/>
            </w:tcMar>
          </w:tcPr>
          <w:p w14:paraId="73E99AED">
            <w:pPr>
              <w:spacing w:after="100"/>
            </w:pPr>
          </w:p>
        </w:tc>
      </w:tr>
    </w:tbl>
    <w:p w14:paraId="0AF6E18E">
      <w:pPr>
        <w:spacing w:after="300"/>
      </w:pPr>
    </w:p>
    <w:p w14:paraId="3C37C1E1">
      <w:pPr>
        <w:spacing w:before="100" w:after="150"/>
      </w:pPr>
      <w:r>
        <w:rPr>
          <w:rFonts w:ascii="Arial" w:hAnsi="Arial" w:eastAsia="Arial" w:cs="Arial"/>
          <w:b/>
          <w:bCs/>
          <w:color w:val="1F3864"/>
          <w:sz w:val="24"/>
          <w:szCs w:val="24"/>
        </w:rPr>
        <w:t>3. Summary Tracking</w:t>
      </w:r>
    </w:p>
    <w:p w14:paraId="42159E8B">
      <w:pPr>
        <w:spacing w:after="100"/>
        <w:rPr>
          <w:rFonts w:hint="default"/>
          <w:lang w:val="en-US"/>
        </w:rPr>
      </w:pPr>
      <w:r>
        <w:t xml:space="preserve">Total Test Cases: 6 | Passed: </w:t>
      </w:r>
      <w:r>
        <w:rPr>
          <w:rFonts w:hint="default"/>
          <w:lang w:val="en-US"/>
        </w:rPr>
        <w:t>6</w:t>
      </w:r>
      <w:r>
        <w:t xml:space="preserve"> | Failed: 0 | Blocked: 0| Not Applicable: </w:t>
      </w:r>
      <w:r>
        <w:rPr>
          <w:rFonts w:hint="default"/>
          <w:lang w:val="en-US"/>
        </w:rPr>
        <w:t>0</w:t>
      </w:r>
      <w:r>
        <w:t>| Not Started: 0 | Pass Rate:</w:t>
      </w:r>
      <w:r>
        <w:rPr>
          <w:rFonts w:hint="default"/>
          <w:lang w:val="en-US"/>
        </w:rPr>
        <w:t>6</w:t>
      </w:r>
      <w:r>
        <w:t xml:space="preserve">  | Open Defects: </w:t>
      </w:r>
      <w:r>
        <w:rPr>
          <w:rFonts w:hint="default"/>
          <w:lang w:val="en-US"/>
        </w:rPr>
        <w:t>0</w:t>
      </w:r>
      <w:r>
        <w:t xml:space="preserve"> | Last Verified: 2026-09-1</w:t>
      </w:r>
      <w:r>
        <w:rPr>
          <w:rFonts w:hint="default"/>
          <w:lang w:val="en-US"/>
        </w:rPr>
        <w:t>2</w:t>
      </w:r>
    </w:p>
    <w:p w14:paraId="5270111D">
      <w:pPr>
        <w:spacing w:after="100"/>
      </w:pPr>
      <w:r>
        <w:rPr>
          <w:rFonts w:ascii="Arial" w:hAnsi="Arial" w:eastAsia="Arial" w:cs="Arial"/>
          <w:i/>
          <w:iCs/>
          <w:sz w:val="16"/>
          <w:szCs w:val="16"/>
        </w:rPr>
        <w:t>Update this section as execution progresses. Status per test case is tracked in the Test Cases table above.</w:t>
      </w:r>
    </w:p>
    <w:p w14:paraId="304D5E7A">
      <w:pPr>
        <w:spacing w:after="300"/>
      </w:pPr>
    </w:p>
    <w:p w14:paraId="232E391A">
      <w:pPr>
        <w:spacing w:before="100" w:after="150"/>
      </w:pPr>
      <w:r>
        <w:rPr>
          <w:rFonts w:ascii="Arial" w:hAnsi="Arial" w:eastAsia="Arial" w:cs="Arial"/>
          <w:b/>
          <w:bCs/>
          <w:color w:val="1F3864"/>
          <w:sz w:val="24"/>
          <w:szCs w:val="24"/>
        </w:rPr>
        <w:t>4. Sign-off</w:t>
      </w:r>
    </w:p>
    <w:p w14:paraId="3F515890">
      <w:pPr>
        <w:spacing w:after="100"/>
      </w:pPr>
      <w:r>
        <w:rPr>
          <w:rFonts w:ascii="Arial" w:hAnsi="Arial" w:eastAsia="Arial" w:cs="Arial"/>
          <w:sz w:val="16"/>
          <w:szCs w:val="16"/>
        </w:rPr>
        <w:t>By signing below, the undersigned confirms that the test cases above have been executed against the staging environment, results recorded, and any defects logged have been reviewed and are acceptable for go-live (or have an agreed remediation plan).</w:t>
      </w:r>
    </w:p>
    <w:p w14:paraId="2EBF560B">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400"/>
        <w:gridCol w:w="2400"/>
        <w:gridCol w:w="1760"/>
      </w:tblGrid>
      <w:tr w14:paraId="17BECE02">
        <w:trPr>
          <w:tblHeader/>
        </w:trPr>
        <w:tc>
          <w:tcPr>
            <w:tcW w:w="2800" w:type="dxa"/>
            <w:shd w:val="clear" w:color="auto" w:fill="1F3864"/>
            <w:tcMar>
              <w:top w:w="80" w:type="dxa"/>
              <w:left w:w="100" w:type="dxa"/>
              <w:bottom w:w="80" w:type="dxa"/>
              <w:right w:w="100" w:type="dxa"/>
            </w:tcMar>
            <w:vAlign w:val="center"/>
          </w:tcPr>
          <w:p w14:paraId="7D54B3A4">
            <w:pPr>
              <w:spacing w:after="100"/>
            </w:pPr>
            <w:r>
              <w:rPr>
                <w:rFonts w:ascii="Arial" w:hAnsi="Arial" w:eastAsia="Arial" w:cs="Arial"/>
                <w:b/>
                <w:bCs/>
                <w:color w:val="FFFFFF"/>
                <w:sz w:val="16"/>
                <w:szCs w:val="16"/>
              </w:rPr>
              <w:t>Role</w:t>
            </w:r>
          </w:p>
        </w:tc>
        <w:tc>
          <w:tcPr>
            <w:tcW w:w="2400" w:type="dxa"/>
            <w:shd w:val="clear" w:color="auto" w:fill="1F3864"/>
            <w:tcMar>
              <w:top w:w="80" w:type="dxa"/>
              <w:left w:w="100" w:type="dxa"/>
              <w:bottom w:w="80" w:type="dxa"/>
              <w:right w:w="100" w:type="dxa"/>
            </w:tcMar>
            <w:vAlign w:val="center"/>
          </w:tcPr>
          <w:p w14:paraId="357C9E01">
            <w:pPr>
              <w:spacing w:after="100"/>
            </w:pPr>
            <w:r>
              <w:rPr>
                <w:rFonts w:ascii="Arial" w:hAnsi="Arial" w:eastAsia="Arial" w:cs="Arial"/>
                <w:b/>
                <w:bCs/>
                <w:color w:val="FFFFFF"/>
                <w:sz w:val="16"/>
                <w:szCs w:val="16"/>
              </w:rPr>
              <w:t>Name</w:t>
            </w:r>
          </w:p>
        </w:tc>
        <w:tc>
          <w:tcPr>
            <w:tcW w:w="2400" w:type="dxa"/>
            <w:shd w:val="clear" w:color="auto" w:fill="1F3864"/>
            <w:tcMar>
              <w:top w:w="80" w:type="dxa"/>
              <w:left w:w="100" w:type="dxa"/>
              <w:bottom w:w="80" w:type="dxa"/>
              <w:right w:w="100" w:type="dxa"/>
            </w:tcMar>
            <w:vAlign w:val="center"/>
          </w:tcPr>
          <w:p w14:paraId="08C656EC">
            <w:pPr>
              <w:spacing w:after="100"/>
            </w:pPr>
            <w:r>
              <w:rPr>
                <w:rFonts w:ascii="Arial" w:hAnsi="Arial" w:eastAsia="Arial" w:cs="Arial"/>
                <w:b/>
                <w:bCs/>
                <w:color w:val="FFFFFF"/>
                <w:sz w:val="16"/>
                <w:szCs w:val="16"/>
              </w:rPr>
              <w:t>Signature</w:t>
            </w:r>
          </w:p>
        </w:tc>
        <w:tc>
          <w:tcPr>
            <w:tcW w:w="1760" w:type="dxa"/>
            <w:shd w:val="clear" w:color="auto" w:fill="1F3864"/>
            <w:tcMar>
              <w:top w:w="80" w:type="dxa"/>
              <w:left w:w="100" w:type="dxa"/>
              <w:bottom w:w="80" w:type="dxa"/>
              <w:right w:w="100" w:type="dxa"/>
            </w:tcMar>
            <w:vAlign w:val="center"/>
          </w:tcPr>
          <w:p w14:paraId="3C0144F2">
            <w:pPr>
              <w:spacing w:after="100"/>
            </w:pPr>
            <w:r>
              <w:rPr>
                <w:rFonts w:ascii="Arial" w:hAnsi="Arial" w:eastAsia="Arial" w:cs="Arial"/>
                <w:b/>
                <w:bCs/>
                <w:color w:val="FFFFFF"/>
                <w:sz w:val="16"/>
                <w:szCs w:val="16"/>
              </w:rPr>
              <w:t>Date</w:t>
            </w:r>
          </w:p>
        </w:tc>
      </w:tr>
      <w:tr w14:paraId="6942CF5B">
        <w:tc>
          <w:tcPr>
            <w:tcW w:w="2800" w:type="dxa"/>
            <w:tcMar>
              <w:top w:w="80" w:type="dxa"/>
              <w:left w:w="100" w:type="dxa"/>
              <w:bottom w:w="80" w:type="dxa"/>
              <w:right w:w="100" w:type="dxa"/>
            </w:tcMar>
          </w:tcPr>
          <w:p w14:paraId="0DF1F141">
            <w:pPr>
              <w:spacing w:after="100"/>
            </w:pPr>
            <w:r>
              <w:rPr>
                <w:rFonts w:ascii="Arial" w:hAnsi="Arial" w:eastAsia="Arial" w:cs="Arial"/>
                <w:sz w:val="16"/>
                <w:szCs w:val="16"/>
              </w:rPr>
              <w:t>QA / Tester</w:t>
            </w:r>
          </w:p>
        </w:tc>
        <w:tc>
          <w:tcPr>
            <w:tcW w:w="2400" w:type="dxa"/>
            <w:tcMar>
              <w:top w:w="80" w:type="dxa"/>
              <w:left w:w="100" w:type="dxa"/>
              <w:bottom w:w="80" w:type="dxa"/>
              <w:right w:w="100" w:type="dxa"/>
            </w:tcMar>
          </w:tcPr>
          <w:p w14:paraId="15C10BE1">
            <w:pPr>
              <w:spacing w:after="100"/>
            </w:pPr>
          </w:p>
        </w:tc>
        <w:tc>
          <w:tcPr>
            <w:tcW w:w="2400" w:type="dxa"/>
            <w:tcMar>
              <w:top w:w="80" w:type="dxa"/>
              <w:left w:w="100" w:type="dxa"/>
              <w:bottom w:w="80" w:type="dxa"/>
              <w:right w:w="100" w:type="dxa"/>
            </w:tcMar>
          </w:tcPr>
          <w:p w14:paraId="29F1723C">
            <w:pPr>
              <w:spacing w:after="100"/>
            </w:pPr>
          </w:p>
        </w:tc>
        <w:tc>
          <w:tcPr>
            <w:tcW w:w="1760" w:type="dxa"/>
            <w:tcMar>
              <w:top w:w="80" w:type="dxa"/>
              <w:left w:w="100" w:type="dxa"/>
              <w:bottom w:w="80" w:type="dxa"/>
              <w:right w:w="100" w:type="dxa"/>
            </w:tcMar>
          </w:tcPr>
          <w:p w14:paraId="2EB823D1">
            <w:pPr>
              <w:spacing w:after="100"/>
            </w:pPr>
          </w:p>
        </w:tc>
      </w:tr>
      <w:tr w14:paraId="149223B1">
        <w:tc>
          <w:tcPr>
            <w:tcW w:w="2800" w:type="dxa"/>
            <w:tcMar>
              <w:top w:w="80" w:type="dxa"/>
              <w:left w:w="100" w:type="dxa"/>
              <w:bottom w:w="80" w:type="dxa"/>
              <w:right w:w="100" w:type="dxa"/>
            </w:tcMar>
          </w:tcPr>
          <w:p w14:paraId="4319CC5F">
            <w:pPr>
              <w:spacing w:after="100"/>
            </w:pPr>
            <w:r>
              <w:rPr>
                <w:rFonts w:ascii="Arial" w:hAnsi="Arial" w:eastAsia="Arial" w:cs="Arial"/>
                <w:sz w:val="16"/>
                <w:szCs w:val="16"/>
              </w:rPr>
              <w:t>Technical Lead / Integration Owner</w:t>
            </w:r>
          </w:p>
        </w:tc>
        <w:tc>
          <w:tcPr>
            <w:tcW w:w="2400" w:type="dxa"/>
            <w:tcMar>
              <w:top w:w="80" w:type="dxa"/>
              <w:left w:w="100" w:type="dxa"/>
              <w:bottom w:w="80" w:type="dxa"/>
              <w:right w:w="100" w:type="dxa"/>
            </w:tcMar>
          </w:tcPr>
          <w:p w14:paraId="4FC22B15">
            <w:pPr>
              <w:spacing w:after="100"/>
            </w:pPr>
          </w:p>
        </w:tc>
        <w:tc>
          <w:tcPr>
            <w:tcW w:w="2400" w:type="dxa"/>
            <w:tcMar>
              <w:top w:w="80" w:type="dxa"/>
              <w:left w:w="100" w:type="dxa"/>
              <w:bottom w:w="80" w:type="dxa"/>
              <w:right w:w="100" w:type="dxa"/>
            </w:tcMar>
          </w:tcPr>
          <w:p w14:paraId="66FBA4E9">
            <w:pPr>
              <w:spacing w:after="100"/>
            </w:pPr>
          </w:p>
        </w:tc>
        <w:tc>
          <w:tcPr>
            <w:tcW w:w="1760" w:type="dxa"/>
            <w:tcMar>
              <w:top w:w="80" w:type="dxa"/>
              <w:left w:w="100" w:type="dxa"/>
              <w:bottom w:w="80" w:type="dxa"/>
              <w:right w:w="100" w:type="dxa"/>
            </w:tcMar>
          </w:tcPr>
          <w:p w14:paraId="5EF26824">
            <w:pPr>
              <w:spacing w:after="100"/>
            </w:pPr>
          </w:p>
        </w:tc>
      </w:tr>
      <w:tr w14:paraId="1DBF4CB7">
        <w:tc>
          <w:tcPr>
            <w:tcW w:w="2800" w:type="dxa"/>
            <w:tcMar>
              <w:top w:w="80" w:type="dxa"/>
              <w:left w:w="100" w:type="dxa"/>
              <w:bottom w:w="80" w:type="dxa"/>
              <w:right w:w="100" w:type="dxa"/>
            </w:tcMar>
          </w:tcPr>
          <w:p w14:paraId="45700562">
            <w:pPr>
              <w:spacing w:after="100"/>
            </w:pPr>
            <w:r>
              <w:rPr>
                <w:rFonts w:ascii="Arial" w:hAnsi="Arial" w:eastAsia="Arial" w:cs="Arial"/>
                <w:sz w:val="16"/>
                <w:szCs w:val="16"/>
              </w:rPr>
              <w:t>Product / Business Owner</w:t>
            </w:r>
          </w:p>
        </w:tc>
        <w:tc>
          <w:tcPr>
            <w:tcW w:w="2400" w:type="dxa"/>
            <w:tcMar>
              <w:top w:w="80" w:type="dxa"/>
              <w:left w:w="100" w:type="dxa"/>
              <w:bottom w:w="80" w:type="dxa"/>
              <w:right w:w="100" w:type="dxa"/>
            </w:tcMar>
          </w:tcPr>
          <w:p w14:paraId="758B5066">
            <w:pPr>
              <w:spacing w:after="100"/>
            </w:pPr>
          </w:p>
        </w:tc>
        <w:tc>
          <w:tcPr>
            <w:tcW w:w="2400" w:type="dxa"/>
            <w:tcMar>
              <w:top w:w="80" w:type="dxa"/>
              <w:left w:w="100" w:type="dxa"/>
              <w:bottom w:w="80" w:type="dxa"/>
              <w:right w:w="100" w:type="dxa"/>
            </w:tcMar>
          </w:tcPr>
          <w:p w14:paraId="7C98440D">
            <w:pPr>
              <w:spacing w:after="100"/>
            </w:pPr>
          </w:p>
        </w:tc>
        <w:tc>
          <w:tcPr>
            <w:tcW w:w="1760" w:type="dxa"/>
            <w:tcMar>
              <w:top w:w="80" w:type="dxa"/>
              <w:left w:w="100" w:type="dxa"/>
              <w:bottom w:w="80" w:type="dxa"/>
              <w:right w:w="100" w:type="dxa"/>
            </w:tcMar>
          </w:tcPr>
          <w:p w14:paraId="78778F3F">
            <w:pPr>
              <w:spacing w:after="100"/>
            </w:pPr>
          </w:p>
        </w:tc>
      </w:tr>
      <w:tr w14:paraId="1DADCEDC">
        <w:tc>
          <w:tcPr>
            <w:tcW w:w="2800" w:type="dxa"/>
            <w:tcMar>
              <w:top w:w="80" w:type="dxa"/>
              <w:left w:w="100" w:type="dxa"/>
              <w:bottom w:w="80" w:type="dxa"/>
              <w:right w:w="100" w:type="dxa"/>
            </w:tcMar>
          </w:tcPr>
          <w:p w14:paraId="4EEEC074">
            <w:pPr>
              <w:spacing w:after="100"/>
            </w:pPr>
            <w:r>
              <w:rPr>
                <w:rFonts w:ascii="Arial" w:hAnsi="Arial" w:eastAsia="Arial" w:cs="Arial"/>
                <w:sz w:val="16"/>
                <w:szCs w:val="16"/>
              </w:rPr>
              <w:t>Merchant / Client Sign-off</w:t>
            </w:r>
          </w:p>
        </w:tc>
        <w:tc>
          <w:tcPr>
            <w:tcW w:w="2400" w:type="dxa"/>
            <w:tcMar>
              <w:top w:w="80" w:type="dxa"/>
              <w:left w:w="100" w:type="dxa"/>
              <w:bottom w:w="80" w:type="dxa"/>
              <w:right w:w="100" w:type="dxa"/>
            </w:tcMar>
          </w:tcPr>
          <w:p w14:paraId="3859EFEB">
            <w:pPr>
              <w:spacing w:after="100"/>
            </w:pPr>
          </w:p>
        </w:tc>
        <w:tc>
          <w:tcPr>
            <w:tcW w:w="2400" w:type="dxa"/>
            <w:tcMar>
              <w:top w:w="80" w:type="dxa"/>
              <w:left w:w="100" w:type="dxa"/>
              <w:bottom w:w="80" w:type="dxa"/>
              <w:right w:w="100" w:type="dxa"/>
            </w:tcMar>
          </w:tcPr>
          <w:p w14:paraId="6D55D2AD">
            <w:pPr>
              <w:spacing w:after="100"/>
            </w:pPr>
          </w:p>
        </w:tc>
        <w:tc>
          <w:tcPr>
            <w:tcW w:w="1760" w:type="dxa"/>
            <w:tcMar>
              <w:top w:w="80" w:type="dxa"/>
              <w:left w:w="100" w:type="dxa"/>
              <w:bottom w:w="80" w:type="dxa"/>
              <w:right w:w="100" w:type="dxa"/>
            </w:tcMar>
          </w:tcPr>
          <w:p w14:paraId="10801B8E">
            <w:pPr>
              <w:spacing w:after="100"/>
            </w:pPr>
          </w:p>
        </w:tc>
      </w:tr>
    </w:tbl>
    <w:p w14:paraId="2FE59135">
      <w:pPr>
        <w:spacing w:after="200"/>
      </w:pPr>
    </w:p>
    <w:sectPr>
      <w:pgSz w:w="12240" w:h="15840" w:orient="landscape"/>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28A"/>
    <w:rsid w:val="002D08C4"/>
    <w:rsid w:val="006E428A"/>
    <w:rsid w:val="00A8316E"/>
    <w:rsid w:val="B4FEAEE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zh-CN" w:eastAsia="zh-C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zh-CN" w:eastAsia="zh-C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zh-CN" w:eastAsia="zh-C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zh-C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zh-CN" w:eastAsia="zh-C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zh-CN" w:eastAsia="zh-C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zh-CN" w:eastAsia="zh-C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rPr>
      <w:rFonts w:ascii="Times New Roman" w:hAnsi="Times New Roman" w:eastAsia="Times New Roman" w:cs="Times New Roman"/>
      <w:lang w:val="zh-CN" w:eastAsia="zh-CN" w:bidi="ar-SA"/>
    </w:rPr>
  </w:style>
  <w:style w:type="character" w:styleId="12">
    <w:name w:val="footnote reference"/>
    <w:semiHidden/>
    <w:unhideWhenUsed/>
    <w:uiPriority w:val="99"/>
    <w:rPr>
      <w:vertAlign w:val="superscript"/>
    </w:rPr>
  </w:style>
  <w:style w:type="paragraph" w:styleId="13">
    <w:name w:val="footnote text"/>
    <w:link w:val="20"/>
    <w:semiHidden/>
    <w:unhideWhenUsed/>
    <w:uiPriority w:val="99"/>
    <w:rPr>
      <w:rFonts w:ascii="Times New Roman" w:hAnsi="Times New Roman" w:eastAsia="Times New Roman" w:cs="Times New Roman"/>
      <w:lang w:val="zh-CN" w:eastAsia="zh-CN" w:bidi="ar-SA"/>
    </w:rPr>
  </w:style>
  <w:style w:type="character" w:styleId="14">
    <w:name w:val="HTML Code"/>
    <w:basedOn w:val="8"/>
    <w:semiHidden/>
    <w:unhideWhenUsed/>
    <w:uiPriority w:val="99"/>
    <w:rPr>
      <w:rFonts w:ascii="Courier New" w:hAnsi="Courier New" w:cs="Courier New"/>
      <w:sz w:val="20"/>
      <w:szCs w:val="20"/>
    </w:rPr>
  </w:style>
  <w:style w:type="character" w:styleId="15">
    <w:name w:val="Hyperlink"/>
    <w:unhideWhenUsed/>
    <w:uiPriority w:val="99"/>
    <w:rPr>
      <w:color w:val="0563C1"/>
      <w:u w:val="single"/>
    </w:r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7">
    <w:name w:val="Title"/>
    <w:qFormat/>
    <w:uiPriority w:val="10"/>
    <w:rPr>
      <w:rFonts w:ascii="Times New Roman" w:hAnsi="Times New Roman" w:eastAsia="Times New Roman" w:cs="Times New Roman"/>
      <w:sz w:val="56"/>
      <w:szCs w:val="56"/>
      <w:lang w:val="zh-CN" w:eastAsia="zh-CN" w:bidi="ar-SA"/>
    </w:rPr>
  </w:style>
  <w:style w:type="paragraph" w:customStyle="1" w:styleId="18">
    <w:name w:val="Strong1"/>
    <w:qFormat/>
    <w:uiPriority w:val="0"/>
    <w:rPr>
      <w:rFonts w:ascii="Times New Roman" w:hAnsi="Times New Roman" w:eastAsia="Times New Roman" w:cs="Times New Roman"/>
      <w:b/>
      <w:bCs/>
      <w:lang w:val="zh-CN" w:eastAsia="zh-CN" w:bidi="ar-SA"/>
    </w:rPr>
  </w:style>
  <w:style w:type="paragraph" w:styleId="19">
    <w:name w:val="List Paragraph"/>
    <w:qFormat/>
    <w:uiPriority w:val="0"/>
    <w:rPr>
      <w:rFonts w:ascii="Times New Roman" w:hAnsi="Times New Roman" w:eastAsia="Times New Roman" w:cs="Times New Roman"/>
      <w:lang w:val="zh-CN" w:eastAsia="zh-CN" w:bidi="ar-SA"/>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736</Words>
  <Characters>4198</Characters>
  <Lines>34</Lines>
  <Paragraphs>9</Paragraphs>
  <TotalTime>38</TotalTime>
  <ScaleCrop>false</ScaleCrop>
  <LinksUpToDate>false</LinksUpToDate>
  <CharactersWithSpaces>4925</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2026-07-01T10:03:00Z</dcterms:created>
  <dc:creator>Un-named</dc:creator>
  <cp:lastModifiedBy>Emmanuel Awosika</cp:lastModifiedBy>
  <dcterms:modified xsi:type="dcterms:W3CDTF">2026-09-12T14:25:47Z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E9A5478FDCC88AD3DB52A56A9E6BA676_42</vt:lpwstr>
  </property>
</Properties>
</file>