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7562850" cy="10696575"/>
            <wp:effectExtent t="0" r="0" b="0" l="0"/>
            <wp:docPr id="1" name="cover_a4.png" descr="cover_a4.png" title="cover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hd w:fill="0C1B33" w:color="auto" w:val="clear"/>
        <w:spacing w:after="160" w:before="260" w:line="320"/>
        <w:ind w:left="120" w:right="120"/>
      </w:pPr>
      <w:r>
        <w:rPr>
          <w:rFonts w:ascii="Georgia" w:cs="Georgia" w:eastAsia="Georgia" w:hAnsi="Georgia"/>
          <w:b/>
          <w:bCs/>
          <w:color w:val="D7A245"/>
          <w:sz w:val="26"/>
          <w:szCs w:val="26"/>
        </w:rPr>
        <w:t xml:space="preserve">01   </w:t>
      </w:r>
      <w:r>
        <w:rPr>
          <w:rFonts w:ascii="Georgia" w:cs="Georgia" w:eastAsia="Georgia" w:hAnsi="Georgia"/>
          <w:b/>
          <w:bCs/>
          <w:color w:val="FFFFFF"/>
          <w:spacing w:val="30"/>
          <w:sz w:val="26"/>
          <w:szCs w:val="26"/>
        </w:rPr>
        <w:t xml:space="preserve">THE LOGO</w:t>
      </w:r>
    </w:p>
    <w:p>
      <w:pPr>
        <w:spacing w:after="120" w:line="276"/>
      </w:pPr>
      <w:r>
        <w:rPr>
          <w:rFonts w:ascii="Arial" w:cs="Arial" w:eastAsia="Arial" w:hAnsi="Arial"/>
          <w:color w:val="14202E"/>
          <w:sz w:val="20"/>
          <w:szCs w:val="20"/>
        </w:rPr>
        <w:t xml:space="preserve">The TASC Mount Isa identity pairs a gold monogram emblem — the interlocked “T” framed by a crescent and starburst — with a high-contrast serif wordmark. It is a reversed (light-on-dark) mark and must always sit on the brand navy or an equivalently dark ground.</w:t>
      </w:r>
    </w:p>
    <w:p>
      <w:pPr>
        <w:spacing w:after="60"/>
      </w:pPr>
      <w:r>
        <w:rPr>
          <w:rFonts w:ascii="Arial" w:cs="Arial" w:eastAsia="Arial" w:hAnsi="Arial"/>
        </w:rPr>
        <w:t xml:space="preserve"/>
      </w:r>
    </w:p>
    <w:p>
      <w:pPr>
        <w:spacing w:after="0" w:before="0"/>
        <w:jc w:val="center"/>
      </w:pPr>
      <w:r>
        <w:drawing>
          <wp:inline distT="0" distB="0" distL="0" distR="0">
            <wp:extent cx="3429000" cy="2428875"/>
            <wp:effectExtent t="0" r="0" b="0" l="0"/>
            <wp:docPr id="1" name="logo_navy_chip.png" descr="logo_navy_chip.png" title="logo_navy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428875"/>
                    </a:xfrm>
                    <a:prstGeom prst="rect">
                      <a:avLst/>
                    </a:prstGeom>
                  </pic:spPr>
                </pic:pic>
              </a:graphicData>
            </a:graphic>
          </wp:inline>
        </w:drawing>
      </w:r>
    </w:p>
    <w:p>
      <w:pPr>
        <w:spacing w:after="200" w:before="60"/>
        <w:jc w:val="center"/>
      </w:pPr>
      <w:r>
        <w:rPr>
          <w:rFonts w:ascii="Arial" w:cs="Arial" w:eastAsia="Arial" w:hAnsi="Arial"/>
          <w:i/>
          <w:iCs/>
          <w:color w:val="9FB0C4"/>
          <w:sz w:val="16"/>
          <w:szCs w:val="16"/>
        </w:rPr>
        <w:t xml:space="preserve">Primary lockup — stacked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FFFFFF" w:sz="2"/>
              <w:left w:val="single" w:color="FFFFFF" w:sz="2"/>
              <w:bottom w:val="single" w:color="FFFFFF" w:sz="2"/>
              <w:right w:val="single" w:color="FFFFFF" w:sz="2"/>
            </w:tcBorders>
            <w:tcMar>
              <w:top w:type="dxa" w:w="40"/>
              <w:left w:type="dxa" w:w="40"/>
              <w:bottom w:type="dxa" w:w="40"/>
              <w:right w:type="dxa" w:w="120"/>
            </w:tcMar>
            <w:vAlign w:val="center"/>
          </w:tcPr>
          <w:p>
            <w:pPr>
              <w:spacing w:after="0" w:before="0"/>
              <w:jc w:val="center"/>
            </w:pPr>
            <w:r>
              <w:drawing>
                <wp:inline distT="0" distB="0" distL="0" distR="0">
                  <wp:extent cx="3143250" cy="819150"/>
                  <wp:effectExtent t="0" r="0" b="0" l="0"/>
                  <wp:docPr id="1" name="lockup_navy_chip.png" descr="lockup_navy_chip.png" title="lockup_navy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819150"/>
                          </a:xfrm>
                          <a:prstGeom prst="rect">
                            <a:avLst/>
                          </a:prstGeom>
                        </pic:spPr>
                      </pic:pic>
                    </a:graphicData>
                  </a:graphic>
                </wp:inline>
              </w:drawing>
            </w:r>
          </w:p>
          <w:p>
            <w:pPr>
              <w:spacing w:before="40"/>
              <w:jc w:val="center"/>
            </w:pPr>
            <w:r>
              <w:rPr>
                <w:rFonts w:ascii="Arial" w:cs="Arial" w:eastAsia="Arial" w:hAnsi="Arial"/>
                <w:i/>
                <w:iCs/>
                <w:color w:val="9FB0C4"/>
                <w:sz w:val="16"/>
                <w:szCs w:val="16"/>
              </w:rPr>
              <w:t xml:space="preserve">Horizontal lockup</w:t>
            </w:r>
          </w:p>
        </w:tc>
        <w:tc>
          <w:tcPr>
            <w:tcW w:type="dxa" w:w="3526"/>
            <w:tcBorders>
              <w:top w:val="single" w:color="FFFFFF" w:sz="2"/>
              <w:left w:val="single" w:color="FFFFFF" w:sz="2"/>
              <w:bottom w:val="single" w:color="FFFFFF" w:sz="2"/>
              <w:right w:val="single" w:color="FFFFFF" w:sz="2"/>
            </w:tcBorders>
            <w:tcMar>
              <w:top w:type="dxa" w:w="40"/>
              <w:left w:type="dxa" w:w="120"/>
              <w:bottom w:type="dxa" w:w="40"/>
              <w:right w:type="dxa" w:w="40"/>
            </w:tcMar>
            <w:vAlign w:val="center"/>
          </w:tcPr>
          <w:p>
            <w:pPr>
              <w:spacing w:after="0" w:before="0"/>
              <w:jc w:val="center"/>
            </w:pPr>
            <w:r>
              <w:drawing>
                <wp:inline distT="0" distB="0" distL="0" distR="0">
                  <wp:extent cx="1333500" cy="1333500"/>
                  <wp:effectExtent t="0" r="0" b="0" l="0"/>
                  <wp:docPr id="1" name="icon_navy_chip.png" descr="icon_navy_chip.png" title="icon_navy_c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before="40"/>
              <w:jc w:val="center"/>
            </w:pPr>
            <w:r>
              <w:rPr>
                <w:rFonts w:ascii="Arial" w:cs="Arial" w:eastAsia="Arial" w:hAnsi="Arial"/>
                <w:i/>
                <w:iCs/>
                <w:color w:val="9FB0C4"/>
                <w:sz w:val="16"/>
                <w:szCs w:val="16"/>
              </w:rPr>
              <w:t xml:space="preserve">Emblem / app icon</w:t>
            </w:r>
          </w:p>
        </w:tc>
      </w:tr>
    </w:tbl>
    <w:p>
      <w:pPr>
        <w:spacing w:after="120"/>
      </w:pPr>
      <w:r>
        <w:rPr>
          <w:rFonts w:ascii="Arial" w:cs="Arial" w:eastAsia="Arial" w:hAnsi="Arial"/>
        </w:rPr>
        <w:t xml:space="preserve"/>
      </w:r>
    </w:p>
    <w:p>
      <w:pPr>
        <w:spacing w:after="100"/>
      </w:pPr>
      <w:r>
        <w:rPr>
          <w:rFonts w:ascii="Georgia" w:cs="Georgia" w:eastAsia="Georgia" w:hAnsi="Georgia"/>
          <w:b/>
          <w:bCs/>
          <w:color w:val="0C1B33"/>
          <w:sz w:val="22"/>
          <w:szCs w:val="22"/>
        </w:rPr>
        <w:t xml:space="preserve">Clear space &amp; minimum size</w:t>
      </w:r>
    </w:p>
    <w:p>
      <w:pPr>
        <w:pStyle w:val="ListParagraph"/>
        <w:numPr>
          <w:ilvl w:val="0"/>
          <w:numId w:val="2"/>
        </w:numPr>
        <w:spacing w:after="70" w:line="264"/>
      </w:pPr>
      <w:r>
        <w:rPr>
          <w:rFonts w:ascii="Arial" w:cs="Arial" w:eastAsia="Arial" w:hAnsi="Arial"/>
          <w:color w:val="14202E"/>
          <w:sz w:val="20"/>
          <w:szCs w:val="20"/>
        </w:rPr>
        <w:t xml:space="preserve">Keep clear space equal to the height of the monogram “T” on every side. Nothing — type, rules or imagery — may intrude.</w:t>
      </w:r>
    </w:p>
    <w:p>
      <w:pPr>
        <w:pStyle w:val="ListParagraph"/>
        <w:numPr>
          <w:ilvl w:val="0"/>
          <w:numId w:val="2"/>
        </w:numPr>
        <w:spacing w:after="70" w:line="264"/>
      </w:pPr>
      <w:r>
        <w:rPr>
          <w:rFonts w:ascii="Arial" w:cs="Arial" w:eastAsia="Arial" w:hAnsi="Arial"/>
          <w:color w:val="14202E"/>
          <w:sz w:val="20"/>
          <w:szCs w:val="20"/>
        </w:rPr>
        <w:t xml:space="preserve">Minimum width: 30 mm in print / 150 px on screen for the full lockup; 12 mm / 60 px for the emblem alone.</w:t>
      </w:r>
    </w:p>
    <w:p>
      <w:pPr>
        <w:spacing w:after="60"/>
      </w:pPr>
      <w:r>
        <w:rPr>
          <w:rFonts w:ascii="Arial" w:cs="Arial" w:eastAsia="Arial" w:hAnsi="Arial"/>
        </w:rPr>
        <w:t xml:space="preserve"/>
      </w:r>
    </w:p>
    <w:p>
      <w:pPr>
        <w:spacing w:after="100"/>
      </w:pPr>
      <w:r>
        <w:rPr>
          <w:rFonts w:ascii="Georgia" w:cs="Georgia" w:eastAsia="Georgia" w:hAnsi="Georgia"/>
          <w:b/>
          <w:bCs/>
          <w:color w:val="0C1B33"/>
          <w:sz w:val="22"/>
          <w:szCs w:val="22"/>
        </w:rPr>
        <w:t xml:space="preserve">Correct usage</w:t>
      </w:r>
    </w:p>
    <w:p>
      <w:pPr>
        <w:pStyle w:val="ListParagraph"/>
        <w:numPr>
          <w:ilvl w:val="0"/>
          <w:numId w:val="2"/>
        </w:numPr>
        <w:spacing w:after="70" w:line="264"/>
      </w:pPr>
      <w:r>
        <w:rPr>
          <w:rFonts w:ascii="Arial" w:cs="Arial" w:eastAsia="Arial" w:hAnsi="Arial"/>
          <w:color w:val="14202E"/>
          <w:sz w:val="20"/>
          <w:szCs w:val="20"/>
        </w:rPr>
        <w:t xml:space="preserve">Always reverse the logo onto Primary Navy, Midnight, or a dark photographic ground with sufficient contrast.</w:t>
      </w:r>
    </w:p>
    <w:p>
      <w:pPr>
        <w:pStyle w:val="ListParagraph"/>
        <w:numPr>
          <w:ilvl w:val="0"/>
          <w:numId w:val="2"/>
        </w:numPr>
        <w:spacing w:after="70" w:line="264"/>
      </w:pPr>
      <w:r>
        <w:rPr>
          <w:rFonts w:ascii="Arial" w:cs="Arial" w:eastAsia="Arial" w:hAnsi="Arial"/>
          <w:color w:val="14202E"/>
          <w:sz w:val="20"/>
          <w:szCs w:val="20"/>
        </w:rPr>
        <w:t xml:space="preserve">On unavoidable light backgrounds, use the navy “logo chip” (the lockup inside a rounded navy panel).</w:t>
      </w:r>
    </w:p>
    <w:p>
      <w:pPr>
        <w:spacing w:after="100" w:before="80"/>
      </w:pPr>
      <w:r>
        <w:rPr>
          <w:rFonts w:ascii="Georgia" w:cs="Georgia" w:eastAsia="Georgia" w:hAnsi="Georgia"/>
          <w:b/>
          <w:bCs/>
          <w:color w:val="9B501D"/>
          <w:sz w:val="22"/>
          <w:szCs w:val="22"/>
        </w:rPr>
        <w:t xml:space="preserve">Avoid</w:t>
      </w:r>
    </w:p>
    <w:p>
      <w:pPr>
        <w:pStyle w:val="ListParagraph"/>
        <w:numPr>
          <w:ilvl w:val="0"/>
          <w:numId w:val="2"/>
        </w:numPr>
        <w:spacing w:after="70" w:line="264"/>
      </w:pPr>
      <w:r>
        <w:rPr>
          <w:rFonts w:ascii="Arial" w:cs="Arial" w:eastAsia="Arial" w:hAnsi="Arial"/>
          <w:color w:val="14202E"/>
          <w:sz w:val="20"/>
          <w:szCs w:val="20"/>
        </w:rPr>
        <w:t xml:space="preserve">Don’t place the light wordmark on white or pale colours — the silver and white elements disappear.</w:t>
      </w:r>
    </w:p>
    <w:p>
      <w:pPr>
        <w:pStyle w:val="ListParagraph"/>
        <w:numPr>
          <w:ilvl w:val="0"/>
          <w:numId w:val="2"/>
        </w:numPr>
        <w:spacing w:after="70" w:line="264"/>
      </w:pPr>
      <w:r>
        <w:rPr>
          <w:rFonts w:ascii="Arial" w:cs="Arial" w:eastAsia="Arial" w:hAnsi="Arial"/>
          <w:color w:val="14202E"/>
          <w:sz w:val="20"/>
          <w:szCs w:val="20"/>
        </w:rPr>
        <w:t xml:space="preserve">Don’t recolour, stretch, rotate, add shadows, or rebuild the mark in a different typeface.</w:t>
      </w:r>
    </w:p>
    <w:p>
      <w:pPr>
        <w:pStyle w:val="ListParagraph"/>
        <w:numPr>
          <w:ilvl w:val="0"/>
          <w:numId w:val="2"/>
        </w:numPr>
        <w:spacing w:after="70" w:line="264"/>
      </w:pPr>
      <w:r>
        <w:rPr>
          <w:rFonts w:ascii="Arial" w:cs="Arial" w:eastAsia="Arial" w:hAnsi="Arial"/>
          <w:color w:val="14202E"/>
          <w:sz w:val="20"/>
          <w:szCs w:val="20"/>
        </w:rPr>
        <w:t xml:space="preserve">Don’t crop the emblem or separate the wordmark from its tagline rule in formal applications.</w:t>
      </w:r>
    </w:p>
    <w:p>
      <w:pPr>
        <w:pageBreakBefore/>
      </w:pPr>
      <w:r>
        <w:rPr>
          <w:rFonts w:ascii="Arial" w:cs="Arial" w:eastAsia="Arial" w:hAnsi="Arial"/>
        </w:rPr>
        <w:t xml:space="preserve"/>
      </w:r>
    </w:p>
    <w:p>
      <w:pPr>
        <w:shd w:fill="0C1B33" w:color="auto" w:val="clear"/>
        <w:spacing w:after="160" w:before="260" w:line="320"/>
        <w:ind w:left="120" w:right="120"/>
      </w:pPr>
      <w:r>
        <w:rPr>
          <w:rFonts w:ascii="Georgia" w:cs="Georgia" w:eastAsia="Georgia" w:hAnsi="Georgia"/>
          <w:b/>
          <w:bCs/>
          <w:color w:val="D7A245"/>
          <w:sz w:val="26"/>
          <w:szCs w:val="26"/>
        </w:rPr>
        <w:t xml:space="preserve">02   </w:t>
      </w:r>
      <w:r>
        <w:rPr>
          <w:rFonts w:ascii="Georgia" w:cs="Georgia" w:eastAsia="Georgia" w:hAnsi="Georgia"/>
          <w:b/>
          <w:bCs/>
          <w:color w:val="FFFFFF"/>
          <w:spacing w:val="30"/>
          <w:sz w:val="26"/>
          <w:szCs w:val="26"/>
        </w:rPr>
        <w:t xml:space="preserve">COLOUR</w:t>
      </w:r>
    </w:p>
    <w:p>
      <w:pPr>
        <w:spacing w:after="120" w:line="276"/>
      </w:pPr>
      <w:r>
        <w:rPr>
          <w:rFonts w:ascii="Arial" w:cs="Arial" w:eastAsia="Arial" w:hAnsi="Arial"/>
          <w:color w:val="14202E"/>
          <w:sz w:val="20"/>
          <w:szCs w:val="20"/>
        </w:rPr>
        <w:t xml:space="preserve">Navy and gold carry the brand. Navy dominates as the ground; gold is the accent for the mark, rules and key highlights. Platinum supplies the cool, premium counterpoint seen in “MOUNT ISA.” Use bronze gold for depth and for gold-coloured text on light backgrounds where the lighter golds would fail contrast.</w:t>
      </w:r>
    </w:p>
    <w:p>
      <w:pPr>
        <w:spacing w:after="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9DEE6" w:sz="2"/>
              <w:left w:val="single" w:color="D9DEE6" w:sz="2"/>
              <w:bottom w:val="single" w:color="D9DEE6" w:sz="2"/>
              <w:right w:val="single" w:color="D9DEE6" w:sz="2"/>
            </w:tcBorders>
            <w:shd w:fill="0C1B33"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Primary Navy</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#0C1B33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12 · 27 · 51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77 · 47 · 0 · 80</w:t>
            </w:r>
          </w:p>
        </w:tc>
      </w:tr>
      <w:tr>
        <w:tc>
          <w:tcPr>
            <w:tcW w:type="dxa" w:w="1900"/>
            <w:tcBorders>
              <w:top w:val="single" w:color="D9DEE6" w:sz="2"/>
              <w:left w:val="single" w:color="D9DEE6" w:sz="2"/>
              <w:bottom w:val="single" w:color="D9DEE6" w:sz="2"/>
              <w:right w:val="single" w:color="D9DEE6" w:sz="2"/>
            </w:tcBorders>
            <w:shd w:fill="050B1A"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Midnight (deep ground)</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#050B1A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5 · 11 · 26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81 · 58 · 0 · 90</w:t>
            </w:r>
          </w:p>
        </w:tc>
      </w:tr>
      <w:tr>
        <w:tc>
          <w:tcPr>
            <w:tcW w:type="dxa" w:w="1900"/>
            <w:tcBorders>
              <w:top w:val="single" w:color="D9DEE6" w:sz="2"/>
              <w:left w:val="single" w:color="D9DEE6" w:sz="2"/>
              <w:bottom w:val="single" w:color="D9DEE6" w:sz="2"/>
              <w:right w:val="single" w:color="D9DEE6" w:sz="2"/>
            </w:tcBorders>
            <w:shd w:fill="D7A245"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Antique Gold (signature)</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#D7A245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215 · 162 · 69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0 · 25 · 68 · 16</w:t>
            </w:r>
          </w:p>
        </w:tc>
      </w:tr>
      <w:tr>
        <w:tc>
          <w:tcPr>
            <w:tcW w:type="dxa" w:w="1900"/>
            <w:tcBorders>
              <w:top w:val="single" w:color="D9DEE6" w:sz="2"/>
              <w:left w:val="single" w:color="D9DEE6" w:sz="2"/>
              <w:bottom w:val="single" w:color="D9DEE6" w:sz="2"/>
              <w:right w:val="single" w:color="D9DEE6" w:sz="2"/>
            </w:tcBorders>
            <w:shd w:fill="FBCD68"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Champagne Gold (highlight)</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#FBCD68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251 · 205 · 104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0 · 18 · 59 · 2</w:t>
            </w:r>
          </w:p>
        </w:tc>
      </w:tr>
      <w:tr>
        <w:tc>
          <w:tcPr>
            <w:tcW w:type="dxa" w:w="1900"/>
            <w:tcBorders>
              <w:top w:val="single" w:color="D9DEE6" w:sz="2"/>
              <w:left w:val="single" w:color="D9DEE6" w:sz="2"/>
              <w:bottom w:val="single" w:color="D9DEE6" w:sz="2"/>
              <w:right w:val="single" w:color="D9DEE6" w:sz="2"/>
            </w:tcBorders>
            <w:shd w:fill="9B501D"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Bronze Gold (depth)</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#9B501D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155 · 80 · 29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0 · 48 · 81 · 39</w:t>
            </w:r>
          </w:p>
        </w:tc>
      </w:tr>
      <w:tr>
        <w:tc>
          <w:tcPr>
            <w:tcW w:type="dxa" w:w="1900"/>
            <w:tcBorders>
              <w:top w:val="single" w:color="D9DEE6" w:sz="2"/>
              <w:left w:val="single" w:color="D9DEE6" w:sz="2"/>
              <w:bottom w:val="single" w:color="D9DEE6" w:sz="2"/>
              <w:right w:val="single" w:color="D9DEE6" w:sz="2"/>
            </w:tcBorders>
            <w:shd w:fill="EDEDED" w:color="auto" w:val="clear"/>
            <w:tcMar>
              <w:top w:type="dxa" w:w="220"/>
              <w:left w:type="dxa" w:w="120"/>
              <w:bottom w:type="dxa" w:w="220"/>
              <w:right w:type="dxa" w:w="120"/>
            </w:tcMar>
          </w:tcPr>
          <w:p>
            <w:r>
              <w:rPr>
                <w:rFonts w:ascii="Arial" w:cs="Arial" w:eastAsia="Arial" w:hAnsi="Arial"/>
              </w:rPr>
              <w:t xml:space="preserve"/>
            </w:r>
          </w:p>
        </w:tc>
        <w:tc>
          <w:tcPr>
            <w:tcW w:type="dxa" w:w="7126"/>
            <w:tcBorders>
              <w:top w:val="single" w:color="D9DEE6" w:sz="2"/>
              <w:left w:val="single" w:color="D9DEE6" w:sz="2"/>
              <w:bottom w:val="single" w:color="D9DEE6" w:sz="2"/>
              <w:right w:val="single" w:color="D9DEE6" w:sz="2"/>
            </w:tcBorders>
            <w:tcMar>
              <w:top w:type="dxa" w:w="100"/>
              <w:left w:type="dxa" w:w="220"/>
              <w:bottom w:type="dxa" w:w="100"/>
              <w:right w:type="dxa" w:w="120"/>
            </w:tcMar>
            <w:vAlign w:val="center"/>
          </w:tcPr>
          <w:p>
            <w:pPr>
              <w:spacing w:after="40"/>
            </w:pPr>
            <w:r>
              <w:rPr>
                <w:rFonts w:ascii="Georgia" w:cs="Georgia" w:eastAsia="Georgia" w:hAnsi="Georgia"/>
                <w:b/>
                <w:bCs/>
                <w:color w:val="0C1B33"/>
                <w:sz w:val="22"/>
                <w:szCs w:val="22"/>
              </w:rPr>
              <w:t xml:space="preserve">Platinum</w:t>
            </w:r>
          </w:p>
          <w:p>
            <w:r>
              <w:rPr>
                <w:rFonts w:ascii="Arial" w:cs="Arial" w:eastAsia="Arial" w:hAnsi="Arial"/>
                <w:b/>
                <w:bCs/>
                <w:color w:val="9B501D"/>
                <w:sz w:val="16"/>
                <w:szCs w:val="16"/>
              </w:rPr>
              <w:t xml:space="preserve">HEX </w:t>
            </w:r>
            <w:r>
              <w:rPr>
                <w:rFonts w:ascii="Arial" w:cs="Arial" w:eastAsia="Arial" w:hAnsi="Arial"/>
                <w:color w:val="14202E"/>
                <w:sz w:val="16"/>
                <w:szCs w:val="16"/>
              </w:rPr>
              <w:t xml:space="preserve">#EDEDED    </w:t>
            </w:r>
            <w:r>
              <w:rPr>
                <w:rFonts w:ascii="Arial" w:cs="Arial" w:eastAsia="Arial" w:hAnsi="Arial"/>
                <w:b/>
                <w:bCs/>
                <w:color w:val="9B501D"/>
                <w:sz w:val="16"/>
                <w:szCs w:val="16"/>
              </w:rPr>
              <w:t xml:space="preserve">RGB </w:t>
            </w:r>
            <w:r>
              <w:rPr>
                <w:rFonts w:ascii="Arial" w:cs="Arial" w:eastAsia="Arial" w:hAnsi="Arial"/>
                <w:color w:val="14202E"/>
                <w:sz w:val="16"/>
                <w:szCs w:val="16"/>
              </w:rPr>
              <w:t xml:space="preserve">237 · 237 · 237    </w:t>
            </w:r>
            <w:r>
              <w:rPr>
                <w:rFonts w:ascii="Arial" w:cs="Arial" w:eastAsia="Arial" w:hAnsi="Arial"/>
                <w:b/>
                <w:bCs/>
                <w:color w:val="9B501D"/>
                <w:sz w:val="16"/>
                <w:szCs w:val="16"/>
              </w:rPr>
              <w:t xml:space="preserve">CMYK </w:t>
            </w:r>
            <w:r>
              <w:rPr>
                <w:rFonts w:ascii="Arial" w:cs="Arial" w:eastAsia="Arial" w:hAnsi="Arial"/>
                <w:color w:val="14202E"/>
                <w:sz w:val="16"/>
                <w:szCs w:val="16"/>
              </w:rPr>
              <w:t xml:space="preserve">0 · 0 · 0 · 7</w:t>
            </w:r>
          </w:p>
        </w:tc>
      </w:tr>
    </w:tbl>
    <w:p>
      <w:pPr>
        <w:spacing w:after="120"/>
      </w:pPr>
      <w:r>
        <w:rPr>
          <w:rFonts w:ascii="Arial" w:cs="Arial" w:eastAsia="Arial" w:hAnsi="Arial"/>
        </w:rPr>
        <w:t xml:space="preserve"/>
      </w:r>
    </w:p>
    <w:p>
      <w:pPr>
        <w:spacing w:after="120" w:line="276"/>
      </w:pPr>
      <w:r>
        <w:rPr>
          <w:rFonts w:ascii="Arial" w:cs="Arial" w:eastAsia="Arial" w:hAnsi="Arial"/>
          <w:i/>
          <w:iCs/>
          <w:color w:val="9FB0C4"/>
          <w:sz w:val="18"/>
          <w:szCs w:val="18"/>
        </w:rPr>
        <w:t xml:space="preserve">Print note: for foil or premium stock, specify a metallic gold (Pantone 871 C is a close match) and a deep navy such as Pantone 282 C / 2767 C. CMYK values above are process approximations — always proof on stock before a run.</w:t>
      </w:r>
    </w:p>
    <w:p>
      <w:pPr>
        <w:pageBreakBefore/>
      </w:pPr>
      <w:r>
        <w:rPr>
          <w:rFonts w:ascii="Arial" w:cs="Arial" w:eastAsia="Arial" w:hAnsi="Arial"/>
        </w:rPr>
        <w:t xml:space="preserve"/>
      </w:r>
    </w:p>
    <w:p>
      <w:pPr>
        <w:shd w:fill="0C1B33" w:color="auto" w:val="clear"/>
        <w:spacing w:after="160" w:before="260" w:line="320"/>
        <w:ind w:left="120" w:right="120"/>
      </w:pPr>
      <w:r>
        <w:rPr>
          <w:rFonts w:ascii="Georgia" w:cs="Georgia" w:eastAsia="Georgia" w:hAnsi="Georgia"/>
          <w:b/>
          <w:bCs/>
          <w:color w:val="D7A245"/>
          <w:sz w:val="26"/>
          <w:szCs w:val="26"/>
        </w:rPr>
        <w:t xml:space="preserve">03   </w:t>
      </w:r>
      <w:r>
        <w:rPr>
          <w:rFonts w:ascii="Georgia" w:cs="Georgia" w:eastAsia="Georgia" w:hAnsi="Georgia"/>
          <w:b/>
          <w:bCs/>
          <w:color w:val="FFFFFF"/>
          <w:spacing w:val="30"/>
          <w:sz w:val="26"/>
          <w:szCs w:val="26"/>
        </w:rPr>
        <w:t xml:space="preserve">TYPOGRAPHY</w:t>
      </w:r>
    </w:p>
    <w:p>
      <w:pPr>
        <w:spacing w:after="120" w:line="276"/>
      </w:pPr>
      <w:r>
        <w:rPr>
          <w:rFonts w:ascii="Arial" w:cs="Arial" w:eastAsia="Arial" w:hAnsi="Arial"/>
          <w:color w:val="14202E"/>
          <w:sz w:val="20"/>
          <w:szCs w:val="20"/>
        </w:rPr>
        <w:t xml:space="preserve">Cinzel — a classical, inscriptional serif — is the display face and echoes the wordmark. Montserrat handles body copy, labels and interface text. Where Cinzel and Montserrat aren’t installed (everyday Word, email, shared files), fall back to Georgia and Arial so documents stay consistent on any machine.</w:t>
      </w:r>
    </w:p>
    <w:p>
      <w:pPr>
        <w:spacing w:after="80"/>
      </w:pPr>
      <w:r>
        <w:rPr>
          <w:rFonts w:ascii="Arial" w:cs="Arial" w:eastAsia="Arial" w:hAnsi="Arial"/>
        </w:rPr>
        <w:t xml:space="preserve"/>
      </w:r>
    </w:p>
    <w:p>
      <w:pPr>
        <w:spacing w:after="0" w:before="0"/>
        <w:jc w:val="center"/>
      </w:pPr>
      <w:r>
        <w:drawing>
          <wp:inline distT="0" distB="0" distL="0" distR="0">
            <wp:extent cx="5905500" cy="3543300"/>
            <wp:effectExtent t="0" r="0" b="0" l="0"/>
            <wp:docPr id="1" name="type_specimen.png" descr="type_specimen.png" title="type_speci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43300"/>
                    </a:xfrm>
                    <a:prstGeom prst="rect">
                      <a:avLst/>
                    </a:prstGeom>
                  </pic:spPr>
                </pic:pic>
              </a:graphicData>
            </a:graphic>
          </wp:inline>
        </w:drawing>
      </w:r>
    </w:p>
    <w:p>
      <w:pPr>
        <w:spacing w:after="14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D9DEE6" w:sz="2"/>
              <w:left w:val="single" w:color="D9DEE6" w:sz="2"/>
              <w:bottom w:val="single" w:color="D9DEE6" w:sz="2"/>
              <w:right w:val="single" w:color="D9DEE6" w:sz="2"/>
            </w:tcBorders>
            <w:shd w:fill="0C1B33" w:color="auto" w:val="clear"/>
            <w:tcMar>
              <w:top w:type="dxa" w:w="90"/>
              <w:left w:type="dxa" w:w="150"/>
              <w:bottom w:type="dxa" w:w="90"/>
              <w:right w:type="dxa" w:w="120"/>
            </w:tcMar>
            <w:vAlign w:val="center"/>
          </w:tcPr>
          <w:p>
            <w:r>
              <w:rPr>
                <w:rFonts w:ascii="Arial" w:cs="Arial" w:eastAsia="Arial" w:hAnsi="Arial"/>
                <w:b/>
                <w:bCs/>
                <w:color w:val="FFFFFF"/>
                <w:sz w:val="18"/>
                <w:szCs w:val="18"/>
              </w:rPr>
              <w:t xml:space="preserve">ROLE</w:t>
            </w:r>
          </w:p>
        </w:tc>
        <w:tc>
          <w:tcPr>
            <w:tcW w:type="dxa" w:w="3000"/>
            <w:tcBorders>
              <w:top w:val="single" w:color="D9DEE6" w:sz="2"/>
              <w:left w:val="single" w:color="D9DEE6" w:sz="2"/>
              <w:bottom w:val="single" w:color="D9DEE6" w:sz="2"/>
              <w:right w:val="single" w:color="D9DEE6" w:sz="2"/>
            </w:tcBorders>
            <w:shd w:fill="0C1B33" w:color="auto" w:val="clear"/>
            <w:tcMar>
              <w:top w:type="dxa" w:w="90"/>
              <w:left w:type="dxa" w:w="150"/>
              <w:bottom w:type="dxa" w:w="90"/>
              <w:right w:type="dxa" w:w="120"/>
            </w:tcMar>
            <w:vAlign w:val="center"/>
          </w:tcPr>
          <w:p>
            <w:r>
              <w:rPr>
                <w:rFonts w:ascii="Arial" w:cs="Arial" w:eastAsia="Arial" w:hAnsi="Arial"/>
                <w:b/>
                <w:bCs/>
                <w:color w:val="FFFFFF"/>
                <w:sz w:val="18"/>
                <w:szCs w:val="18"/>
              </w:rPr>
              <w:t xml:space="preserve">BRAND FONT</w:t>
            </w:r>
          </w:p>
        </w:tc>
        <w:tc>
          <w:tcPr>
            <w:tcW w:type="dxa" w:w="3626"/>
            <w:tcBorders>
              <w:top w:val="single" w:color="D9DEE6" w:sz="2"/>
              <w:left w:val="single" w:color="D9DEE6" w:sz="2"/>
              <w:bottom w:val="single" w:color="D9DEE6" w:sz="2"/>
              <w:right w:val="single" w:color="D9DEE6" w:sz="2"/>
            </w:tcBorders>
            <w:shd w:fill="0C1B33" w:color="auto" w:val="clear"/>
            <w:tcMar>
              <w:top w:type="dxa" w:w="90"/>
              <w:left w:type="dxa" w:w="150"/>
              <w:bottom w:type="dxa" w:w="90"/>
              <w:right w:type="dxa" w:w="120"/>
            </w:tcMar>
            <w:vAlign w:val="center"/>
          </w:tcPr>
          <w:p>
            <w:r>
              <w:rPr>
                <w:rFonts w:ascii="Arial" w:cs="Arial" w:eastAsia="Arial" w:hAnsi="Arial"/>
                <w:b/>
                <w:bCs/>
                <w:color w:val="FFFFFF"/>
                <w:sz w:val="18"/>
                <w:szCs w:val="18"/>
              </w:rPr>
              <w:t xml:space="preserve">EVERYDAY / OFFICE</w:t>
            </w:r>
          </w:p>
        </w:tc>
      </w:tr>
      <w:tr>
        <w:tc>
          <w:tcPr>
            <w:tcW w:type="dxa" w:w="24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b/>
                <w:bCs/>
                <w:color w:val="14202E"/>
                <w:sz w:val="18"/>
                <w:szCs w:val="18"/>
              </w:rPr>
              <w:t xml:space="preserve">Display / Headings</w:t>
            </w:r>
          </w:p>
        </w:tc>
        <w:tc>
          <w:tcPr>
            <w:tcW w:type="dxa" w:w="30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Cinzel — SemiBold, all caps</w:t>
            </w:r>
          </w:p>
        </w:tc>
        <w:tc>
          <w:tcPr>
            <w:tcW w:type="dxa" w:w="3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Georgia (or Times New Roman)</w:t>
            </w:r>
          </w:p>
        </w:tc>
      </w:tr>
      <w:tr>
        <w:tc>
          <w:tcPr>
            <w:tcW w:type="dxa" w:w="24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b/>
                <w:bCs/>
                <w:color w:val="14202E"/>
                <w:sz w:val="18"/>
                <w:szCs w:val="18"/>
              </w:rPr>
              <w:t xml:space="preserve">Body / UI / Tagline</w:t>
            </w:r>
          </w:p>
        </w:tc>
        <w:tc>
          <w:tcPr>
            <w:tcW w:type="dxa" w:w="30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Montserrat — Regular / Medium</w:t>
            </w:r>
          </w:p>
        </w:tc>
        <w:tc>
          <w:tcPr>
            <w:tcW w:type="dxa" w:w="3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Arial (or Calibri)</w:t>
            </w:r>
          </w:p>
        </w:tc>
      </w:tr>
      <w:tr>
        <w:tc>
          <w:tcPr>
            <w:tcW w:type="dxa" w:w="24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b/>
                <w:bCs/>
                <w:color w:val="14202E"/>
                <w:sz w:val="18"/>
                <w:szCs w:val="18"/>
              </w:rPr>
              <w:t xml:space="preserve">Fine print / Labels</w:t>
            </w:r>
          </w:p>
        </w:tc>
        <w:tc>
          <w:tcPr>
            <w:tcW w:type="dxa" w:w="3000"/>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Montserrat — Medium, tracked</w:t>
            </w:r>
          </w:p>
        </w:tc>
        <w:tc>
          <w:tcPr>
            <w:tcW w:type="dxa" w:w="3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18"/>
                <w:szCs w:val="18"/>
              </w:rPr>
              <w:t xml:space="preserve">Arial — 8–9pt, letter-spaced</w:t>
            </w:r>
          </w:p>
        </w:tc>
      </w:tr>
    </w:tbl>
    <w:p>
      <w:pPr>
        <w:pageBreakBefore/>
      </w:pPr>
      <w:r>
        <w:rPr>
          <w:rFonts w:ascii="Arial" w:cs="Arial" w:eastAsia="Arial" w:hAnsi="Arial"/>
        </w:rPr>
        <w:t xml:space="preserve"/>
      </w:r>
    </w:p>
    <w:p>
      <w:pPr>
        <w:shd w:fill="0C1B33" w:color="auto" w:val="clear"/>
        <w:spacing w:after="160" w:before="260" w:line="320"/>
        <w:ind w:left="120" w:right="120"/>
      </w:pPr>
      <w:r>
        <w:rPr>
          <w:rFonts w:ascii="Georgia" w:cs="Georgia" w:eastAsia="Georgia" w:hAnsi="Georgia"/>
          <w:b/>
          <w:bCs/>
          <w:color w:val="D7A245"/>
          <w:sz w:val="26"/>
          <w:szCs w:val="26"/>
        </w:rPr>
        <w:t xml:space="preserve">04   </w:t>
      </w:r>
      <w:r>
        <w:rPr>
          <w:rFonts w:ascii="Georgia" w:cs="Georgia" w:eastAsia="Georgia" w:hAnsi="Georgia"/>
          <w:b/>
          <w:bCs/>
          <w:color w:val="FFFFFF"/>
          <w:spacing w:val="30"/>
          <w:sz w:val="26"/>
          <w:szCs w:val="26"/>
        </w:rPr>
        <w:t xml:space="preserve">VOICE &amp; APPLICATIONS</w:t>
      </w:r>
    </w:p>
    <w:p>
      <w:pPr>
        <w:spacing w:after="100"/>
      </w:pPr>
      <w:r>
        <w:rPr>
          <w:rFonts w:ascii="Georgia" w:cs="Georgia" w:eastAsia="Georgia" w:hAnsi="Georgia"/>
          <w:b/>
          <w:bCs/>
          <w:color w:val="0C1B33"/>
          <w:sz w:val="22"/>
          <w:szCs w:val="22"/>
        </w:rPr>
        <w:t xml:space="preserve">Tagline</w:t>
      </w:r>
    </w:p>
    <w:p>
      <w:pPr>
        <w:spacing w:after="120" w:line="276"/>
      </w:pPr>
      <w:r>
        <w:rPr>
          <w:rFonts w:ascii="Arial" w:cs="Arial" w:eastAsia="Arial" w:hAnsi="Arial"/>
          <w:color w:val="14202E"/>
          <w:sz w:val="20"/>
          <w:szCs w:val="20"/>
        </w:rPr>
        <w:t xml:space="preserve">Tax, Accounting &amp; Super — set in tracked capitals beneath the wordmark, or as a standalone descriptor. Keep the spacing generous; never abbreviate to “TAS.”</w:t>
      </w:r>
    </w:p>
    <w:p>
      <w:pPr>
        <w:spacing w:after="100" w:before="60"/>
      </w:pPr>
      <w:r>
        <w:rPr>
          <w:rFonts w:ascii="Georgia" w:cs="Georgia" w:eastAsia="Georgia" w:hAnsi="Georgia"/>
          <w:b/>
          <w:bCs/>
          <w:color w:val="0C1B33"/>
          <w:sz w:val="22"/>
          <w:szCs w:val="22"/>
        </w:rPr>
        <w:t xml:space="preserve">Tone of voice</w:t>
      </w:r>
    </w:p>
    <w:p>
      <w:pPr>
        <w:pStyle w:val="ListParagraph"/>
        <w:numPr>
          <w:ilvl w:val="0"/>
          <w:numId w:val="2"/>
        </w:numPr>
        <w:spacing w:after="70" w:line="264"/>
      </w:pPr>
      <w:r>
        <w:rPr>
          <w:rFonts w:ascii="Arial" w:cs="Arial" w:eastAsia="Arial" w:hAnsi="Arial"/>
          <w:color w:val="14202E"/>
          <w:sz w:val="20"/>
          <w:szCs w:val="20"/>
        </w:rPr>
        <w:t xml:space="preserve">Assured and professional — the steady hand a regional client trusts with tax, books and super.</w:t>
      </w:r>
    </w:p>
    <w:p>
      <w:pPr>
        <w:pStyle w:val="ListParagraph"/>
        <w:numPr>
          <w:ilvl w:val="0"/>
          <w:numId w:val="2"/>
        </w:numPr>
        <w:spacing w:after="70" w:line="264"/>
      </w:pPr>
      <w:r>
        <w:rPr>
          <w:rFonts w:ascii="Arial" w:cs="Arial" w:eastAsia="Arial" w:hAnsi="Arial"/>
          <w:color w:val="14202E"/>
          <w:sz w:val="20"/>
          <w:szCs w:val="20"/>
        </w:rPr>
        <w:t xml:space="preserve">Plain-spoken, not jargon-heavy. Explain, don’t lecture.</w:t>
      </w:r>
    </w:p>
    <w:p>
      <w:pPr>
        <w:pStyle w:val="ListParagraph"/>
        <w:numPr>
          <w:ilvl w:val="0"/>
          <w:numId w:val="2"/>
        </w:numPr>
        <w:spacing w:after="70" w:line="264"/>
      </w:pPr>
      <w:r>
        <w:rPr>
          <w:rFonts w:ascii="Arial" w:cs="Arial" w:eastAsia="Arial" w:hAnsi="Arial"/>
          <w:color w:val="14202E"/>
          <w:sz w:val="20"/>
          <w:szCs w:val="20"/>
        </w:rPr>
        <w:t xml:space="preserve">Warm and local. TASC Mount Isa is part of the community it serves.</w:t>
      </w:r>
    </w:p>
    <w:p>
      <w:pPr>
        <w:spacing w:after="100" w:before="60"/>
      </w:pPr>
      <w:r>
        <w:rPr>
          <w:rFonts w:ascii="Georgia" w:cs="Georgia" w:eastAsia="Georgia" w:hAnsi="Georgia"/>
          <w:b/>
          <w:bCs/>
          <w:color w:val="0C1B33"/>
          <w:sz w:val="22"/>
          <w:szCs w:val="22"/>
        </w:rPr>
        <w:t xml:space="preserve">Applications</w:t>
      </w:r>
    </w:p>
    <w:p>
      <w:pPr>
        <w:spacing w:after="120" w:line="276"/>
      </w:pPr>
      <w:r>
        <w:rPr>
          <w:rFonts w:ascii="Arial" w:cs="Arial" w:eastAsia="Arial" w:hAnsi="Arial"/>
          <w:color w:val="14202E"/>
          <w:sz w:val="20"/>
          <w:szCs w:val="20"/>
        </w:rPr>
        <w:t xml:space="preserve">This suite ships with matching business cards, letterhead and an email signature, all drawn from the colours, type and logo rules above. Extend the same system to invoices, proposals, social profiles and signage — navy ground, gold accent, generous space.</w:t>
      </w:r>
    </w:p>
    <w:p>
      <w:pPr>
        <w:pageBreakBefore/>
      </w:pPr>
      <w:r>
        <w:rPr>
          <w:rFonts w:ascii="Arial" w:cs="Arial" w:eastAsia="Arial" w:hAnsi="Arial"/>
        </w:rPr>
        <w:t xml:space="preserve"/>
      </w:r>
    </w:p>
    <w:p>
      <w:pPr>
        <w:shd w:fill="0C1B33" w:color="auto" w:val="clear"/>
        <w:spacing w:after="160" w:before="260" w:line="320"/>
        <w:ind w:left="120" w:right="120"/>
      </w:pPr>
      <w:r>
        <w:rPr>
          <w:rFonts w:ascii="Georgia" w:cs="Georgia" w:eastAsia="Georgia" w:hAnsi="Georgia"/>
          <w:b/>
          <w:bCs/>
          <w:color w:val="D7A245"/>
          <w:sz w:val="26"/>
          <w:szCs w:val="26"/>
        </w:rPr>
        <w:t xml:space="preserve">05   </w:t>
      </w:r>
      <w:r>
        <w:rPr>
          <w:rFonts w:ascii="Georgia" w:cs="Georgia" w:eastAsia="Georgia" w:hAnsi="Georgia"/>
          <w:b/>
          <w:bCs/>
          <w:color w:val="FFFFFF"/>
          <w:spacing w:val="30"/>
          <w:sz w:val="26"/>
          <w:szCs w:val="26"/>
        </w:rPr>
        <w:t xml:space="preserve">PRACTICE DETAILS</w:t>
      </w:r>
    </w:p>
    <w:p>
      <w:pPr>
        <w:spacing w:after="120" w:line="276"/>
      </w:pPr>
      <w:r>
        <w:rPr>
          <w:rFonts w:ascii="Arial" w:cs="Arial" w:eastAsia="Arial" w:hAnsi="Arial"/>
          <w:color w:val="14202E"/>
          <w:sz w:val="20"/>
          <w:szCs w:val="20"/>
        </w:rPr>
        <w:t xml:space="preserve">The current, approved practice details for use across the website, stationery and all client-facing materials. Please replace any superseded details wherever they appear, and use these exact spellings and formats.</w:t>
      </w:r>
    </w:p>
    <w:p>
      <w:pPr>
        <w:spacing w:after="8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Practice name</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TASC Mount Isa</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Tagline</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Tax, Accounting &amp; Super</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Phone</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07 4743 6342</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Email</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tasc@arnfin.net.au</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Website</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www.tascentre.com.au</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Postal address</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PO Box 929 Southport BC QLD 4215</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ABN</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87 061 179 440</w:t>
            </w:r>
          </w:p>
        </w:tc>
      </w:tr>
      <w:tr>
        <w:tc>
          <w:tcPr>
            <w:tcW w:type="dxa" w:w="3400"/>
            <w:tcBorders>
              <w:top w:val="single" w:color="D9DEE6" w:sz="2"/>
              <w:left w:val="single" w:color="D9DEE6" w:sz="2"/>
              <w:bottom w:val="single" w:color="D9DEE6" w:sz="2"/>
              <w:right w:val="single" w:color="D9DEE6" w:sz="2"/>
            </w:tcBorders>
            <w:shd w:fill="F2F4F7" w:color="auto" w:val="clear"/>
            <w:tcMar>
              <w:top w:type="dxa" w:w="90"/>
              <w:left w:type="dxa" w:w="150"/>
              <w:bottom w:type="dxa" w:w="90"/>
              <w:right w:type="dxa" w:w="120"/>
            </w:tcMar>
            <w:vAlign w:val="center"/>
          </w:tcPr>
          <w:p>
            <w:r>
              <w:rPr>
                <w:rFonts w:ascii="Arial" w:cs="Arial" w:eastAsia="Arial" w:hAnsi="Arial"/>
                <w:b/>
                <w:bCs/>
                <w:color w:val="0C1B33"/>
                <w:sz w:val="18"/>
                <w:szCs w:val="18"/>
              </w:rPr>
              <w:t xml:space="preserve">Registered Tax Agent No. (TPB)</w:t>
            </w:r>
          </w:p>
        </w:tc>
        <w:tc>
          <w:tcPr>
            <w:tcW w:type="dxa" w:w="5626"/>
            <w:tcBorders>
              <w:top w:val="single" w:color="D9DEE6" w:sz="2"/>
              <w:left w:val="single" w:color="D9DEE6" w:sz="2"/>
              <w:bottom w:val="single" w:color="D9DEE6" w:sz="2"/>
              <w:right w:val="single" w:color="D9DEE6" w:sz="2"/>
            </w:tcBorders>
            <w:tcMar>
              <w:top w:type="dxa" w:w="90"/>
              <w:left w:type="dxa" w:w="150"/>
              <w:bottom w:type="dxa" w:w="90"/>
              <w:right w:type="dxa" w:w="120"/>
            </w:tcMar>
            <w:vAlign w:val="center"/>
          </w:tcPr>
          <w:p>
            <w:r>
              <w:rPr>
                <w:rFonts w:ascii="Arial" w:cs="Arial" w:eastAsia="Arial" w:hAnsi="Arial"/>
                <w:color w:val="14202E"/>
                <w:sz w:val="20"/>
                <w:szCs w:val="20"/>
              </w:rPr>
              <w:t xml:space="preserve">[to be confirmed]</w:t>
            </w:r>
          </w:p>
        </w:tc>
      </w:tr>
    </w:tbl>
    <w:p>
      <w:pPr>
        <w:spacing w:after="120"/>
      </w:pPr>
      <w:r>
        <w:rPr>
          <w:rFonts w:ascii="Arial" w:cs="Arial" w:eastAsia="Arial" w:hAnsi="Arial"/>
        </w:rPr>
        <w:t xml:space="preserve"/>
      </w:r>
    </w:p>
    <w:p>
      <w:pPr>
        <w:pBdr>
          <w:top w:val="single" w:color="D7A245" w:sz="4" w:space="10"/>
        </w:pBdr>
        <w:spacing w:before="200"/>
        <w:jc w:val="center"/>
      </w:pPr>
      <w:r>
        <w:rPr>
          <w:rFonts w:ascii="Georgia" w:cs="Georgia" w:eastAsia="Georgia" w:hAnsi="Georgia"/>
          <w:b/>
          <w:bCs/>
          <w:color w:val="0C1B33"/>
          <w:spacing w:val="40"/>
          <w:sz w:val="24"/>
          <w:szCs w:val="24"/>
        </w:rPr>
        <w:t xml:space="preserve">TASC MOUNT ISA</w:t>
      </w:r>
    </w:p>
    <w:p>
      <w:pPr>
        <w:spacing w:before="30"/>
        <w:jc w:val="center"/>
      </w:pPr>
      <w:r>
        <w:rPr>
          <w:rFonts w:ascii="Arial" w:cs="Arial" w:eastAsia="Arial" w:hAnsi="Arial"/>
          <w:color w:val="D7A245"/>
          <w:spacing w:val="30"/>
          <w:sz w:val="16"/>
          <w:szCs w:val="16"/>
        </w:rPr>
        <w:t xml:space="preserve">TAX  ·  ACCOUNTING  ·  SUPER</w:t>
      </w:r>
    </w:p>
    <w:sectPr>
      <w:footerReference w:type="default" r:id="rId7"/>
      <w:pgSz w:w="11906" w:h="16838" w:orient="portrait"/>
      <w:pgMar w:top="1247" w:right="1440" w:bottom="1247"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A245" w:sz="4" w:space="6"/>
      </w:pBdr>
      <w:tabs>
        <w:tab w:val="right" w:pos="9026"/>
      </w:tabs>
    </w:pPr>
    <w:r>
      <w:rPr>
        <w:rFonts w:ascii="Arial" w:cs="Arial" w:eastAsia="Arial" w:hAnsi="Arial"/>
        <w:color w:val="9FB0C4"/>
        <w:spacing w:val="20"/>
        <w:sz w:val="14"/>
        <w:szCs w:val="14"/>
      </w:rPr>
      <w:t xml:space="preserve">TASC MOUNT ISA   ·   BRAND GUIDELINES</w:t>
    </w:r>
    <w:r>
      <w:rPr>
        <w:rFonts w:ascii="Arial" w:cs="Arial" w:eastAsia="Arial" w:hAnsi="Arial"/>
      </w:rPr>
      <w:t xml:space="preserve">	</w:t>
    </w:r>
    <w:r>
      <w:rPr>
        <w:rFonts w:ascii="Arial" w:cs="Arial" w:eastAsia="Arial" w:hAnsi="Arial"/>
        <w:color w:val="9FB0C4"/>
        <w:sz w:val="14"/>
        <w:szCs w:val="14"/>
      </w:rPr>
      <w:t xml:space="preserve">Page </w:t>
    </w:r>
    <w:r>
      <w:rPr>
        <w:color w:val="9FB0C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D7A2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Georgia" w:cs="Georgia" w:eastAsia="Georgia" w:hAnsi="Georgia"/>
      <w:b/>
      <w:bCs/>
      <w:color w:val="0C1B33"/>
      <w:sz w:val="36"/>
      <w:szCs w:val="3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59dddb1affa94f2f2de133542b30aa510c7648f1.png"/><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image" Target="media/26bb1326b15d7e324ac1f0a83057cc905558417b.png"/><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cd4caca1b8885fa5312429846c808eb93b5f49d9.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fbc7e3799fa979e7cf36f9ba7f3e0e1eaf9ba884.png"/><Relationship Id="rId4" Type="http://schemas.openxmlformats.org/officeDocument/2006/relationships/endnotes" Target="endnotes.xml"/><Relationship Id="rId9" Type="http://schemas.openxmlformats.org/officeDocument/2006/relationships/image" Target="media/8477906d5626d59a82d8b6b8ad02f20aac08f38c.png"/><Relationship Id="rId14"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A45FF70DADAB4C98F2537D4EA4B394" ma:contentTypeVersion="10" ma:contentTypeDescription="Create a new document." ma:contentTypeScope="" ma:versionID="daacac18223071fe3488e06521620279">
  <xsd:schema xmlns:xsd="http://www.w3.org/2001/XMLSchema" xmlns:xs="http://www.w3.org/2001/XMLSchema" xmlns:p="http://schemas.microsoft.com/office/2006/metadata/properties" xmlns:ns2="471e2a79-48d8-4912-8b18-c29dd4414a07" xmlns:ns3="ea0da6b6-b06e-4839-a8d0-a0fd1ecb5295" targetNamespace="http://schemas.microsoft.com/office/2006/metadata/properties" ma:root="true" ma:fieldsID="0d6daf7a875e1ff6262b8c2a4cb6bf92" ns2:_="" ns3:_="">
    <xsd:import namespace="471e2a79-48d8-4912-8b18-c29dd4414a07"/>
    <xsd:import namespace="ea0da6b6-b06e-4839-a8d0-a0fd1ecb52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1e2a79-48d8-4912-8b18-c29dd4414a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a10b7a-d6f7-4014-88f9-8ef94d6ffe6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da6b6-b06e-4839-a8d0-a0fd1ecb52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60edb4-41bf-464c-b3d2-d66287dbc051}" ma:internalName="TaxCatchAll" ma:showField="CatchAllData" ma:web="ea0da6b6-b06e-4839-a8d0-a0fd1ecb52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1e2a79-48d8-4912-8b18-c29dd4414a07">
      <Terms xmlns="http://schemas.microsoft.com/office/infopath/2007/PartnerControls"/>
    </lcf76f155ced4ddcb4097134ff3c332f>
    <TaxCatchAll xmlns="ea0da6b6-b06e-4839-a8d0-a0fd1ecb5295" xsi:nil="true"/>
  </documentManagement>
</p:properties>
</file>

<file path=customXml/itemProps1.xml><?xml version="1.0" encoding="utf-8"?>
<ds:datastoreItem xmlns:ds="http://schemas.openxmlformats.org/officeDocument/2006/customXml" ds:itemID="{8B32B3D8-633B-467C-88DD-C1D95F8AC14B}"/>
</file>

<file path=customXml/itemProps2.xml><?xml version="1.0" encoding="utf-8"?>
<ds:datastoreItem xmlns:ds="http://schemas.openxmlformats.org/officeDocument/2006/customXml" ds:itemID="{337CDF08-D343-4ADC-829C-7F076E603F95}"/>
</file>

<file path=customXml/itemProps3.xml><?xml version="1.0" encoding="utf-8"?>
<ds:datastoreItem xmlns:ds="http://schemas.openxmlformats.org/officeDocument/2006/customXml" ds:itemID="{890EBB52-A267-411F-9B43-8C6CBC4BE8D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2026-07-01T03:41:33Z</dcterms:created>
  <dcterms:modified xsi:type="dcterms:W3CDTF">2026-07-01T03:41:33Z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0x01010053A45FF70DADAB4C98F2537D4EA4B394</vt:lpwstr>
  </property>
</Properties>
</file>