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4752975</wp:posOffset>
            </wp:positionH>
            <wp:positionV relativeFrom="paragraph">
              <wp:posOffset>276225</wp:posOffset>
            </wp:positionV>
            <wp:extent cx="2100263" cy="146814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00263" cy="1468145"/>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Regulatory Compliance and Safety Information</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Haasoscope Pro and Haasoscope Pro-be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6"/>
          <w:szCs w:val="46"/>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b w:val="1"/>
          <w:sz w:val="46"/>
          <w:szCs w:val="46"/>
          <w:rtl w:val="0"/>
        </w:rPr>
        <w:t xml:space="preserve">IMPORTANT: PLEASE RETAIN THIS INFORMATION FOR FUTURE REFERENCE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full set up and installation instructions please visit: </w:t>
      </w:r>
      <w:hyperlink r:id="rId7">
        <w:r w:rsidDel="00000000" w:rsidR="00000000" w:rsidRPr="00000000">
          <w:rPr>
            <w:color w:val="1155cc"/>
            <w:u w:val="single"/>
            <w:rtl w:val="0"/>
          </w:rPr>
          <w:t xml:space="preserve">github.com/drandyhaas/HaasoscopePro</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Wanings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This product shall only be connected to an external power supply rated at 5V DC for the USB-C connection and a minimum current of 2A, and/or 12V DC for the barrel jack connection and a minimum current of 1A. Any external power supply used with the Haasoscope PRo shall comply with relevant regulations and standards applicable in the country of intended use.</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This product should be operated in a well ventilated environment and the case should not be covered.</w:t>
      </w:r>
    </w:p>
    <w:p w:rsidR="00000000" w:rsidDel="00000000" w:rsidP="00000000" w:rsidRDefault="00000000" w:rsidRPr="00000000" w14:paraId="00000012">
      <w:pPr>
        <w:numPr>
          <w:ilvl w:val="0"/>
          <w:numId w:val="14"/>
        </w:numPr>
        <w:ind w:left="720" w:hanging="360"/>
        <w:rPr>
          <w:u w:val="none"/>
        </w:rPr>
      </w:pPr>
      <w:r w:rsidDel="00000000" w:rsidR="00000000" w:rsidRPr="00000000">
        <w:rPr>
          <w:rtl w:val="0"/>
        </w:rPr>
        <w:t xml:space="preserve">This product should be placed on a stable, flat, non-conductive surface in use and should not be contacted by conductive items.</w:t>
      </w:r>
    </w:p>
    <w:p w:rsidR="00000000" w:rsidDel="00000000" w:rsidP="00000000" w:rsidRDefault="00000000" w:rsidRPr="00000000" w14:paraId="00000013">
      <w:pPr>
        <w:numPr>
          <w:ilvl w:val="0"/>
          <w:numId w:val="17"/>
        </w:numPr>
        <w:ind w:left="720" w:hanging="360"/>
        <w:rPr>
          <w:u w:val="none"/>
        </w:rPr>
      </w:pPr>
      <w:r w:rsidDel="00000000" w:rsidR="00000000" w:rsidRPr="00000000">
        <w:rPr>
          <w:rtl w:val="0"/>
        </w:rPr>
        <w:t xml:space="preserve">The connection of unapproved devices to the connectors may affect compliance or result in damage to the unit.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All peripherals used with the unit should comply with relevant standards for the country of use and be marked accordingly to ensure that safety and performance requirements are met. These articles include but are not limited to probes, cables, and adapters.</w:t>
      </w:r>
    </w:p>
    <w:p w:rsidR="00000000" w:rsidDel="00000000" w:rsidP="00000000" w:rsidRDefault="00000000" w:rsidRPr="00000000" w14:paraId="00000015">
      <w:pPr>
        <w:numPr>
          <w:ilvl w:val="0"/>
          <w:numId w:val="18"/>
        </w:numPr>
        <w:ind w:left="720" w:hanging="360"/>
        <w:rPr>
          <w:u w:val="none"/>
        </w:rPr>
      </w:pPr>
      <w:r w:rsidDel="00000000" w:rsidR="00000000" w:rsidRPr="00000000">
        <w:rPr>
          <w:rtl w:val="0"/>
        </w:rPr>
        <w:t xml:space="preserve">Where peripherals are connected that do not include the cable or connector, the cable or connector used must offer adequate insulation and operation in order that the requirements of the relevant performance and safety requirements are met.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Institutions for safe use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avoid malfunction or damage to your Haasoscope Pro please observe the following:</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Do not expose it to water, moisture or place it on a conductive surface whilst in operation.</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Do not expose it to heat from any source; the Haasoscope Pro is designed for reliable operation at normal ambient room temperatures.</w:t>
      </w:r>
    </w:p>
    <w:p w:rsidR="00000000" w:rsidDel="00000000" w:rsidP="00000000" w:rsidRDefault="00000000" w:rsidRPr="00000000" w14:paraId="0000001C">
      <w:pPr>
        <w:numPr>
          <w:ilvl w:val="0"/>
          <w:numId w:val="22"/>
        </w:numPr>
        <w:ind w:left="720" w:hanging="360"/>
        <w:rPr>
          <w:u w:val="none"/>
        </w:rPr>
      </w:pPr>
      <w:r w:rsidDel="00000000" w:rsidR="00000000" w:rsidRPr="00000000">
        <w:rPr>
          <w:rtl w:val="0"/>
        </w:rPr>
        <w:t xml:space="preserve">Take care whilst handling to avoid mechanical or electrical damage to the printed circuit board and connectors.</w:t>
      </w:r>
    </w:p>
    <w:p w:rsidR="00000000" w:rsidDel="00000000" w:rsidP="00000000" w:rsidRDefault="00000000" w:rsidRPr="00000000" w14:paraId="0000001D">
      <w:pPr>
        <w:numPr>
          <w:ilvl w:val="0"/>
          <w:numId w:val="22"/>
        </w:numPr>
        <w:ind w:left="720" w:hanging="360"/>
        <w:rPr>
          <w:u w:val="none"/>
        </w:rPr>
      </w:pPr>
      <w:r w:rsidDel="00000000" w:rsidR="00000000" w:rsidRPr="00000000">
        <w:rPr>
          <w:rtl w:val="0"/>
        </w:rPr>
        <w:t xml:space="preserve">Avoid handling the printed circuit board while it is powered. Only handle it by the edges to minimise the risk of electrostatic discharge damage.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Compliance information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Haasoscope Pro complies with the relevant provisions of the RoHS Directive for the European Union. In</w:t>
      </w:r>
    </w:p>
    <w:p w:rsidR="00000000" w:rsidDel="00000000" w:rsidP="00000000" w:rsidRDefault="00000000" w:rsidRPr="00000000" w14:paraId="00000023">
      <w:pPr>
        <w:rPr/>
      </w:pPr>
      <w:r w:rsidDel="00000000" w:rsidR="00000000" w:rsidRPr="00000000">
        <w:rPr>
          <w:rtl w:val="0"/>
        </w:rPr>
        <w:t xml:space="preserve">common with all Electrical and Electronic Equipment (EEE) the Haasoscope Pro should not be disposed of as</w:t>
      </w:r>
    </w:p>
    <w:p w:rsidR="00000000" w:rsidDel="00000000" w:rsidP="00000000" w:rsidRDefault="00000000" w:rsidRPr="00000000" w14:paraId="00000024">
      <w:pPr>
        <w:rPr/>
      </w:pPr>
      <w:r w:rsidDel="00000000" w:rsidR="00000000" w:rsidRPr="00000000">
        <w:rPr>
          <w:rtl w:val="0"/>
        </w:rPr>
        <w:t xml:space="preserve">household waste. Alternative arrangements may apply in other jurisdictions.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Electromagnetic compatibility and operation:</w:t>
      </w:r>
    </w:p>
    <w:p w:rsidR="00000000" w:rsidDel="00000000" w:rsidP="00000000" w:rsidRDefault="00000000" w:rsidRPr="00000000" w14:paraId="00000027">
      <w:pPr>
        <w:numPr>
          <w:ilvl w:val="0"/>
          <w:numId w:val="19"/>
        </w:numPr>
        <w:ind w:left="720" w:hanging="360"/>
        <w:rPr>
          <w:u w:val="none"/>
        </w:rPr>
      </w:pPr>
      <w:r w:rsidDel="00000000" w:rsidR="00000000" w:rsidRPr="00000000">
        <w:rPr>
          <w:rtl w:val="0"/>
        </w:rPr>
        <w:t xml:space="preserve">This product is in conformity with the protection requirements of EU Council Directive 2004/108/EC on the approximation of the laws of the Member States relating to electromagnetic compatibility.</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This product has been tested and found to comply with the limits for Class B Information Technology Equipment according to the European Standard.</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NOTE: This equipment has been tested and found to comply with the limits for a Class B digital device, pursuant to part 15 of the FCC Rules. These limits are designed to provide reasonable protection against harmful interference in a residential installation. This equipment generates, uses and can radiate radio frequency energy and, if not installed and used in accordance with the instructions, may cause harmful interference to radio communications. However, there is no guarantee that interference will not occur in a particular installation. If this equipment does cause harmful interference to radio or television reception, which can be determined by turning the equipment off and on, the user is encouraged to try to correct the interference by one or more of the following measures:</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Reorient or relocate the receiving antenna</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Increase the separation between the equipment and receiver</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Connect the equipment into an outlet on a circuit different from that to which the receiver is connected</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Consult the dealer or an experienced radio/TV technician for help</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This Class B digital apparatus complies with CAN ICES-3 (B). Cet appareil numérique de la classe B est conforme à la norme NMB-3 (B) du Canada.</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WARNING: Please do not alter or modify the design of this product, doing so may void your ability to use the product freely, this includes altering the frequency at which the product operates.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DrAndyHaas Electronics</w:t>
      </w:r>
    </w:p>
    <w:p w:rsidR="00000000" w:rsidDel="00000000" w:rsidP="00000000" w:rsidRDefault="00000000" w:rsidRPr="00000000" w14:paraId="00000033">
      <w:pPr>
        <w:rPr/>
      </w:pPr>
      <w:r w:rsidDel="00000000" w:rsidR="00000000" w:rsidRPr="00000000">
        <w:rPr>
          <w:rtl w:val="0"/>
        </w:rPr>
        <w:t xml:space="preserve">215 Lane Gate Rd</w:t>
      </w:r>
    </w:p>
    <w:p w:rsidR="00000000" w:rsidDel="00000000" w:rsidP="00000000" w:rsidRDefault="00000000" w:rsidRPr="00000000" w14:paraId="00000034">
      <w:pPr>
        <w:rPr/>
      </w:pPr>
      <w:r w:rsidDel="00000000" w:rsidR="00000000" w:rsidRPr="00000000">
        <w:rPr>
          <w:rtl w:val="0"/>
        </w:rPr>
        <w:t xml:space="preserve">Cold Spring, NY 10516</w:t>
      </w:r>
    </w:p>
    <w:p w:rsidR="00000000" w:rsidDel="00000000" w:rsidP="00000000" w:rsidRDefault="00000000" w:rsidRPr="00000000" w14:paraId="00000035">
      <w:pPr>
        <w:rPr/>
      </w:pPr>
      <w:r w:rsidDel="00000000" w:rsidR="00000000" w:rsidRPr="00000000">
        <w:rPr>
          <w:rtl w:val="0"/>
        </w:rPr>
        <w:t xml:space="preserve">USA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8">
        <w:r w:rsidDel="00000000" w:rsidR="00000000" w:rsidRPr="00000000">
          <w:rPr>
            <w:color w:val="1155cc"/>
            <w:u w:val="single"/>
            <w:rtl w:val="0"/>
          </w:rPr>
          <w:t xml:space="preserve">DrAndyHaas.com</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4752975</wp:posOffset>
            </wp:positionH>
            <wp:positionV relativeFrom="paragraph">
              <wp:posOffset>276225</wp:posOffset>
            </wp:positionV>
            <wp:extent cx="2100263" cy="146814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0263" cy="1468145"/>
                    </a:xfrm>
                    <a:prstGeom prst="rect"/>
                    <a:ln/>
                  </pic:spPr>
                </pic:pic>
              </a:graphicData>
            </a:graphic>
          </wp:anchor>
        </w:drawing>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Informationen zur Einhaltung gesetzlicher Vorschriften und zur Sicherheit</w:t>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Haasoskop Pro und Haasoskop Pro-be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46"/>
          <w:szCs w:val="46"/>
        </w:rPr>
      </w:pPr>
      <w:r w:rsidDel="00000000" w:rsidR="00000000" w:rsidRPr="00000000">
        <w:rPr>
          <w:rtl w:val="0"/>
        </w:rPr>
      </w:r>
    </w:p>
    <w:p w:rsidR="00000000" w:rsidDel="00000000" w:rsidP="00000000" w:rsidRDefault="00000000" w:rsidRPr="00000000" w14:paraId="00000041">
      <w:pPr>
        <w:rPr>
          <w:b w:val="1"/>
          <w:sz w:val="46"/>
          <w:szCs w:val="46"/>
        </w:rPr>
      </w:pPr>
      <w:r w:rsidDel="00000000" w:rsidR="00000000" w:rsidRPr="00000000">
        <w:rPr>
          <w:b w:val="1"/>
          <w:sz w:val="46"/>
          <w:szCs w:val="46"/>
          <w:rtl w:val="0"/>
        </w:rPr>
        <w:t xml:space="preserve">WICHTIG: BITTE BEWAHREN SIE DIESE INFORMATIONEN ZUM SPÄTEREN NACHSCHLAGEN AUF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Erste Schritte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Die vollständigen Einrichtungs- und Installationsanweisungen finden Sie unter: </w:t>
      </w:r>
      <w:hyperlink r:id="rId9">
        <w:r w:rsidDel="00000000" w:rsidR="00000000" w:rsidRPr="00000000">
          <w:rPr>
            <w:color w:val="1155cc"/>
            <w:u w:val="single"/>
            <w:rtl w:val="0"/>
          </w:rPr>
          <w:t xml:space="preserve">github.com/drandyhaas/HaasoscopePro</w:t>
        </w:r>
      </w:hyperlink>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Abnehmen</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Dieses Produkt darf nur an eine externe Stromversorgung mit 5 V DC für den USB-C-Anschluss und einem Mindeststrom von 2 A und/oder 12 V DC für den Hohlsteckeranschluss und einem Mindeststrom von 1 A angeschlossen werden. Alle mit dem Haasoscope PRo verwendeten externen Netzteile müssen den einschlägigen Vorschriften und Normen entsprechen, die im Land der beabsichtigten Verwendung gelten.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Dieses Produkt sollte in einer gut belüfteten Umgebung betrieben werden und das Gehäuse sollte nicht abgedeckt werden.</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Dieses Produkt sollte während des Gebrauchs auf einer stabilen, flachen, nicht leitenden Oberfläche platziert werden und nicht mit leitenden Gegenständen in Berührung kommen.</w:t>
      </w:r>
    </w:p>
    <w:p w:rsidR="00000000" w:rsidDel="00000000" w:rsidP="00000000" w:rsidRDefault="00000000" w:rsidRPr="00000000" w14:paraId="0000004C">
      <w:pPr>
        <w:numPr>
          <w:ilvl w:val="0"/>
          <w:numId w:val="23"/>
        </w:numPr>
        <w:ind w:left="720" w:hanging="360"/>
      </w:pPr>
      <w:r w:rsidDel="00000000" w:rsidR="00000000" w:rsidRPr="00000000">
        <w:rPr>
          <w:rtl w:val="0"/>
        </w:rPr>
        <w:t xml:space="preserve">Der Anschluss nicht zugelassener Geräte an die Anschlüsse kann die Konformität beeinträchtigen oder zu Schäden am Gerät führen.</w:t>
      </w:r>
    </w:p>
    <w:p w:rsidR="00000000" w:rsidDel="00000000" w:rsidP="00000000" w:rsidRDefault="00000000" w:rsidRPr="00000000" w14:paraId="0000004D">
      <w:pPr>
        <w:numPr>
          <w:ilvl w:val="0"/>
          <w:numId w:val="21"/>
        </w:numPr>
        <w:ind w:left="720" w:hanging="360"/>
      </w:pPr>
      <w:r w:rsidDel="00000000" w:rsidR="00000000" w:rsidRPr="00000000">
        <w:rPr>
          <w:rtl w:val="0"/>
        </w:rPr>
        <w:t xml:space="preserve">Alle mit dem Gerät verwendeten Peripheriegeräte sollten den relevanten Standards des jeweiligen Landes entsprechen und entsprechend gekennzeichnet sein, um sicherzustellen, dass die Sicherheits- und Leistungsanforderungen erfüllt werden. Zu diesen Artikeln gehören unter anderem Sonden, Kabel und Adapter.</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Wenn Peripheriegeräte angeschlossen werden, die kein Kabel oder Stecker enthalten, muss das verwendete Kabel oder der Stecker eine ausreichende Isolierung und Funktion bieten, damit die Anforderungen der relevanten Leistungs- und Sicherheitsanforderungen erfüllt werden.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Institutionen zur sicheren Nutzung</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Um Fehlfunktionen oder Schäden an Ihrem Haasoscope Pro zu vermeiden, beachten Sie bitte Folgendes:</w:t>
      </w:r>
    </w:p>
    <w:p w:rsidR="00000000" w:rsidDel="00000000" w:rsidP="00000000" w:rsidRDefault="00000000" w:rsidRPr="00000000" w14:paraId="00000053">
      <w:pPr>
        <w:numPr>
          <w:ilvl w:val="0"/>
          <w:numId w:val="16"/>
        </w:numPr>
        <w:ind w:left="720" w:hanging="360"/>
      </w:pPr>
      <w:r w:rsidDel="00000000" w:rsidR="00000000" w:rsidRPr="00000000">
        <w:rPr>
          <w:rtl w:val="0"/>
        </w:rPr>
        <w:t xml:space="preserve">Setzen Sie es während des Betriebs weder Wasser noch Feuchtigkeit aus und stellen Sie es nicht auf eine leitfähige Oberfläche.</w:t>
      </w:r>
    </w:p>
    <w:p w:rsidR="00000000" w:rsidDel="00000000" w:rsidP="00000000" w:rsidRDefault="00000000" w:rsidRPr="00000000" w14:paraId="00000054">
      <w:pPr>
        <w:numPr>
          <w:ilvl w:val="0"/>
          <w:numId w:val="16"/>
        </w:numPr>
        <w:ind w:left="720" w:hanging="360"/>
      </w:pPr>
      <w:r w:rsidDel="00000000" w:rsidR="00000000" w:rsidRPr="00000000">
        <w:rPr>
          <w:rtl w:val="0"/>
        </w:rPr>
        <w:t xml:space="preserve">Setzen Sie es keiner Hitzequelle aus; Das Haasoscope Pro ist für einen zuverlässigen Betrieb bei normalen Raumtemperaturen ausgelegt.</w:t>
      </w:r>
    </w:p>
    <w:p w:rsidR="00000000" w:rsidDel="00000000" w:rsidP="00000000" w:rsidRDefault="00000000" w:rsidRPr="00000000" w14:paraId="00000055">
      <w:pPr>
        <w:numPr>
          <w:ilvl w:val="0"/>
          <w:numId w:val="15"/>
        </w:numPr>
        <w:ind w:left="720" w:hanging="360"/>
      </w:pPr>
      <w:r w:rsidDel="00000000" w:rsidR="00000000" w:rsidRPr="00000000">
        <w:rPr>
          <w:rtl w:val="0"/>
        </w:rPr>
        <w:t xml:space="preserve">Seien Sie bei der Handhabung vorsichtig, um mechanische oder elektrische Schäden an der Leiterplatte und den Anschlüssen zu vermeiden.</w:t>
      </w:r>
    </w:p>
    <w:p w:rsidR="00000000" w:rsidDel="00000000" w:rsidP="00000000" w:rsidRDefault="00000000" w:rsidRPr="00000000" w14:paraId="00000056">
      <w:pPr>
        <w:numPr>
          <w:ilvl w:val="0"/>
          <w:numId w:val="15"/>
        </w:numPr>
        <w:ind w:left="720" w:hanging="360"/>
      </w:pPr>
      <w:r w:rsidDel="00000000" w:rsidR="00000000" w:rsidRPr="00000000">
        <w:rPr>
          <w:rtl w:val="0"/>
        </w:rPr>
        <w:t xml:space="preserve">Vermeiden Sie den Umgang mit der Leiterplatte, während sie mit Strom versorgt wird. Fassen Sie es nur an den Kanten an, um das Risiko einer Beschädigung durch elektrostatische Entladung zu minimieren.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Compliance-Informationen</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Das Haasoscope Pro entspricht den einschlägigen Bestimmungen der RoHS-Richtlinie für die Europäische Union. In</w:t>
      </w:r>
    </w:p>
    <w:p w:rsidR="00000000" w:rsidDel="00000000" w:rsidP="00000000" w:rsidRDefault="00000000" w:rsidRPr="00000000" w14:paraId="0000005C">
      <w:pPr>
        <w:rPr/>
      </w:pPr>
      <w:r w:rsidDel="00000000" w:rsidR="00000000" w:rsidRPr="00000000">
        <w:rPr>
          <w:rtl w:val="0"/>
        </w:rPr>
        <w:t xml:space="preserve">Wie bei allen elektrischen und elektronischen Geräten (EEE) sollte der Haasoscope Pro nicht entsorgt werden</w:t>
      </w:r>
    </w:p>
    <w:p w:rsidR="00000000" w:rsidDel="00000000" w:rsidP="00000000" w:rsidRDefault="00000000" w:rsidRPr="00000000" w14:paraId="0000005D">
      <w:pPr>
        <w:rPr/>
      </w:pPr>
      <w:r w:rsidDel="00000000" w:rsidR="00000000" w:rsidRPr="00000000">
        <w:rPr>
          <w:rtl w:val="0"/>
        </w:rPr>
        <w:t xml:space="preserve">Hausmüll. In anderen Gerichtsbarkeiten können alternative Regelungen gelten.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Elektromagnetische Verträglichkeit und Betrieb:</w:t>
      </w:r>
    </w:p>
    <w:p w:rsidR="00000000" w:rsidDel="00000000" w:rsidP="00000000" w:rsidRDefault="00000000" w:rsidRPr="00000000" w14:paraId="00000060">
      <w:pPr>
        <w:numPr>
          <w:ilvl w:val="0"/>
          <w:numId w:val="24"/>
        </w:numPr>
        <w:ind w:left="720" w:hanging="360"/>
      </w:pPr>
      <w:r w:rsidDel="00000000" w:rsidR="00000000" w:rsidRPr="00000000">
        <w:rPr>
          <w:rtl w:val="0"/>
        </w:rPr>
        <w:t xml:space="preserve">Dieses Produkt entspricht den Schutzanforderungen der Richtlinie 2004/108/EG des EU-Rats zur Angleichung der Rechtsvorschriften der Mitgliedstaaten zur elektromagnetischen Verträglichkeit.</w:t>
      </w:r>
    </w:p>
    <w:p w:rsidR="00000000" w:rsidDel="00000000" w:rsidP="00000000" w:rsidRDefault="00000000" w:rsidRPr="00000000" w14:paraId="00000061">
      <w:pPr>
        <w:numPr>
          <w:ilvl w:val="0"/>
          <w:numId w:val="10"/>
        </w:numPr>
        <w:ind w:left="720" w:hanging="360"/>
      </w:pPr>
      <w:r w:rsidDel="00000000" w:rsidR="00000000" w:rsidRPr="00000000">
        <w:rPr>
          <w:rtl w:val="0"/>
        </w:rPr>
        <w:t xml:space="preserve">Dieses Produkt wurde getestet und entspricht den Grenzwerten für Informationstechnologiegeräte der Klasse B gemäß der europäischen Norm.</w:t>
      </w:r>
    </w:p>
    <w:p w:rsidR="00000000" w:rsidDel="00000000" w:rsidP="00000000" w:rsidRDefault="00000000" w:rsidRPr="00000000" w14:paraId="00000062">
      <w:pPr>
        <w:numPr>
          <w:ilvl w:val="0"/>
          <w:numId w:val="12"/>
        </w:numPr>
        <w:ind w:left="720" w:hanging="360"/>
      </w:pPr>
      <w:r w:rsidDel="00000000" w:rsidR="00000000" w:rsidRPr="00000000">
        <w:rPr>
          <w:rtl w:val="0"/>
        </w:rPr>
        <w:t xml:space="preserve">HINWEIS: Dieses Gerät wurde getestet und entspricht den Grenzwerten für ein digitales Gerät der Klasse B gemäß Teil 15 der FCC-Bestimmungen. Diese Grenzwerte sollen einen angemessenen Schutz vor schädlichen Störungen in einer Wohnanlage bieten. Dieses Gerät erzeugt und verwendet Hochfrequenzenergie und kann diese ausstrahlen. Wenn es nicht gemäß den Anweisungen installiert und verwendet wird, kann es schädliche Störungen der Funkkommunikation verursachen. Es gibt jedoch keine Garantie dafür, dass bei einer bestimmten Installation keine Störungen auftreten. Wenn dieses Gerät schädliche Störungen beim Radio- oder Fernsehempfang verursacht, was durch Aus- und Einschalten des Geräts festgestellt werden kann, wird dem Benutzer empfohlen, zu versuchen, die Störung durch eine oder mehrere der folgenden Maßnahmen zu beheben:</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Richten Sie die Empfangsantenne neu aus oder verschieben Sie sie</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Erhöhen Sie den Abstand zwischen Gerät und Empfänger</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Schließen Sie das Gerät an eine Steckdose an, die zu einem anderen Stromkreis gehört als der, an den der Empfänger angeschlossen ist</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Wenden Sie sich an den Händler oder einen erfahrenen Radio-/TV-Techniker</w:t>
      </w:r>
    </w:p>
    <w:p w:rsidR="00000000" w:rsidDel="00000000" w:rsidP="00000000" w:rsidRDefault="00000000" w:rsidRPr="00000000" w14:paraId="00000067">
      <w:pPr>
        <w:numPr>
          <w:ilvl w:val="0"/>
          <w:numId w:val="13"/>
        </w:numPr>
        <w:ind w:left="720" w:hanging="360"/>
      </w:pPr>
      <w:r w:rsidDel="00000000" w:rsidR="00000000" w:rsidRPr="00000000">
        <w:rPr>
          <w:rtl w:val="0"/>
        </w:rPr>
        <w:t xml:space="preserve">Dieses digitale Gerät der Klasse B entspricht CAN ICES-3 (B). Dieses digitale Gerät der Klasse B entspricht der kanadischen Norm ICES-3 (B).</w:t>
      </w:r>
    </w:p>
    <w:p w:rsidR="00000000" w:rsidDel="00000000" w:rsidP="00000000" w:rsidRDefault="00000000" w:rsidRPr="00000000" w14:paraId="00000068">
      <w:pPr>
        <w:numPr>
          <w:ilvl w:val="0"/>
          <w:numId w:val="20"/>
        </w:numPr>
        <w:ind w:left="720" w:hanging="360"/>
      </w:pPr>
      <w:r w:rsidDel="00000000" w:rsidR="00000000" w:rsidRPr="00000000">
        <w:rPr>
          <w:rtl w:val="0"/>
        </w:rPr>
        <w:t xml:space="preserve">WARNUNG: Bitte verändern oder modifizieren Sie das Design dieses Produkts nicht. Dies kann dazu führen, dass Sie das Produkt nicht mehr frei nutzen können, einschließlich der Änderung der Betriebsfrequenz des Produkts.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DrAndyHaas Electronics</w:t>
      </w:r>
    </w:p>
    <w:p w:rsidR="00000000" w:rsidDel="00000000" w:rsidP="00000000" w:rsidRDefault="00000000" w:rsidRPr="00000000" w14:paraId="0000006C">
      <w:pPr>
        <w:rPr/>
      </w:pPr>
      <w:r w:rsidDel="00000000" w:rsidR="00000000" w:rsidRPr="00000000">
        <w:rPr>
          <w:rtl w:val="0"/>
        </w:rPr>
        <w:t xml:space="preserve">215 Lane Gate Rd</w:t>
      </w:r>
    </w:p>
    <w:p w:rsidR="00000000" w:rsidDel="00000000" w:rsidP="00000000" w:rsidRDefault="00000000" w:rsidRPr="00000000" w14:paraId="0000006D">
      <w:pPr>
        <w:rPr/>
      </w:pPr>
      <w:r w:rsidDel="00000000" w:rsidR="00000000" w:rsidRPr="00000000">
        <w:rPr>
          <w:rtl w:val="0"/>
        </w:rPr>
        <w:t xml:space="preserve">Cold Spring, NY 10516</w:t>
      </w:r>
    </w:p>
    <w:p w:rsidR="00000000" w:rsidDel="00000000" w:rsidP="00000000" w:rsidRDefault="00000000" w:rsidRPr="00000000" w14:paraId="0000006E">
      <w:pPr>
        <w:rPr/>
      </w:pPr>
      <w:r w:rsidDel="00000000" w:rsidR="00000000" w:rsidRPr="00000000">
        <w:rPr>
          <w:rtl w:val="0"/>
        </w:rPr>
        <w:t xml:space="preserve">USA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10">
        <w:r w:rsidDel="00000000" w:rsidR="00000000" w:rsidRPr="00000000">
          <w:rPr>
            <w:color w:val="1155cc"/>
            <w:u w:val="single"/>
            <w:rtl w:val="0"/>
          </w:rPr>
          <w:t xml:space="preserve">DrAndyHaas.com</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randyhaas.com" TargetMode="External"/><Relationship Id="rId9" Type="http://schemas.openxmlformats.org/officeDocument/2006/relationships/hyperlink" Target="https://github.com/drandyhaas/HaasoscopePr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drandyhaas/HaasoscopePro" TargetMode="External"/><Relationship Id="rId8" Type="http://schemas.openxmlformats.org/officeDocument/2006/relationships/hyperlink" Target="http://drandyha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