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b/>
          <w:bCs/>
          <w:color w:val="464646"/>
          <w:kern w:val="0"/>
        </w:rPr>
        <w:t>[][]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在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LabVIEW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中利用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ActiveX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读取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Excel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数据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>网络上有很多关于读取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Excel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的例子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但一直没有找到读取文件中整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sheet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的数据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所以在这里介绍一下在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LabVIEW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中利用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ActiveX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读取文件中整张表格的内容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.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>LabVIEW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中利用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ActiveX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打开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Excel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分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Open Application, Open Workbook &amp; Open Worksheet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三个步骤，以下详细描述实现方法：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前面板中放下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自动化引用句柄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':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引用句柄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&gt;&gt;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自动化引用句柄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2.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前面板中右击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自动化引用句柄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ActiveX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下选择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'Excel._Application'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此时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自动化引用句柄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的名称会更新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'Excel._Application';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1684D"/>
          <w:kern w:val="0"/>
          <w:szCs w:val="21"/>
        </w:rPr>
        <w:drawing>
          <wp:inline distT="0" distB="0" distL="0" distR="0">
            <wp:extent cx="2971800" cy="3876675"/>
            <wp:effectExtent l="19050" t="0" r="0" b="0"/>
            <wp:docPr id="1" name="图片 1" descr="[]LabVIEW应用-Read &lt;wbr&gt;Excel &lt;wbr&gt;use &lt;wbr&gt;ActiveX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]LabVIEW应用-Read &lt;wbr&gt;Excel &lt;wbr&gt;use &lt;wbr&gt;ActiveX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3.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程序框图中放下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打开自动化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':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右击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'Excel._Application'&gt;&gt;'ActiveX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选板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'&gt;&gt;'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打开自动化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1684D"/>
          <w:kern w:val="0"/>
          <w:szCs w:val="21"/>
        </w:rPr>
        <w:lastRenderedPageBreak/>
        <w:drawing>
          <wp:inline distT="0" distB="0" distL="0" distR="0">
            <wp:extent cx="3076575" cy="3276600"/>
            <wp:effectExtent l="19050" t="0" r="9525" b="0"/>
            <wp:docPr id="2" name="图片 2" descr="[]LabVIEW应用-Read &lt;wbr&gt;Excel &lt;wbr&gt;use &lt;wbr&gt;ActiveX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]LabVIEW应用-Read &lt;wbr&gt;Excel &lt;wbr&gt;use &lt;wbr&gt;ActiveX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4.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'Excel._Application'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连线至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打开自动化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的左侧自动化引用句柄端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5.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程序框图中放下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属性节点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';(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3)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6.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打开自动化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的右侧自动化引用句柄端连线至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属性节点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的引用端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7.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单击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属性节点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的属性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在下拉列表中选择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'Workbooks';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8.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程序框图中放下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调用节点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';(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3)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9.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将步骤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7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中的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'Workbooks'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连线至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调用节点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的引用端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10.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单击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调用节点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的方法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在下拉列表中选择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'Open';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11.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'Open'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'Filename'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输入端连接所需打开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Excel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文件的路径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1684D"/>
          <w:kern w:val="0"/>
          <w:szCs w:val="21"/>
        </w:rPr>
        <w:lastRenderedPageBreak/>
        <w:drawing>
          <wp:inline distT="0" distB="0" distL="0" distR="0">
            <wp:extent cx="4067175" cy="3486150"/>
            <wp:effectExtent l="19050" t="0" r="9525" b="0"/>
            <wp:docPr id="3" name="图片 3" descr="[]LabVIEW应用-Read &lt;wbr&gt;Excel &lt;wbr&gt;use &lt;wbr&gt;ActiveX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]LabVIEW应用-Read &lt;wbr&gt;Excel &lt;wbr&gt;use &lt;wbr&gt;ActiveX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12.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5,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属性节点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其引用端连接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'Open',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然后单击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属性节点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的属性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在下拉列表中选择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'Worksheets';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13.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8,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调用节点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其引用端连接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'Worksheets',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然后单击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调用节点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的方法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在下拉列表中选择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'Item';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14.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'Item'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'Index'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输入端创建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输入控件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输入控件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代表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Excel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中的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sheet#;(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例如需要打开文件中的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sheet2,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可直接连接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num 2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至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'Index'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输入端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)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1684D"/>
          <w:kern w:val="0"/>
          <w:szCs w:val="21"/>
        </w:rPr>
        <w:lastRenderedPageBreak/>
        <w:drawing>
          <wp:inline distT="0" distB="0" distL="0" distR="0">
            <wp:extent cx="3914775" cy="3257550"/>
            <wp:effectExtent l="19050" t="0" r="9525" b="0"/>
            <wp:docPr id="4" name="图片 4" descr="[]LabVIEW应用-Read &lt;wbr&gt;Excel &lt;wbr&gt;use &lt;wbr&gt;ActiveX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]LabVIEW应用-Read &lt;wbr&gt;Excel &lt;wbr&gt;use &lt;wbr&gt;ActiveX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15.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程序框图中放下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变体至数据转换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'(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3),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将其变体端连接至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'Item';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16.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1,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在前面板中再次放下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自动化引用句柄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然后如步骤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方式在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ActiveX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下选择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'Excel._Worksheet';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17.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程序框图中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'Excel._Worksheet'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连线至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变体至数据转换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的类型端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18.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5,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属性节点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其引用端连接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变体至数据转换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的数据端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然后单击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属性节点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的属性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在下拉列表中选择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'UsedRange';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19.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8,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调用节点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其引用端连接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'UsedRange',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然后单击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调用节点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的方法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在下拉列表中选择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'Value(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获取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)';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1684D"/>
          <w:kern w:val="0"/>
          <w:szCs w:val="21"/>
        </w:rPr>
        <w:drawing>
          <wp:inline distT="0" distB="0" distL="0" distR="0">
            <wp:extent cx="3800475" cy="1304925"/>
            <wp:effectExtent l="19050" t="0" r="9525" b="0"/>
            <wp:docPr id="5" name="图片 5" descr="[]LabVIEW应用-Read &lt;wbr&gt;Excel &lt;wbr&gt;use &lt;wbr&gt;ActiveX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]LabVIEW应用-Read &lt;wbr&gt;Excel &lt;wbr&gt;use &lt;wbr&gt;ActiveX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20.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同步骤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15,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放下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变体至数据转换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其变体端连接至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'Value';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21.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只要在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变体至数据转换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的类型端连接一个二维的字符型数组常量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就可以在数据端获取表格中的数据了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;(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连贯的程序如下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)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1684D"/>
          <w:kern w:val="0"/>
          <w:szCs w:val="21"/>
        </w:rPr>
        <w:drawing>
          <wp:inline distT="0" distB="0" distL="0" distR="0">
            <wp:extent cx="4838700" cy="1762125"/>
            <wp:effectExtent l="19050" t="0" r="0" b="0"/>
            <wp:docPr id="6" name="图片 6" descr="[]LabVIEW应用-Read &lt;wbr&gt;Excel &lt;wbr&gt;use &lt;wbr&gt;ActiveX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]LabVIEW应用-Read &lt;wbr&gt;Excel &lt;wbr&gt;use &lt;wbr&gt;ActiveX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22.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程序的最后需要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Close Application, Close Workbooks &amp; Close Worksheets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来关闭调用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b/>
          <w:bCs/>
          <w:color w:val="464646"/>
          <w:kern w:val="0"/>
        </w:rPr>
        <w:t>[]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实例应用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>在写一个数据整理工具中用到的事例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: Data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的文件类型可以是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 xml:space="preserve">.csv 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或者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.xls,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其中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.csv file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可以通过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LabVIEW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中的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读取电子表格文件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'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工具直接读取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而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.xls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则需要用到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Read Excel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子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VI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来实现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实例框图如下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: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t>[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前面板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]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1684D"/>
          <w:kern w:val="0"/>
          <w:szCs w:val="21"/>
        </w:rPr>
        <w:drawing>
          <wp:inline distT="0" distB="0" distL="0" distR="0">
            <wp:extent cx="4667250" cy="3429000"/>
            <wp:effectExtent l="19050" t="0" r="0" b="0"/>
            <wp:docPr id="7" name="图片 7" descr="[]LabVIEW应用-Read &lt;wbr&gt;Excel &lt;wbr&gt;use &lt;wbr&gt;ActiveX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]LabVIEW应用-Read &lt;wbr&gt;Excel &lt;wbr&gt;use &lt;wbr&gt;ActiveX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color w:val="464646"/>
          <w:kern w:val="0"/>
          <w:szCs w:val="21"/>
        </w:rPr>
        <w:lastRenderedPageBreak/>
        <w:t>[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程序框图</w:t>
      </w:r>
      <w:r w:rsidRPr="00941901">
        <w:rPr>
          <w:rFonts w:ascii="simsun" w:eastAsia="宋体" w:hAnsi="simsun" w:cs="宋体"/>
          <w:color w:val="464646"/>
          <w:kern w:val="0"/>
          <w:szCs w:val="21"/>
        </w:rPr>
        <w:t>]</w:t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1684D"/>
          <w:kern w:val="0"/>
          <w:szCs w:val="21"/>
        </w:rPr>
        <w:drawing>
          <wp:inline distT="0" distB="0" distL="0" distR="0">
            <wp:extent cx="4467225" cy="1181100"/>
            <wp:effectExtent l="19050" t="0" r="9525" b="0"/>
            <wp:docPr id="8" name="图片 8" descr="[]LabVIEW应用-Read &lt;wbr&gt;Excel &lt;wbr&gt;use &lt;wbr&gt;ActiveX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[]LabVIEW应用-Read &lt;wbr&gt;Excel &lt;wbr&gt;use &lt;wbr&gt;ActiveX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01" w:rsidRPr="00941901" w:rsidRDefault="00941901" w:rsidP="00941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41901">
        <w:rPr>
          <w:rFonts w:ascii="simsun" w:eastAsia="宋体" w:hAnsi="simsun" w:cs="宋体"/>
          <w:b/>
          <w:bCs/>
          <w:color w:val="464646"/>
          <w:kern w:val="0"/>
        </w:rPr>
        <w:t>[]</w:t>
      </w:r>
      <w:r w:rsidRPr="00941901">
        <w:rPr>
          <w:rFonts w:ascii="simsun" w:eastAsia="宋体" w:hAnsi="simsun" w:cs="宋体"/>
          <w:b/>
          <w:bCs/>
          <w:color w:val="464646"/>
          <w:kern w:val="0"/>
        </w:rPr>
        <w:t>结束</w:t>
      </w:r>
    </w:p>
    <w:p w:rsidR="00941901" w:rsidRPr="00941901" w:rsidRDefault="00941901" w:rsidP="00941901">
      <w:pPr>
        <w:widowControl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94190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分享： </w:t>
      </w:r>
      <w:hyperlink r:id="rId22" w:history="1">
        <w:r>
          <w:rPr>
            <w:rFonts w:ascii="宋体" w:eastAsia="宋体" w:hAnsi="宋体" w:cs="宋体"/>
            <w:noProof/>
            <w:color w:val="41684D"/>
            <w:kern w:val="0"/>
            <w:sz w:val="24"/>
            <w:szCs w:val="24"/>
          </w:rPr>
          <w:drawing>
            <wp:inline distT="0" distB="0" distL="0" distR="0">
              <wp:extent cx="171450" cy="171450"/>
              <wp:effectExtent l="0" t="0" r="0" b="0"/>
              <wp:docPr id="9" name="图片 9" descr="http://simg.sinajs.cn/blog7style/images/common/sg_trans.gif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simg.sinajs.cn/blog7style/images/common/sg_trans.gif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1901">
          <w:rPr>
            <w:rFonts w:ascii="宋体" w:eastAsia="宋体" w:hAnsi="宋体" w:cs="宋体"/>
            <w:color w:val="41684D"/>
            <w:kern w:val="0"/>
            <w:sz w:val="24"/>
            <w:szCs w:val="24"/>
          </w:rPr>
          <w:t>分享到新浪Qing</w:t>
        </w:r>
      </w:hyperlink>
      <w:r w:rsidRPr="0094190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</w:p>
    <w:p w:rsidR="00951C56" w:rsidRDefault="00951C56"/>
    <w:sectPr w:rsidR="00951C56" w:rsidSect="0095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675" w:rsidRDefault="00B55675" w:rsidP="00941901">
      <w:r>
        <w:separator/>
      </w:r>
    </w:p>
  </w:endnote>
  <w:endnote w:type="continuationSeparator" w:id="0">
    <w:p w:rsidR="00B55675" w:rsidRDefault="00B55675" w:rsidP="00941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675" w:rsidRDefault="00B55675" w:rsidP="00941901">
      <w:r>
        <w:separator/>
      </w:r>
    </w:p>
  </w:footnote>
  <w:footnote w:type="continuationSeparator" w:id="0">
    <w:p w:rsidR="00B55675" w:rsidRDefault="00B55675" w:rsidP="009419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901"/>
    <w:rsid w:val="00031166"/>
    <w:rsid w:val="00036234"/>
    <w:rsid w:val="00093EE8"/>
    <w:rsid w:val="000D12A6"/>
    <w:rsid w:val="0010627E"/>
    <w:rsid w:val="00144CCD"/>
    <w:rsid w:val="00144D5E"/>
    <w:rsid w:val="0014668C"/>
    <w:rsid w:val="001554DC"/>
    <w:rsid w:val="00177C7F"/>
    <w:rsid w:val="00187618"/>
    <w:rsid w:val="001B2DAF"/>
    <w:rsid w:val="001C5CF5"/>
    <w:rsid w:val="001D1B7A"/>
    <w:rsid w:val="001E5EB2"/>
    <w:rsid w:val="0023783F"/>
    <w:rsid w:val="002529C8"/>
    <w:rsid w:val="00252C90"/>
    <w:rsid w:val="002C07E8"/>
    <w:rsid w:val="002C1CEA"/>
    <w:rsid w:val="002C42B3"/>
    <w:rsid w:val="002E5122"/>
    <w:rsid w:val="002F0E4A"/>
    <w:rsid w:val="002F4777"/>
    <w:rsid w:val="00301271"/>
    <w:rsid w:val="00302A61"/>
    <w:rsid w:val="00331A1B"/>
    <w:rsid w:val="00361043"/>
    <w:rsid w:val="00373901"/>
    <w:rsid w:val="00374B54"/>
    <w:rsid w:val="00387F15"/>
    <w:rsid w:val="0039540E"/>
    <w:rsid w:val="003A16A1"/>
    <w:rsid w:val="003B2B7C"/>
    <w:rsid w:val="003B6154"/>
    <w:rsid w:val="003F4410"/>
    <w:rsid w:val="00455D9A"/>
    <w:rsid w:val="004610E1"/>
    <w:rsid w:val="00465681"/>
    <w:rsid w:val="00476FD3"/>
    <w:rsid w:val="004A67D3"/>
    <w:rsid w:val="004E7818"/>
    <w:rsid w:val="00511790"/>
    <w:rsid w:val="005206B8"/>
    <w:rsid w:val="00523A28"/>
    <w:rsid w:val="005274BB"/>
    <w:rsid w:val="00552DD5"/>
    <w:rsid w:val="005559D8"/>
    <w:rsid w:val="00581F8F"/>
    <w:rsid w:val="0058457D"/>
    <w:rsid w:val="00590374"/>
    <w:rsid w:val="006053C5"/>
    <w:rsid w:val="00615226"/>
    <w:rsid w:val="006249A0"/>
    <w:rsid w:val="00640176"/>
    <w:rsid w:val="00645AA2"/>
    <w:rsid w:val="00646BC3"/>
    <w:rsid w:val="00664255"/>
    <w:rsid w:val="0067304E"/>
    <w:rsid w:val="00680F36"/>
    <w:rsid w:val="0068388B"/>
    <w:rsid w:val="006C2B6D"/>
    <w:rsid w:val="006D06FF"/>
    <w:rsid w:val="006E2BD6"/>
    <w:rsid w:val="00711256"/>
    <w:rsid w:val="00734F85"/>
    <w:rsid w:val="00757E2C"/>
    <w:rsid w:val="007B6A3F"/>
    <w:rsid w:val="007C176B"/>
    <w:rsid w:val="007C6F7D"/>
    <w:rsid w:val="007D22F4"/>
    <w:rsid w:val="007D7C7E"/>
    <w:rsid w:val="007E4146"/>
    <w:rsid w:val="008609D6"/>
    <w:rsid w:val="00874820"/>
    <w:rsid w:val="008B6E2E"/>
    <w:rsid w:val="008C5BC8"/>
    <w:rsid w:val="008C679D"/>
    <w:rsid w:val="008E2C3D"/>
    <w:rsid w:val="00941901"/>
    <w:rsid w:val="00951C56"/>
    <w:rsid w:val="009731FE"/>
    <w:rsid w:val="0097798A"/>
    <w:rsid w:val="009D1855"/>
    <w:rsid w:val="009F3409"/>
    <w:rsid w:val="00A33DA2"/>
    <w:rsid w:val="00A50D6E"/>
    <w:rsid w:val="00A525AC"/>
    <w:rsid w:val="00AF7279"/>
    <w:rsid w:val="00B422C7"/>
    <w:rsid w:val="00B55675"/>
    <w:rsid w:val="00B72F06"/>
    <w:rsid w:val="00BA511B"/>
    <w:rsid w:val="00BF5418"/>
    <w:rsid w:val="00C41C33"/>
    <w:rsid w:val="00C50586"/>
    <w:rsid w:val="00CA1D9B"/>
    <w:rsid w:val="00CB1599"/>
    <w:rsid w:val="00CB3B31"/>
    <w:rsid w:val="00CC544E"/>
    <w:rsid w:val="00CE7172"/>
    <w:rsid w:val="00CF66CA"/>
    <w:rsid w:val="00D373C5"/>
    <w:rsid w:val="00D54F6D"/>
    <w:rsid w:val="00D74BDF"/>
    <w:rsid w:val="00D87ED3"/>
    <w:rsid w:val="00D95172"/>
    <w:rsid w:val="00DB69A8"/>
    <w:rsid w:val="00DD54D3"/>
    <w:rsid w:val="00DD5B2F"/>
    <w:rsid w:val="00DF3D02"/>
    <w:rsid w:val="00E17CF8"/>
    <w:rsid w:val="00E31CE0"/>
    <w:rsid w:val="00E82CD3"/>
    <w:rsid w:val="00E978B7"/>
    <w:rsid w:val="00EE113F"/>
    <w:rsid w:val="00EE5CEE"/>
    <w:rsid w:val="00EF6DB2"/>
    <w:rsid w:val="00F24BAE"/>
    <w:rsid w:val="00F4671E"/>
    <w:rsid w:val="00F7219C"/>
    <w:rsid w:val="00F87251"/>
    <w:rsid w:val="00FC027E"/>
    <w:rsid w:val="00FC74EA"/>
    <w:rsid w:val="00FF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9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90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1901"/>
    <w:rPr>
      <w:strike w:val="0"/>
      <w:dstrike w:val="0"/>
      <w:color w:val="41684D"/>
      <w:u w:val="none"/>
      <w:effect w:val="none"/>
    </w:rPr>
  </w:style>
  <w:style w:type="character" w:styleId="a6">
    <w:name w:val="Strong"/>
    <w:basedOn w:val="a0"/>
    <w:uiPriority w:val="22"/>
    <w:qFormat/>
    <w:rsid w:val="00941901"/>
    <w:rPr>
      <w:b/>
      <w:bCs/>
    </w:rPr>
  </w:style>
  <w:style w:type="paragraph" w:styleId="a7">
    <w:name w:val="Normal (Web)"/>
    <w:basedOn w:val="a"/>
    <w:uiPriority w:val="99"/>
    <w:semiHidden/>
    <w:unhideWhenUsed/>
    <w:rsid w:val="00941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419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419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81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18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51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354aaa30100fyvo&amp;url=http://s7.sinaimg.cn/orignal/6354aaa3n7a6e68d42d46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6354aaa30100fyvo&amp;url=http://s7.sinaimg.cn/orignal/6354aaa3n7a6faa5441d6&amp;69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6354aaa30100fyvo&amp;url=http://s12.sinaimg.cn/orignal/6354aaa3n7a6edbd7cebb&amp;690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6354aaa30100fyvo&amp;url=http://s15.sinaimg.cn/orignal/6354aaa3n7a6f47de252e&amp;690" TargetMode="External"/><Relationship Id="rId20" Type="http://schemas.openxmlformats.org/officeDocument/2006/relationships/hyperlink" Target="http://photo.blog.sina.com.cn/showpic.html#blogid=6354aaa30100fyvo&amp;url=http://s8.sinaimg.cn/orignal/6354aaa3n72a4c182ba67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354aaa30100fyvo&amp;url=http://s10.sinaimg.cn/orignal/6354aaa3n7a6e45da1559&amp;690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gif"/><Relationship Id="rId10" Type="http://schemas.openxmlformats.org/officeDocument/2006/relationships/hyperlink" Target="http://photo.blog.sina.com.cn/showpic.html#blogid=6354aaa30100fyvo&amp;url=http://s15.sinaimg.cn/orignal/6354aaa3n7a6e9fe4096e&amp;690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6354aaa30100fyvo&amp;url=http://s14.sinaimg.cn/orignal/6354aaa3n7a6f2d252d3d&amp;690" TargetMode="External"/><Relationship Id="rId22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</Words>
  <Characters>1351</Characters>
  <Application>Microsoft Office Word</Application>
  <DocSecurity>0</DocSecurity>
  <Lines>11</Lines>
  <Paragraphs>3</Paragraphs>
  <ScaleCrop>false</ScaleCrop>
  <Company>微软中国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2013-04-28T12:02:00Z</dcterms:created>
  <dcterms:modified xsi:type="dcterms:W3CDTF">2013-04-28T12:02:00Z</dcterms:modified>
</cp:coreProperties>
</file>