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YEKDB Developer Notes Sprint 00 33</w:t>
      </w:r>
    </w:p>
    <w:p>
      <w:pPr>
        <w:spacing w:after="100" w:line="259" w:lineRule="auto"/>
      </w:pPr>
      <w:r>
        <w:rPr>
          <w:b/>
        </w:rPr>
        <w:t>ACID dayanıklılık yazma izolasyonu ve recovery bağlantıları</w:t>
      </w:r>
    </w:p>
    <w:p>
      <w:pPr>
        <w:spacing w:after="100" w:line="259" w:lineRule="auto"/>
      </w:pPr>
      <w:r>
        <w:t>Bu belge Sprint 00-33 kapanış notudur. Sprint, YEKDB transaction katmanını ACID hedeflerine yaklaştırmak için tablo seviyesinde yazma izolasyonu, kalıcı transaction kararı loglama, recovery log okuma ve database seçiminde otomatik recovery bağlantıları ekledi. Final doğrulama sonucu 1950 test ve compile başarılıdır.</w:t>
      </w:r>
    </w:p>
    <w:p>
      <w:pPr>
        <w:pStyle w:val="Heading1"/>
        <w:spacing w:after="100" w:line="259" w:lineRule="auto"/>
      </w:pPr>
      <w:r>
        <w:t>Kapanış Özeti</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4939"/>
            <w:shd w:fill="1F4E79"/>
            <w:tcMar>
              <w:top w:w="100" w:type="dxa"/>
              <w:start w:w="120" w:type="dxa"/>
              <w:bottom w:w="100" w:type="dxa"/>
              <w:end w:w="120" w:type="dxa"/>
            </w:tcMar>
            <w:vAlign w:val="center"/>
          </w:tcPr>
          <w:p>
            <w:r>
              <w:rPr>
                <w:b/>
                <w:color w:val="FFFFFF"/>
              </w:rPr>
              <w:t>Alan</w:t>
            </w:r>
          </w:p>
        </w:tc>
        <w:tc>
          <w:tcPr>
            <w:tcW w:type="dxa" w:w="4939"/>
            <w:shd w:fill="1F4E79"/>
            <w:tcMar>
              <w:top w:w="100" w:type="dxa"/>
              <w:start w:w="120" w:type="dxa"/>
              <w:bottom w:w="100" w:type="dxa"/>
              <w:end w:w="120" w:type="dxa"/>
            </w:tcMar>
            <w:vAlign w:val="center"/>
          </w:tcPr>
          <w:p>
            <w:r>
              <w:rPr>
                <w:b/>
                <w:color w:val="FFFFFF"/>
              </w:rPr>
              <w:t>Değer</w:t>
            </w:r>
          </w:p>
        </w:tc>
      </w:tr>
      <w:tr>
        <w:tc>
          <w:tcPr>
            <w:tcW w:type="dxa" w:w="4939"/>
            <w:tcMar>
              <w:top w:w="100" w:type="dxa"/>
              <w:start w:w="120" w:type="dxa"/>
              <w:bottom w:w="100" w:type="dxa"/>
              <w:end w:w="120" w:type="dxa"/>
            </w:tcMar>
            <w:vAlign w:val="center"/>
          </w:tcPr>
          <w:p>
            <w:r>
              <w:t>Sprint</w:t>
            </w:r>
          </w:p>
        </w:tc>
        <w:tc>
          <w:tcPr>
            <w:tcW w:type="dxa" w:w="4939"/>
            <w:tcMar>
              <w:top w:w="100" w:type="dxa"/>
              <w:start w:w="120" w:type="dxa"/>
              <w:bottom w:w="100" w:type="dxa"/>
              <w:end w:w="120" w:type="dxa"/>
            </w:tcMar>
            <w:vAlign w:val="center"/>
          </w:tcPr>
          <w:p>
            <w:r>
              <w:t>00-33</w:t>
            </w:r>
          </w:p>
        </w:tc>
      </w:tr>
      <w:tr>
        <w:tc>
          <w:tcPr>
            <w:tcW w:type="dxa" w:w="4939"/>
            <w:tcMar>
              <w:top w:w="100" w:type="dxa"/>
              <w:start w:w="120" w:type="dxa"/>
              <w:bottom w:w="100" w:type="dxa"/>
              <w:end w:w="120" w:type="dxa"/>
            </w:tcMar>
            <w:vAlign w:val="center"/>
            <w:shd w:fill="F2F6FA"/>
          </w:tcPr>
          <w:p>
            <w:r>
              <w:t>Konu</w:t>
            </w:r>
          </w:p>
        </w:tc>
        <w:tc>
          <w:tcPr>
            <w:tcW w:type="dxa" w:w="4939"/>
            <w:tcMar>
              <w:top w:w="100" w:type="dxa"/>
              <w:start w:w="120" w:type="dxa"/>
              <w:bottom w:w="100" w:type="dxa"/>
              <w:end w:w="120" w:type="dxa"/>
            </w:tcMar>
            <w:vAlign w:val="center"/>
            <w:shd w:fill="F2F6FA"/>
          </w:tcPr>
          <w:p>
            <w:r>
              <w:t>ACID durability, write isolation ve recovery hazırlığı</w:t>
            </w:r>
          </w:p>
        </w:tc>
      </w:tr>
      <w:tr>
        <w:tc>
          <w:tcPr>
            <w:tcW w:type="dxa" w:w="4939"/>
            <w:tcMar>
              <w:top w:w="100" w:type="dxa"/>
              <w:start w:w="120" w:type="dxa"/>
              <w:bottom w:w="100" w:type="dxa"/>
              <w:end w:w="120" w:type="dxa"/>
            </w:tcMar>
            <w:vAlign w:val="center"/>
          </w:tcPr>
          <w:p>
            <w:r>
              <w:t>Final test durumu</w:t>
            </w:r>
          </w:p>
        </w:tc>
        <w:tc>
          <w:tcPr>
            <w:tcW w:type="dxa" w:w="4939"/>
            <w:tcMar>
              <w:top w:w="100" w:type="dxa"/>
              <w:start w:w="120" w:type="dxa"/>
              <w:bottom w:w="100" w:type="dxa"/>
              <w:end w:w="120" w:type="dxa"/>
            </w:tcMar>
            <w:vAlign w:val="center"/>
          </w:tcPr>
          <w:p>
            <w:r>
              <w:t>1950 / 1950 test başarılı</w:t>
            </w:r>
          </w:p>
        </w:tc>
      </w:tr>
      <w:tr>
        <w:tc>
          <w:tcPr>
            <w:tcW w:type="dxa" w:w="4939"/>
            <w:tcMar>
              <w:top w:w="100" w:type="dxa"/>
              <w:start w:w="120" w:type="dxa"/>
              <w:bottom w:w="100" w:type="dxa"/>
              <w:end w:w="120" w:type="dxa"/>
            </w:tcMar>
            <w:vAlign w:val="center"/>
            <w:shd w:fill="F2F6FA"/>
          </w:tcPr>
          <w:p>
            <w:r>
              <w:t>Compile durumu</w:t>
            </w:r>
          </w:p>
        </w:tc>
        <w:tc>
          <w:tcPr>
            <w:tcW w:type="dxa" w:w="4939"/>
            <w:tcMar>
              <w:top w:w="100" w:type="dxa"/>
              <w:start w:w="120" w:type="dxa"/>
              <w:bottom w:w="100" w:type="dxa"/>
              <w:end w:w="120" w:type="dxa"/>
            </w:tcMar>
            <w:vAlign w:val="center"/>
            <w:shd w:fill="F2F6FA"/>
          </w:tcPr>
          <w:p>
            <w:r>
              <w:t>Başarılı</w:t>
            </w:r>
          </w:p>
        </w:tc>
      </w:tr>
      <w:tr>
        <w:tc>
          <w:tcPr>
            <w:tcW w:type="dxa" w:w="4939"/>
            <w:tcMar>
              <w:top w:w="100" w:type="dxa"/>
              <w:start w:w="120" w:type="dxa"/>
              <w:bottom w:w="100" w:type="dxa"/>
              <w:end w:w="120" w:type="dxa"/>
            </w:tcMar>
            <w:vAlign w:val="center"/>
          </w:tcPr>
          <w:p>
            <w:r>
              <w:t>Ana davranış</w:t>
            </w:r>
          </w:p>
        </w:tc>
        <w:tc>
          <w:tcPr>
            <w:tcW w:type="dxa" w:w="4939"/>
            <w:tcMar>
              <w:top w:w="100" w:type="dxa"/>
              <w:start w:w="120" w:type="dxa"/>
              <w:bottom w:w="100" w:type="dxa"/>
              <w:end w:w="120" w:type="dxa"/>
            </w:tcMar>
            <w:vAlign w:val="center"/>
          </w:tcPr>
          <w:p>
            <w:r>
              <w:t>Transaction başlangıç ve sonuç kayıtları transaction.log dosyasında izlenir</w:t>
            </w:r>
          </w:p>
        </w:tc>
      </w:tr>
      <w:tr>
        <w:tc>
          <w:tcPr>
            <w:tcW w:type="dxa" w:w="4939"/>
            <w:tcMar>
              <w:top w:w="100" w:type="dxa"/>
              <w:start w:w="120" w:type="dxa"/>
              <w:bottom w:w="100" w:type="dxa"/>
              <w:end w:w="120" w:type="dxa"/>
            </w:tcMar>
            <w:vAlign w:val="center"/>
            <w:shd w:fill="F2F6FA"/>
          </w:tcPr>
          <w:p>
            <w:r>
              <w:t>Recovery davranışı</w:t>
            </w:r>
          </w:p>
        </w:tc>
        <w:tc>
          <w:tcPr>
            <w:tcW w:type="dxa" w:w="4939"/>
            <w:tcMar>
              <w:top w:w="100" w:type="dxa"/>
              <w:start w:w="120" w:type="dxa"/>
              <w:bottom w:w="100" w:type="dxa"/>
              <w:end w:w="120" w:type="dxa"/>
            </w:tcMar>
            <w:vAlign w:val="center"/>
            <w:shd w:fill="F2F6FA"/>
          </w:tcPr>
          <w:p>
            <w:r>
              <w:t>ACTIVE kalmış transaction kayıtları ROLLED_BACK kararıyla kapatılır</w:t>
            </w:r>
          </w:p>
        </w:tc>
      </w:tr>
    </w:tbl>
    <w:p>
      <w:pPr>
        <w:spacing w:after="100" w:line="259" w:lineRule="auto"/>
      </w:pPr>
    </w:p>
    <w:p>
      <w:pPr>
        <w:pStyle w:val="Heading1"/>
        <w:spacing w:after="100" w:line="259" w:lineRule="auto"/>
      </w:pPr>
      <w:r>
        <w:t>Phase Akışı</w:t>
      </w:r>
    </w:p>
    <w:p>
      <w:pPr>
        <w:pStyle w:val="ListBullet"/>
        <w:spacing w:after="60" w:line="252" w:lineRule="auto"/>
      </w:pPr>
      <w:r>
        <w:t>Phase 5: tablo seviyesinde write isolation eklendi ve aynı tabloya eş zamanlı DML yazımları engellendi.</w:t>
      </w:r>
    </w:p>
    <w:p>
      <w:pPr>
        <w:pStyle w:val="ListBullet"/>
        <w:spacing w:after="60" w:line="252" w:lineRule="auto"/>
      </w:pPr>
      <w:r>
        <w:t>Phase 6: transaction completion kararları kalıcı transaction.log dosyasına yazıldı.</w:t>
      </w:r>
    </w:p>
    <w:p>
      <w:pPr>
        <w:pStyle w:val="ListBullet"/>
        <w:spacing w:after="60" w:line="252" w:lineRule="auto"/>
      </w:pPr>
      <w:r>
        <w:t>Phase 7: transaction başlangıçları ACTIVE kaydı olarak loglanmaya başlandı.</w:t>
      </w:r>
    </w:p>
    <w:p>
      <w:pPr>
        <w:pStyle w:val="ListBullet"/>
        <w:spacing w:after="60" w:line="252" w:lineRule="auto"/>
      </w:pPr>
      <w:r>
        <w:t>Phase 8: transaction log satırları parse edilebilir hale getirildi ve incomplete transaction tespiti eklendi.</w:t>
      </w:r>
    </w:p>
    <w:p>
      <w:pPr>
        <w:pStyle w:val="ListBullet"/>
        <w:spacing w:after="60" w:line="252" w:lineRule="auto"/>
      </w:pPr>
      <w:r>
        <w:t>Phase 9: recovery manager incomplete transaction kayıtlarını rollback kararıyla kapatabilir hale geldi.</w:t>
      </w:r>
    </w:p>
    <w:p>
      <w:pPr>
        <w:pStyle w:val="ListBullet"/>
        <w:spacing w:after="60" w:line="252" w:lineRule="auto"/>
      </w:pPr>
      <w:r>
        <w:t>Phase 10: recovery manager USE DATABASE akışı üzerinden otomatik çalışır hale getirildi.</w:t>
      </w:r>
    </w:p>
    <w:p>
      <w:pPr>
        <w:pStyle w:val="ListBullet"/>
        <w:spacing w:after="60" w:line="252" w:lineRule="auto"/>
      </w:pPr>
      <w:r>
        <w:t>Phase 11: commit, rollback, recovery ve write lock davranışlarını birlikte doğrulayan final entegrasyon testi eklendi.</w:t>
      </w:r>
    </w:p>
    <w:p>
      <w:pPr>
        <w:pStyle w:val="Heading1"/>
        <w:spacing w:after="100" w:line="259" w:lineRule="auto"/>
      </w:pPr>
      <w:r>
        <w:t>Değişen Ana Sınıflar</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4939"/>
            <w:shd w:fill="404040"/>
            <w:tcMar>
              <w:top w:w="100" w:type="dxa"/>
              <w:start w:w="120" w:type="dxa"/>
              <w:bottom w:w="100" w:type="dxa"/>
              <w:end w:w="120" w:type="dxa"/>
            </w:tcMar>
            <w:vAlign w:val="center"/>
          </w:tcPr>
          <w:p>
            <w:r>
              <w:rPr>
                <w:b/>
                <w:color w:val="FFFFFF"/>
              </w:rPr>
              <w:t>Sınıf</w:t>
            </w:r>
          </w:p>
        </w:tc>
        <w:tc>
          <w:tcPr>
            <w:tcW w:type="dxa" w:w="4939"/>
            <w:shd w:fill="404040"/>
            <w:tcMar>
              <w:top w:w="100" w:type="dxa"/>
              <w:start w:w="120" w:type="dxa"/>
              <w:bottom w:w="100" w:type="dxa"/>
              <w:end w:w="120" w:type="dxa"/>
            </w:tcMar>
            <w:vAlign w:val="center"/>
          </w:tcPr>
          <w:p>
            <w:r>
              <w:rPr>
                <w:b/>
                <w:color w:val="FFFFFF"/>
              </w:rPr>
              <w:t>Sorumluluk</w:t>
            </w:r>
          </w:p>
        </w:tc>
      </w:tr>
      <w:tr>
        <w:tc>
          <w:tcPr>
            <w:tcW w:type="dxa" w:w="4939"/>
            <w:tcMar>
              <w:top w:w="100" w:type="dxa"/>
              <w:start w:w="120" w:type="dxa"/>
              <w:bottom w:w="100" w:type="dxa"/>
              <w:end w:w="120" w:type="dxa"/>
            </w:tcMar>
            <w:vAlign w:val="center"/>
          </w:tcPr>
          <w:p>
            <w:r>
              <w:t>QueryExecutor</w:t>
            </w:r>
          </w:p>
        </w:tc>
        <w:tc>
          <w:tcPr>
            <w:tcW w:type="dxa" w:w="4939"/>
            <w:tcMar>
              <w:top w:w="100" w:type="dxa"/>
              <w:start w:w="120" w:type="dxa"/>
              <w:bottom w:w="100" w:type="dxa"/>
              <w:end w:w="120" w:type="dxa"/>
            </w:tcMar>
            <w:vAlign w:val="center"/>
          </w:tcPr>
          <w:p>
            <w:r>
              <w:t>BEGIN, implicit DML, COMMIT, ROLLBACK, close ve USE DATABASE akışları transaction log ve recovery ile bağlandı.</w:t>
            </w:r>
          </w:p>
        </w:tc>
      </w:tr>
      <w:tr>
        <w:tc>
          <w:tcPr>
            <w:tcW w:type="dxa" w:w="4939"/>
            <w:tcMar>
              <w:top w:w="100" w:type="dxa"/>
              <w:start w:w="120" w:type="dxa"/>
              <w:bottom w:w="100" w:type="dxa"/>
              <w:end w:w="120" w:type="dxa"/>
            </w:tcMar>
            <w:vAlign w:val="center"/>
            <w:shd w:fill="F2F6FA"/>
          </w:tcPr>
          <w:p>
            <w:r>
              <w:t>TransactionDurabilityLog</w:t>
            </w:r>
          </w:p>
        </w:tc>
        <w:tc>
          <w:tcPr>
            <w:tcW w:type="dxa" w:w="4939"/>
            <w:tcMar>
              <w:top w:w="100" w:type="dxa"/>
              <w:start w:w="120" w:type="dxa"/>
              <w:bottom w:w="100" w:type="dxa"/>
              <w:end w:w="120" w:type="dxa"/>
            </w:tcMar>
            <w:vAlign w:val="center"/>
            <w:shd w:fill="F2F6FA"/>
          </w:tcPr>
          <w:p>
            <w:r>
              <w:t>transaction.log dosyasına begin, completion ve recovered rollback kayıtları yazma; log satırlarını okuma ve incomplete transaction bulma görevlerini taşır.</w:t>
            </w:r>
          </w:p>
        </w:tc>
      </w:tr>
      <w:tr>
        <w:tc>
          <w:tcPr>
            <w:tcW w:type="dxa" w:w="4939"/>
            <w:tcMar>
              <w:top w:w="100" w:type="dxa"/>
              <w:start w:w="120" w:type="dxa"/>
              <w:bottom w:w="100" w:type="dxa"/>
              <w:end w:w="120" w:type="dxa"/>
            </w:tcMar>
            <w:vAlign w:val="center"/>
          </w:tcPr>
          <w:p>
            <w:r>
              <w:t>TransactionLogEntry</w:t>
            </w:r>
          </w:p>
        </w:tc>
        <w:tc>
          <w:tcPr>
            <w:tcW w:type="dxa" w:w="4939"/>
            <w:tcMar>
              <w:top w:w="100" w:type="dxa"/>
              <w:start w:w="120" w:type="dxa"/>
              <w:bottom w:w="100" w:type="dxa"/>
              <w:end w:w="120" w:type="dxa"/>
            </w:tcMar>
            <w:vAlign w:val="center"/>
          </w:tcPr>
          <w:p>
            <w:r>
              <w:t>Kalıcı log satırlarını typed transaction bilgisine dönüştüren değer sınıfıdır.</w:t>
            </w:r>
          </w:p>
        </w:tc>
      </w:tr>
      <w:tr>
        <w:tc>
          <w:tcPr>
            <w:tcW w:type="dxa" w:w="4939"/>
            <w:tcMar>
              <w:top w:w="100" w:type="dxa"/>
              <w:start w:w="120" w:type="dxa"/>
              <w:bottom w:w="100" w:type="dxa"/>
              <w:end w:w="120" w:type="dxa"/>
            </w:tcMar>
            <w:vAlign w:val="center"/>
            <w:shd w:fill="F2F6FA"/>
          </w:tcPr>
          <w:p>
            <w:r>
              <w:t>TransactionRecoveryManager</w:t>
            </w:r>
          </w:p>
        </w:tc>
        <w:tc>
          <w:tcPr>
            <w:tcW w:type="dxa" w:w="4939"/>
            <w:tcMar>
              <w:top w:w="100" w:type="dxa"/>
              <w:start w:w="120" w:type="dxa"/>
              <w:bottom w:w="100" w:type="dxa"/>
              <w:end w:w="120" w:type="dxa"/>
            </w:tcMar>
            <w:vAlign w:val="center"/>
            <w:shd w:fill="F2F6FA"/>
          </w:tcPr>
          <w:p>
            <w:r>
              <w:t>ACTIVE kalmış log kayıtlarını idempotent şekilde ROLLED_BACK kararıyla kapatır.</w:t>
            </w:r>
          </w:p>
        </w:tc>
      </w:tr>
      <w:tr>
        <w:tc>
          <w:tcPr>
            <w:tcW w:type="dxa" w:w="4939"/>
            <w:tcMar>
              <w:top w:w="100" w:type="dxa"/>
              <w:start w:w="120" w:type="dxa"/>
              <w:bottom w:w="100" w:type="dxa"/>
              <w:end w:w="120" w:type="dxa"/>
            </w:tcMar>
            <w:vAlign w:val="center"/>
          </w:tcPr>
          <w:p>
            <w:r>
              <w:t>TransactionRecoveryResult</w:t>
            </w:r>
          </w:p>
        </w:tc>
        <w:tc>
          <w:tcPr>
            <w:tcW w:type="dxa" w:w="4939"/>
            <w:tcMar>
              <w:top w:w="100" w:type="dxa"/>
              <w:start w:w="120" w:type="dxa"/>
              <w:bottom w:w="100" w:type="dxa"/>
              <w:end w:w="120" w:type="dxa"/>
            </w:tcMar>
            <w:vAlign w:val="center"/>
          </w:tcPr>
          <w:p>
            <w:r>
              <w:t>Recovery çalışmasının database path ve recovered transaction özetini taşır.</w:t>
            </w:r>
          </w:p>
        </w:tc>
      </w:tr>
      <w:tr>
        <w:tc>
          <w:tcPr>
            <w:tcW w:type="dxa" w:w="4939"/>
            <w:tcMar>
              <w:top w:w="100" w:type="dxa"/>
              <w:start w:w="120" w:type="dxa"/>
              <w:bottom w:w="100" w:type="dxa"/>
              <w:end w:w="120" w:type="dxa"/>
            </w:tcMar>
            <w:vAlign w:val="center"/>
            <w:shd w:fill="F2F6FA"/>
          </w:tcPr>
          <w:p>
            <w:r>
              <w:t>TransactionTableWriteLockManager</w:t>
            </w:r>
          </w:p>
        </w:tc>
        <w:tc>
          <w:tcPr>
            <w:tcW w:type="dxa" w:w="4939"/>
            <w:tcMar>
              <w:top w:w="100" w:type="dxa"/>
              <w:start w:w="120" w:type="dxa"/>
              <w:bottom w:w="100" w:type="dxa"/>
              <w:end w:w="120" w:type="dxa"/>
            </w:tcMar>
            <w:vAlign w:val="center"/>
            <w:shd w:fill="F2F6FA"/>
          </w:tcPr>
          <w:p>
            <w:r>
              <w:t>Tablo bazlı write lock sahipliğini yönetir ve farklı executor yazım çakışmalarını reddeder.</w:t>
            </w:r>
          </w:p>
        </w:tc>
      </w:tr>
    </w:tbl>
    <w:p>
      <w:pPr>
        <w:spacing w:after="100" w:line="259" w:lineRule="auto"/>
      </w:pPr>
    </w:p>
    <w:p>
      <w:pPr>
        <w:pStyle w:val="Heading1"/>
        <w:spacing w:after="100" w:line="259" w:lineRule="auto"/>
      </w:pPr>
      <w:r>
        <w:t>ACID Değerlendirmesi</w:t>
      </w:r>
    </w:p>
    <w:p>
      <w:pPr>
        <w:spacing w:after="100" w:line="259" w:lineRule="auto"/>
      </w:pPr>
      <w:r>
        <w:rPr>
          <w:b/>
        </w:rPr>
        <w:t xml:space="preserve">Atomicity: </w:t>
      </w:r>
      <w:r>
        <w:t>DML statement hatalarında savepoint seviyesinde geri alma korunur. Explicit rollback ve close-time rollback davranışları testlerle desteklenir.</w:t>
      </w:r>
    </w:p>
    <w:p>
      <w:pPr>
        <w:spacing w:after="100" w:line="259" w:lineRule="auto"/>
      </w:pPr>
      <w:r>
        <w:rPr>
          <w:b/>
        </w:rPr>
        <w:t xml:space="preserve">Consistency: </w:t>
      </w:r>
      <w:r>
        <w:t>Mevcut constraint, foreign key, trigger ve table metadata kuralları transaction akışı içinde korunur; failed DML sonrasında veri tutarlılığı bozulmaz.</w:t>
      </w:r>
    </w:p>
    <w:p>
      <w:pPr>
        <w:spacing w:after="100" w:line="259" w:lineRule="auto"/>
      </w:pPr>
      <w:r>
        <w:rPr>
          <w:b/>
        </w:rPr>
        <w:t xml:space="preserve">Isolation: </w:t>
      </w:r>
      <w:r>
        <w:t>Bu sprintte MVCC yerine tablo seviyesinde write lock güvencesi eklendi. Aynı tabloya farklı executor üzerinden eş zamanlı yazma girişimleri reddedilir.</w:t>
      </w:r>
    </w:p>
    <w:p>
      <w:pPr>
        <w:spacing w:after="100" w:line="259" w:lineRule="auto"/>
      </w:pPr>
      <w:r>
        <w:rPr>
          <w:b/>
        </w:rPr>
        <w:t xml:space="preserve">Durability: </w:t>
      </w:r>
      <w:r>
        <w:t>Transaction begin ve completion kararları database klasöründeki transaction.log dosyasına kalıcı olarak yazılır. Recovery bağlantıları incomplete kayıtları tespit edip rollback kararı ekler.</w:t>
      </w:r>
    </w:p>
    <w:p>
      <w:pPr>
        <w:pStyle w:val="Heading1"/>
        <w:spacing w:after="100" w:line="259" w:lineRule="auto"/>
      </w:pPr>
      <w:r>
        <w:t>Test ve Doğrulama</w:t>
      </w:r>
    </w:p>
    <w:p>
      <w:pPr>
        <w:pStyle w:val="ListBullet"/>
        <w:spacing w:after="60" w:line="252" w:lineRule="auto"/>
      </w:pPr>
      <w:r>
        <w:t>QueryExecutorTransactionIsolationTest table-level write lock davranışını ve commit rollback sonrası lock release akışını doğrular.</w:t>
      </w:r>
    </w:p>
    <w:p>
      <w:pPr>
        <w:pStyle w:val="ListBullet"/>
        <w:spacing w:after="60" w:line="252" w:lineRule="auto"/>
      </w:pPr>
      <w:r>
        <w:t>QueryExecutorTransactionDurabilityTest implicit, explicit ve close-time rollback log kayıtlarını doğrular.</w:t>
      </w:r>
    </w:p>
    <w:p>
      <w:pPr>
        <w:pStyle w:val="ListBullet"/>
        <w:spacing w:after="60" w:line="252" w:lineRule="auto"/>
      </w:pPr>
      <w:r>
        <w:t>TransactionDurabilityLogRecoveryTest log parsing ve incomplete transaction tespitini doğrular.</w:t>
      </w:r>
    </w:p>
    <w:p>
      <w:pPr>
        <w:pStyle w:val="ListBullet"/>
        <w:spacing w:after="60" w:line="252" w:lineRule="auto"/>
      </w:pPr>
      <w:r>
        <w:t>TransactionRecoveryManagerTest recovered rollback kararının yazılmasını ve idempotent davranışı doğrular.</w:t>
      </w:r>
    </w:p>
    <w:p>
      <w:pPr>
        <w:pStyle w:val="ListBullet"/>
        <w:spacing w:after="60" w:line="252" w:lineRule="auto"/>
      </w:pPr>
      <w:r>
        <w:t>QueryExecutorTransactionRecoveryTest USE DATABASE sırasında otomatik recovery bağlantısının çalıştığını doğrular.</w:t>
      </w:r>
    </w:p>
    <w:p>
      <w:pPr>
        <w:pStyle w:val="ListBullet"/>
        <w:spacing w:after="60" w:line="252" w:lineRule="auto"/>
      </w:pPr>
      <w:r>
        <w:t>QueryExecutorAcidIntegrationTest commit, rollback, recovery ve write lock davranışlarını tek sprint kapanış akışı içinde doğrular.</w:t>
      </w:r>
    </w:p>
    <w:p>
      <w:pPr>
        <w:pStyle w:val="Heading1"/>
        <w:spacing w:after="100" w:line="259" w:lineRule="auto"/>
      </w:pPr>
      <w:r>
        <w:t>Bilinen Sınırlar ve Sonraki İşler</w:t>
      </w:r>
    </w:p>
    <w:p>
      <w:pPr>
        <w:pStyle w:val="ListBullet"/>
        <w:spacing w:after="60" w:line="252" w:lineRule="auto"/>
      </w:pPr>
      <w:r>
        <w:t>Recovery şu anda fiziksel veri replay yapmaz; incomplete transaction için kalıcı rollback kararı yazar.</w:t>
      </w:r>
    </w:p>
    <w:p>
      <w:pPr>
        <w:pStyle w:val="ListBullet"/>
        <w:spacing w:after="60" w:line="252" w:lineRule="auto"/>
      </w:pPr>
      <w:r>
        <w:t>Durability log transaction kararı seviyesindedir; tam WAL redo undo kayıtları sonraki sprintlerde ele alınmalıdır.</w:t>
      </w:r>
    </w:p>
    <w:p>
      <w:pPr>
        <w:pStyle w:val="ListBullet"/>
        <w:spacing w:after="60" w:line="252" w:lineRule="auto"/>
      </w:pPr>
      <w:r>
        <w:t>Isolation seviyeleri metadata olarak korunur; MVCC veya row-level concurrency semantikleri gelecek çalışmadır.</w:t>
      </w:r>
    </w:p>
    <w:p>
      <w:pPr>
        <w:pStyle w:val="ListBullet"/>
        <w:spacing w:after="60" w:line="252" w:lineRule="auto"/>
      </w:pPr>
      <w:r>
        <w:t>Trigger atomicity davranışı ileride transaction sistemiyle daha derin entegre edilmelidir.</w:t>
      </w:r>
    </w:p>
    <w:p>
      <w:pPr>
        <w:pStyle w:val="Heading1"/>
        <w:spacing w:after="100" w:line="259" w:lineRule="auto"/>
      </w:pPr>
      <w:r>
        <w:t>Kapanış Kararı</w:t>
      </w:r>
    </w:p>
    <w:p>
      <w:pPr>
        <w:spacing w:after="100" w:line="259" w:lineRule="auto"/>
      </w:pPr>
      <w:r>
        <w:t>Sprint 00-33, 1950 test ve başarılı compile sonucu ile kapanmaya hazırdır. Kod tabanı mevcut proje yapısını koruyarak yalnızca transaction, query executor ve ilgili test dosyalarında genişletildi. Sonraki mantıklı adım tam WAL kayıt formatı ve fiziksel redo undo replay tasarımıdır.</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Developer Notes Sprint 00 33</dc:title>
  <dc:subject>ACID dayanıklılık yazma izolasyonu ve recovery bağlantıları</dc:subject>
  <dc:creator>Yunus Emre KUL</dc:creator>
  <cp:keywords/>
  <dc:description>generated by python-docx</dc:description>
  <cp:lastModifiedBy/>
  <cp:revision>1</cp:revision>
  <dcterms:created xsi:type="dcterms:W3CDTF">2013-12-23T23:15:00Z</dcterms:created>
  <dcterms:modified xsi:type="dcterms:W3CDTF">2013-12-23T23:15:00Z</dcterms:modified>
  <cp:category/>
</cp:coreProperties>
</file>