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YEKDB Developer Notes Sprint 00 37</w:t>
      </w:r>
    </w:p>
    <w:p>
      <w:pPr>
        <w:spacing w:after="280"/>
      </w:pPr>
      <w:r>
        <w:rPr>
          <w:rFonts w:ascii="Aptos Display" w:hAnsi="Aptos Display"/>
          <w:b/>
          <w:color w:val="000000"/>
          <w:sz w:val="30"/>
        </w:rPr>
        <w:t>Explain Analyze Runtime Query Inspection</w:t>
      </w:r>
    </w:p>
    <w:p>
      <w:pPr/>
      <w:r>
        <w:rPr>
          <w:rFonts w:ascii="Aptos" w:hAnsi="Aptos"/>
          <w:color w:val="000000"/>
        </w:rPr>
        <w:t>Sprint 00-37 adds EXPLAIN ANALYZE SELECT to YEKDB while preserving the plan-only EXPLAIN SELECT contract introduced in Sprint 00-31. Analyze mode runs the target query through the existing SELECT pipeline, keeps the optimizer plan visible, and appends the final row count and elapsed execution time. The implementation changes no storage or transaction-log format and passed all 2042 automated tests.</w:t>
      </w:r>
    </w:p>
    <w:p>
      <w:pPr>
        <w:pStyle w:val="Heading1"/>
      </w:pPr>
      <w:r>
        <w:t>Sprint Outcome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4"/>
        <w:gridCol w:w="3264"/>
        <w:gridCol w:w="3264"/>
      </w:tblGrid>
      <w:tr>
        <w:trPr>
          <w:tblHeader w:val="true"/>
          <w:cantSplit/>
        </w:trPr>
        <w:tc>
          <w:tcPr>
            <w:tcW w:type="dxa" w:w="1656"/>
            <w:shd w:fill="17365D"/>
            <w:vAlign w:val="center"/>
            <w:tcMar>
              <w:top w:w="100" w:type="dxa"/>
              <w:start w:w="120" w:type="dxa"/>
              <w:bottom w:w="100" w:type="dxa"/>
              <w:end w:w="120" w:type="dxa"/>
            </w:tcMar>
          </w:tcPr>
          <w:p>
            <w:pPr>
              <w:spacing w:before="0" w:after="0" w:line="252" w:lineRule="auto"/>
              <w:jc w:val="center"/>
            </w:pPr>
            <w:r>
              <w:rPr>
                <w:rFonts w:ascii="Aptos" w:hAnsi="Aptos"/>
                <w:b/>
                <w:color w:val="FFFFFF"/>
                <w:sz w:val="18"/>
              </w:rPr>
              <w:t>Area</w:t>
            </w:r>
          </w:p>
        </w:tc>
        <w:tc>
          <w:tcPr>
            <w:tcW w:type="dxa" w:w="4824"/>
            <w:shd w:fill="17365D"/>
            <w:vAlign w:val="center"/>
            <w:tcMar>
              <w:top w:w="100" w:type="dxa"/>
              <w:start w:w="120" w:type="dxa"/>
              <w:bottom w:w="100" w:type="dxa"/>
              <w:end w:w="120" w:type="dxa"/>
            </w:tcMar>
          </w:tcPr>
          <w:p>
            <w:pPr>
              <w:spacing w:before="0" w:after="0" w:line="252" w:lineRule="auto"/>
              <w:jc w:val="center"/>
            </w:pPr>
            <w:r>
              <w:rPr>
                <w:rFonts w:ascii="Aptos" w:hAnsi="Aptos"/>
                <w:b/>
                <w:color w:val="FFFFFF"/>
                <w:sz w:val="18"/>
              </w:rPr>
              <w:t>Result</w:t>
            </w:r>
          </w:p>
        </w:tc>
        <w:tc>
          <w:tcPr>
            <w:tcW w:type="dxa" w:w="3312"/>
            <w:shd w:fill="17365D"/>
            <w:vAlign w:val="center"/>
            <w:tcMar>
              <w:top w:w="100" w:type="dxa"/>
              <w:start w:w="120" w:type="dxa"/>
              <w:bottom w:w="100" w:type="dxa"/>
              <w:end w:w="120" w:type="dxa"/>
            </w:tcMar>
          </w:tcPr>
          <w:p>
            <w:pPr>
              <w:spacing w:before="0" w:after="0" w:line="252" w:lineRule="auto"/>
              <w:jc w:val="center"/>
            </w:pPr>
            <w:r>
              <w:rPr>
                <w:rFonts w:ascii="Aptos" w:hAnsi="Aptos"/>
                <w:b/>
                <w:color w:val="FFFFFF"/>
                <w:sz w:val="18"/>
              </w:rPr>
              <w:t>Compatibility</w:t>
            </w:r>
          </w:p>
        </w:tc>
      </w:tr>
      <w:tr>
        <w:trPr>
          <w:cantSplit/>
        </w:trPr>
        <w:tc>
          <w:tcPr>
            <w:tcW w:type="dxa" w:w="1656"/>
            <w:shd w:fill="FFFFFF"/>
            <w:vAlign w:val="center"/>
            <w:tcMar>
              <w:top w:w="100" w:type="dxa"/>
              <w:start w:w="120" w:type="dxa"/>
              <w:bottom w:w="100" w:type="dxa"/>
              <w:end w:w="120" w:type="dxa"/>
            </w:tcMar>
          </w:tcPr>
          <w:p>
            <w:pPr>
              <w:spacing w:before="0" w:after="0" w:line="252" w:lineRule="auto"/>
              <w:jc w:val="center"/>
            </w:pPr>
            <w:r>
              <w:rPr>
                <w:rFonts w:ascii="Aptos" w:hAnsi="Aptos"/>
                <w:b w:val="0"/>
                <w:color w:val="000000"/>
                <w:sz w:val="18"/>
              </w:rPr>
              <w:t>SQL</w:t>
            </w:r>
          </w:p>
        </w:tc>
        <w:tc>
          <w:tcPr>
            <w:tcW w:type="dxa" w:w="4824"/>
            <w:shd w:fill="FFFFFF"/>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EXPLAIN ANALYZE SELECT syntax</w:t>
            </w:r>
          </w:p>
        </w:tc>
        <w:tc>
          <w:tcPr>
            <w:tcW w:type="dxa" w:w="3312"/>
            <w:shd w:fill="FFFFFF"/>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Plain EXPLAIN remains plan only</w:t>
            </w:r>
          </w:p>
        </w:tc>
      </w:tr>
      <w:tr>
        <w:trPr>
          <w:cantSplit/>
        </w:trPr>
        <w:tc>
          <w:tcPr>
            <w:tcW w:type="dxa" w:w="1656"/>
            <w:shd w:fill="F4F7FA"/>
            <w:vAlign w:val="center"/>
            <w:tcMar>
              <w:top w:w="100" w:type="dxa"/>
              <w:start w:w="120" w:type="dxa"/>
              <w:bottom w:w="100" w:type="dxa"/>
              <w:end w:w="120" w:type="dxa"/>
            </w:tcMar>
          </w:tcPr>
          <w:p>
            <w:pPr>
              <w:spacing w:before="0" w:after="0" w:line="252" w:lineRule="auto"/>
              <w:jc w:val="center"/>
            </w:pPr>
            <w:r>
              <w:rPr>
                <w:rFonts w:ascii="Aptos" w:hAnsi="Aptos"/>
                <w:b w:val="0"/>
                <w:color w:val="000000"/>
                <w:sz w:val="18"/>
              </w:rPr>
              <w:t>Runtime</w:t>
            </w:r>
          </w:p>
        </w:tc>
        <w:tc>
          <w:tcPr>
            <w:tcW w:type="dxa" w:w="4824"/>
            <w:shd w:fill="F4F7FA"/>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Actual rows and elapsed nanoseconds</w:t>
            </w:r>
          </w:p>
        </w:tc>
        <w:tc>
          <w:tcPr>
            <w:tcW w:type="dxa" w:w="3312"/>
            <w:shd w:fill="F4F7FA"/>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Existing SELECT path reused</w:t>
            </w:r>
          </w:p>
        </w:tc>
      </w:tr>
      <w:tr>
        <w:trPr>
          <w:cantSplit/>
        </w:trPr>
        <w:tc>
          <w:tcPr>
            <w:tcW w:type="dxa" w:w="1656"/>
            <w:shd w:fill="FFFFFF"/>
            <w:vAlign w:val="center"/>
            <w:tcMar>
              <w:top w:w="100" w:type="dxa"/>
              <w:start w:w="120" w:type="dxa"/>
              <w:bottom w:w="100" w:type="dxa"/>
              <w:end w:w="120" w:type="dxa"/>
            </w:tcMar>
          </w:tcPr>
          <w:p>
            <w:pPr>
              <w:spacing w:before="0" w:after="0" w:line="252" w:lineRule="auto"/>
              <w:jc w:val="center"/>
            </w:pPr>
            <w:r>
              <w:rPr>
                <w:rFonts w:ascii="Aptos" w:hAnsi="Aptos"/>
                <w:b w:val="0"/>
                <w:color w:val="000000"/>
                <w:sz w:val="18"/>
              </w:rPr>
              <w:t>Views</w:t>
            </w:r>
          </w:p>
        </w:tc>
        <w:tc>
          <w:tcPr>
            <w:tcW w:type="dxa" w:w="4824"/>
            <w:shd w:fill="FFFFFF"/>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Final materialized result measured</w:t>
            </w:r>
          </w:p>
        </w:tc>
        <w:tc>
          <w:tcPr>
            <w:tcW w:type="dxa" w:w="3312"/>
            <w:shd w:fill="FFFFFF"/>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Source plan remains visible</w:t>
            </w:r>
          </w:p>
        </w:tc>
      </w:tr>
      <w:tr>
        <w:trPr>
          <w:cantSplit/>
        </w:trPr>
        <w:tc>
          <w:tcPr>
            <w:tcW w:type="dxa" w:w="1656"/>
            <w:shd w:fill="F4F7FA"/>
            <w:vAlign w:val="center"/>
            <w:tcMar>
              <w:top w:w="100" w:type="dxa"/>
              <w:start w:w="120" w:type="dxa"/>
              <w:bottom w:w="100" w:type="dxa"/>
              <w:end w:w="120" w:type="dxa"/>
            </w:tcMar>
          </w:tcPr>
          <w:p>
            <w:pPr>
              <w:spacing w:before="0" w:after="0" w:line="252" w:lineRule="auto"/>
              <w:jc w:val="center"/>
            </w:pPr>
            <w:r>
              <w:rPr>
                <w:rFonts w:ascii="Aptos" w:hAnsi="Aptos"/>
                <w:b w:val="0"/>
                <w:color w:val="000000"/>
                <w:sz w:val="18"/>
              </w:rPr>
              <w:t>Verification</w:t>
            </w:r>
          </w:p>
        </w:tc>
        <w:tc>
          <w:tcPr>
            <w:tcW w:type="dxa" w:w="4824"/>
            <w:shd w:fill="F4F7FA"/>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2042 of 2042 tests passed</w:t>
            </w:r>
          </w:p>
        </w:tc>
        <w:tc>
          <w:tcPr>
            <w:tcW w:type="dxa" w:w="3312"/>
            <w:shd w:fill="F4F7FA"/>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Sprint 00-36 suite remains green</w:t>
            </w:r>
          </w:p>
        </w:tc>
      </w:tr>
    </w:tbl>
    <w:p>
      <w:pPr>
        <w:spacing w:after="0"/>
      </w:pPr>
    </w:p>
    <w:p>
      <w:pPr>
        <w:pStyle w:val="Heading1"/>
      </w:pPr>
      <w:r>
        <w:t>Scope and Design Decision</w:t>
      </w:r>
    </w:p>
    <w:p>
      <w:pPr/>
      <w:r>
        <w:rPr>
          <w:rFonts w:ascii="Aptos" w:hAnsi="Aptos"/>
          <w:color w:val="000000"/>
        </w:rPr>
        <w:t>The sprint treats EXPLAIN ANALYZE as a read-only diagnostic command. The parser accepts ANALYZE only immediately after EXPLAIN, so ANALYZE does not become a global reserved keyword. The statement and command models carry an explicit ExplainMode value. Their existing one-argument constructors still default to PLAN mode, which preserves source compatibility for current callers.</w:t>
      </w:r>
    </w:p>
    <w:p>
      <w:pPr/>
      <w:r>
        <w:rPr>
          <w:rFonts w:ascii="Aptos" w:hAnsi="Aptos"/>
          <w:color w:val="000000"/>
        </w:rPr>
        <w:t>The executor first builds the optimizer plan. In ANALYZE mode it then invokes the same SELECT route used by ordinary queries. This keeps view materialization, index-assisted execution, active isolation policy, and table read-lock behavior aligned with production query execution.</w:t>
      </w:r>
    </w:p>
    <w:p>
      <w:r>
        <w:br w:type="page"/>
      </w:r>
    </w:p>
    <w:p>
      <w:pPr>
        <w:pStyle w:val="Heading1"/>
      </w:pPr>
      <w:r>
        <w:t>Phase Delivery Plan</w:t>
      </w:r>
    </w:p>
    <w:p>
      <w:pPr>
        <w:pStyle w:val="Heading2"/>
      </w:pPr>
      <w:r>
        <w:t>Phase 1 Explain Mode Foundation</w:t>
      </w:r>
    </w:p>
    <w:p>
      <w:pPr/>
      <w:r>
        <w:rPr>
          <w:rFonts w:ascii="Aptos" w:hAnsi="Aptos"/>
          <w:color w:val="000000"/>
        </w:rPr>
        <w:t>Introduce the mode contract without changing existing callers.</w:t>
      </w:r>
    </w:p>
    <w:p>
      <w:pPr>
        <w:pStyle w:val="ListBullet"/>
      </w:pPr>
      <w:r>
        <w:rPr>
          <w:rFonts w:ascii="Aptos" w:hAnsi="Aptos"/>
          <w:color w:val="000000"/>
        </w:rPr>
        <w:t>Add ExplainMode with PLAN and ANALYZE values.</w:t>
      </w:r>
    </w:p>
    <w:p>
      <w:pPr>
        <w:pStyle w:val="ListBullet"/>
      </w:pPr>
      <w:r>
        <w:rPr>
          <w:rFonts w:ascii="Aptos" w:hAnsi="Aptos"/>
          <w:color w:val="000000"/>
        </w:rPr>
        <w:t>Extend ExplainStatement and ExplainCommand with mode metadata.</w:t>
      </w:r>
    </w:p>
    <w:p>
      <w:pPr>
        <w:pStyle w:val="ListBullet"/>
      </w:pPr>
      <w:r>
        <w:rPr>
          <w:rFonts w:ascii="Aptos" w:hAnsi="Aptos"/>
          <w:color w:val="000000"/>
        </w:rPr>
        <w:t>Keep legacy constructors mapped to PLAN mode.</w:t>
      </w:r>
    </w:p>
    <w:p>
      <w:pPr/>
      <w:r>
        <w:rPr>
          <w:rFonts w:ascii="Aptos" w:hAnsi="Aptos"/>
          <w:color w:val="000000"/>
        </w:rPr>
        <w:t>Compile and test gate</w:t>
      </w:r>
    </w:p>
    <w:p>
      <w:pPr>
        <w:spacing w:before="60" w:after="160" w:line="252" w:lineRule="auto"/>
        <w:ind w:left="360" w:right="216"/>
        <w:shd w:fill="F2F2F2"/>
      </w:pPr>
      <w:r>
        <w:rPr>
          <w:rFonts w:ascii="Consolas" w:hAnsi="Consolas"/>
          <w:color w:val="000000"/>
          <w:sz w:val="18"/>
        </w:rPr>
        <w:t>mvn -Dtest=ExplainStatementTest test</w:t>
      </w:r>
    </w:p>
    <w:p>
      <w:pPr>
        <w:pStyle w:val="Heading2"/>
      </w:pPr>
      <w:r>
        <w:t>Phase 2 SQL Parsing and Mapping</w:t>
      </w:r>
    </w:p>
    <w:p>
      <w:pPr/>
      <w:r>
        <w:rPr>
          <w:rFonts w:ascii="Aptos" w:hAnsi="Aptos"/>
          <w:color w:val="000000"/>
        </w:rPr>
        <w:t>Accept analyze syntax and carry its mode into execution.</w:t>
      </w:r>
    </w:p>
    <w:p>
      <w:pPr>
        <w:pStyle w:val="ListBullet"/>
      </w:pPr>
      <w:r>
        <w:rPr>
          <w:rFonts w:ascii="Aptos" w:hAnsi="Aptos"/>
          <w:color w:val="000000"/>
        </w:rPr>
        <w:t>Parse EXPLAIN ANALYZE SELECT without reserving ANALYZE globally.</w:t>
      </w:r>
    </w:p>
    <w:p>
      <w:pPr>
        <w:pStyle w:val="ListBullet"/>
      </w:pPr>
      <w:r>
        <w:rPr>
          <w:rFonts w:ascii="Aptos" w:hAnsi="Aptos"/>
          <w:color w:val="000000"/>
        </w:rPr>
        <w:t>Preserve ExplainMode through StatementCommandMapper.</w:t>
      </w:r>
    </w:p>
    <w:p>
      <w:pPr>
        <w:pStyle w:val="ListBullet"/>
      </w:pPr>
      <w:r>
        <w:rPr>
          <w:rFonts w:ascii="Aptos" w:hAnsi="Aptos"/>
          <w:color w:val="000000"/>
        </w:rPr>
        <w:t>Continue rejecting INSERT UPDATE and DELETE targets.</w:t>
      </w:r>
    </w:p>
    <w:p>
      <w:pPr/>
      <w:r>
        <w:rPr>
          <w:rFonts w:ascii="Aptos" w:hAnsi="Aptos"/>
          <w:color w:val="000000"/>
        </w:rPr>
        <w:t>Compile and test gate</w:t>
      </w:r>
    </w:p>
    <w:p>
      <w:pPr>
        <w:spacing w:before="60" w:after="160" w:line="252" w:lineRule="auto"/>
        <w:ind w:left="360" w:right="216"/>
        <w:shd w:fill="F2F2F2"/>
      </w:pPr>
      <w:r>
        <w:rPr>
          <w:rFonts w:ascii="Consolas" w:hAnsi="Consolas"/>
          <w:color w:val="000000"/>
          <w:sz w:val="18"/>
        </w:rPr>
        <w:t>mvn -Dtest=SqlParserExplainTest,StatementCommandMapperExplainTest test</w:t>
      </w:r>
    </w:p>
    <w:p>
      <w:pPr>
        <w:pStyle w:val="Heading2"/>
      </w:pPr>
      <w:r>
        <w:t>Phase 3 Runtime Analysis</w:t>
      </w:r>
    </w:p>
    <w:p>
      <w:pPr/>
      <w:r>
        <w:rPr>
          <w:rFonts w:ascii="Aptos" w:hAnsi="Aptos"/>
          <w:color w:val="000000"/>
        </w:rPr>
        <w:t>Execute the SELECT once and append runtime measurements to the plan.</w:t>
      </w:r>
    </w:p>
    <w:p>
      <w:pPr>
        <w:pStyle w:val="ListBullet"/>
      </w:pPr>
      <w:r>
        <w:rPr>
          <w:rFonts w:ascii="Aptos" w:hAnsi="Aptos"/>
          <w:color w:val="000000"/>
        </w:rPr>
        <w:t>Generate the optimizer plan before target execution.</w:t>
      </w:r>
    </w:p>
    <w:p>
      <w:pPr>
        <w:pStyle w:val="ListBullet"/>
      </w:pPr>
      <w:r>
        <w:rPr>
          <w:rFonts w:ascii="Aptos" w:hAnsi="Aptos"/>
          <w:color w:val="000000"/>
        </w:rPr>
        <w:t>Report ANALYZE TRUE ACTUAL_ROWS and EXECUTION_TIME_NANOS.</w:t>
      </w:r>
    </w:p>
    <w:p>
      <w:pPr>
        <w:pStyle w:val="ListBullet"/>
      </w:pPr>
      <w:r>
        <w:rPr>
          <w:rFonts w:ascii="Aptos" w:hAnsi="Aptos"/>
          <w:color w:val="000000"/>
        </w:rPr>
        <w:t>Keep selected data rows out of the diagnostic result.</w:t>
      </w:r>
    </w:p>
    <w:p>
      <w:pPr/>
      <w:r>
        <w:rPr>
          <w:rFonts w:ascii="Aptos" w:hAnsi="Aptos"/>
          <w:color w:val="000000"/>
        </w:rPr>
        <w:t>Compile and test gate</w:t>
      </w:r>
    </w:p>
    <w:p>
      <w:pPr>
        <w:spacing w:before="60" w:after="160" w:line="252" w:lineRule="auto"/>
        <w:ind w:left="360" w:right="216"/>
        <w:shd w:fill="F2F2F2"/>
      </w:pPr>
      <w:r>
        <w:rPr>
          <w:rFonts w:ascii="Consolas" w:hAnsi="Consolas"/>
          <w:color w:val="000000"/>
          <w:sz w:val="18"/>
        </w:rPr>
        <w:t>mvn -Dtest=ExplainCommandExecutionSupportTest,QueryExecutorExplainTest test</w:t>
      </w:r>
    </w:p>
    <w:p>
      <w:r>
        <w:br w:type="page"/>
      </w:r>
    </w:p>
    <w:p>
      <w:pPr>
        <w:pStyle w:val="Heading2"/>
      </w:pPr>
      <w:r>
        <w:t>Phase 4 View and Concurrency Integration</w:t>
      </w:r>
    </w:p>
    <w:p>
      <w:pPr/>
      <w:r>
        <w:rPr>
          <w:rFonts w:ascii="Aptos" w:hAnsi="Aptos"/>
          <w:color w:val="000000"/>
        </w:rPr>
        <w:t>Measure view queries through the same materialization and lock path as ordinary SELECT statements.</w:t>
      </w:r>
    </w:p>
    <w:p>
      <w:pPr>
        <w:pStyle w:val="ListBullet"/>
      </w:pPr>
      <w:r>
        <w:rPr>
          <w:rFonts w:ascii="Aptos" w:hAnsi="Aptos"/>
          <w:color w:val="000000"/>
        </w:rPr>
        <w:t>Retain VIEW and VIEW_SOURCE plan rows.</w:t>
      </w:r>
    </w:p>
    <w:p>
      <w:pPr>
        <w:pStyle w:val="ListBullet"/>
      </w:pPr>
      <w:r>
        <w:rPr>
          <w:rFonts w:ascii="Aptos" w:hAnsi="Aptos"/>
          <w:color w:val="000000"/>
        </w:rPr>
        <w:t>Measure the final outer query result after view materialization.</w:t>
      </w:r>
    </w:p>
    <w:p>
      <w:pPr>
        <w:pStyle w:val="ListBullet"/>
      </w:pPr>
      <w:r>
        <w:rPr>
          <w:rFonts w:ascii="Aptos" w:hAnsi="Aptos"/>
          <w:color w:val="000000"/>
        </w:rPr>
        <w:t>Reuse isolation-aware read-lock acquisition and release behavior.</w:t>
      </w:r>
    </w:p>
    <w:p>
      <w:pPr/>
      <w:r>
        <w:rPr>
          <w:rFonts w:ascii="Aptos" w:hAnsi="Aptos"/>
          <w:color w:val="000000"/>
        </w:rPr>
        <w:t>Compile and test gate</w:t>
      </w:r>
    </w:p>
    <w:p>
      <w:pPr>
        <w:spacing w:before="60" w:after="160" w:line="252" w:lineRule="auto"/>
        <w:ind w:left="360" w:right="216"/>
        <w:shd w:fill="F2F2F2"/>
      </w:pPr>
      <w:r>
        <w:rPr>
          <w:rFonts w:ascii="Consolas" w:hAnsi="Consolas"/>
          <w:color w:val="000000"/>
          <w:sz w:val="18"/>
        </w:rPr>
        <w:t>mvn -Dtest=QueryExecutorExplainViewTest,QueryExecutorReadLockIsolationTest test</w:t>
      </w:r>
    </w:p>
    <w:p>
      <w:pPr>
        <w:pStyle w:val="Heading2"/>
      </w:pPr>
      <w:r>
        <w:t>Phase 5 Regression Closure</w:t>
      </w:r>
    </w:p>
    <w:p>
      <w:pPr/>
      <w:r>
        <w:rPr>
          <w:rFonts w:ascii="Aptos" w:hAnsi="Aptos"/>
          <w:color w:val="000000"/>
        </w:rPr>
        <w:t>Run focused EXPLAIN coverage followed by the complete project suite.</w:t>
      </w:r>
    </w:p>
    <w:p>
      <w:pPr>
        <w:pStyle w:val="ListBullet"/>
      </w:pPr>
      <w:r>
        <w:rPr>
          <w:rFonts w:ascii="Aptos" w:hAnsi="Aptos"/>
          <w:color w:val="000000"/>
        </w:rPr>
        <w:t>Verify plan-only behavior remains unchanged.</w:t>
      </w:r>
    </w:p>
    <w:p>
      <w:pPr>
        <w:pStyle w:val="ListBullet"/>
      </w:pPr>
      <w:r>
        <w:rPr>
          <w:rFonts w:ascii="Aptos" w:hAnsi="Aptos"/>
          <w:color w:val="000000"/>
        </w:rPr>
        <w:t>Verify parser mapper runtime view transaction and concurrency coverage.</w:t>
      </w:r>
    </w:p>
    <w:p>
      <w:pPr>
        <w:pStyle w:val="ListBullet"/>
      </w:pPr>
      <w:r>
        <w:rPr>
          <w:rFonts w:ascii="Aptos" w:hAnsi="Aptos"/>
          <w:color w:val="000000"/>
        </w:rPr>
        <w:t>Run a clean Java 21 build before release review.</w:t>
      </w:r>
    </w:p>
    <w:p>
      <w:pPr/>
      <w:r>
        <w:rPr>
          <w:rFonts w:ascii="Aptos" w:hAnsi="Aptos"/>
          <w:color w:val="000000"/>
        </w:rPr>
        <w:t>Compile and test gate</w:t>
      </w:r>
    </w:p>
    <w:p>
      <w:pPr>
        <w:spacing w:before="60" w:after="160" w:line="252" w:lineRule="auto"/>
        <w:ind w:left="360" w:right="216"/>
        <w:shd w:fill="F2F2F2"/>
      </w:pPr>
      <w:r>
        <w:rPr>
          <w:rFonts w:ascii="Consolas" w:hAnsi="Consolas"/>
          <w:color w:val="000000"/>
          <w:sz w:val="18"/>
        </w:rPr>
        <w:t>mvn -Dtest='*Explain*' test</w:t>
        <w:br/>
        <w:t>mvn clean test</w:t>
      </w:r>
    </w:p>
    <w:p>
      <w:pPr>
        <w:pStyle w:val="Heading1"/>
      </w:pPr>
      <w:r>
        <w:t>Execution Flow</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4"/>
        <w:gridCol w:w="3264"/>
        <w:gridCol w:w="3264"/>
      </w:tblGrid>
      <w:tr>
        <w:trPr>
          <w:tblHeader w:val="true"/>
          <w:cantSplit/>
        </w:trPr>
        <w:tc>
          <w:tcPr>
            <w:tcW w:type="dxa" w:w="792"/>
            <w:shd w:fill="17365D"/>
            <w:vAlign w:val="center"/>
            <w:tcMar>
              <w:top w:w="100" w:type="dxa"/>
              <w:start w:w="120" w:type="dxa"/>
              <w:bottom w:w="100" w:type="dxa"/>
              <w:end w:w="120" w:type="dxa"/>
            </w:tcMar>
          </w:tcPr>
          <w:p>
            <w:pPr>
              <w:spacing w:before="0" w:after="0" w:line="252" w:lineRule="auto"/>
              <w:jc w:val="center"/>
            </w:pPr>
            <w:r>
              <w:rPr>
                <w:rFonts w:ascii="Aptos" w:hAnsi="Aptos"/>
                <w:b/>
                <w:color w:val="FFFFFF"/>
                <w:sz w:val="18"/>
              </w:rPr>
              <w:t>Step</w:t>
            </w:r>
          </w:p>
        </w:tc>
        <w:tc>
          <w:tcPr>
            <w:tcW w:type="dxa" w:w="3528"/>
            <w:shd w:fill="17365D"/>
            <w:vAlign w:val="center"/>
            <w:tcMar>
              <w:top w:w="100" w:type="dxa"/>
              <w:start w:w="120" w:type="dxa"/>
              <w:bottom w:w="100" w:type="dxa"/>
              <w:end w:w="120" w:type="dxa"/>
            </w:tcMar>
          </w:tcPr>
          <w:p>
            <w:pPr>
              <w:spacing w:before="0" w:after="0" w:line="252" w:lineRule="auto"/>
              <w:jc w:val="center"/>
            </w:pPr>
            <w:r>
              <w:rPr>
                <w:rFonts w:ascii="Aptos" w:hAnsi="Aptos"/>
                <w:b/>
                <w:color w:val="FFFFFF"/>
                <w:sz w:val="18"/>
              </w:rPr>
              <w:t>Component</w:t>
            </w:r>
          </w:p>
        </w:tc>
        <w:tc>
          <w:tcPr>
            <w:tcW w:type="dxa" w:w="5472"/>
            <w:shd w:fill="17365D"/>
            <w:vAlign w:val="center"/>
            <w:tcMar>
              <w:top w:w="100" w:type="dxa"/>
              <w:start w:w="120" w:type="dxa"/>
              <w:bottom w:w="100" w:type="dxa"/>
              <w:end w:w="120" w:type="dxa"/>
            </w:tcMar>
          </w:tcPr>
          <w:p>
            <w:pPr>
              <w:spacing w:before="0" w:after="0" w:line="252" w:lineRule="auto"/>
              <w:jc w:val="center"/>
            </w:pPr>
            <w:r>
              <w:rPr>
                <w:rFonts w:ascii="Aptos" w:hAnsi="Aptos"/>
                <w:b/>
                <w:color w:val="FFFFFF"/>
                <w:sz w:val="18"/>
              </w:rPr>
              <w:t>Responsibility</w:t>
            </w:r>
          </w:p>
        </w:tc>
      </w:tr>
      <w:tr>
        <w:trPr>
          <w:cantSplit/>
        </w:trPr>
        <w:tc>
          <w:tcPr>
            <w:tcW w:type="dxa" w:w="792"/>
            <w:shd w:fill="FFFFFF"/>
            <w:vAlign w:val="center"/>
            <w:tcMar>
              <w:top w:w="100" w:type="dxa"/>
              <w:start w:w="120" w:type="dxa"/>
              <w:bottom w:w="100" w:type="dxa"/>
              <w:end w:w="120" w:type="dxa"/>
            </w:tcMar>
          </w:tcPr>
          <w:p>
            <w:pPr>
              <w:spacing w:before="0" w:after="0" w:line="252" w:lineRule="auto"/>
              <w:jc w:val="center"/>
            </w:pPr>
            <w:r>
              <w:rPr>
                <w:rFonts w:ascii="Aptos" w:hAnsi="Aptos"/>
                <w:b w:val="0"/>
                <w:color w:val="000000"/>
                <w:sz w:val="18"/>
              </w:rPr>
              <w:t>1</w:t>
            </w:r>
          </w:p>
        </w:tc>
        <w:tc>
          <w:tcPr>
            <w:tcW w:type="dxa" w:w="3528"/>
            <w:shd w:fill="FFFFFF"/>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SqlParser</w:t>
            </w:r>
          </w:p>
        </w:tc>
        <w:tc>
          <w:tcPr>
            <w:tcW w:type="dxa" w:w="5472"/>
            <w:shd w:fill="FFFFFF"/>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Recognize PLAN or ANALYZE mode</w:t>
            </w:r>
          </w:p>
        </w:tc>
      </w:tr>
      <w:tr>
        <w:trPr>
          <w:cantSplit/>
        </w:trPr>
        <w:tc>
          <w:tcPr>
            <w:tcW w:type="dxa" w:w="792"/>
            <w:shd w:fill="F4F7FA"/>
            <w:vAlign w:val="center"/>
            <w:tcMar>
              <w:top w:w="100" w:type="dxa"/>
              <w:start w:w="120" w:type="dxa"/>
              <w:bottom w:w="100" w:type="dxa"/>
              <w:end w:w="120" w:type="dxa"/>
            </w:tcMar>
          </w:tcPr>
          <w:p>
            <w:pPr>
              <w:spacing w:before="0" w:after="0" w:line="252" w:lineRule="auto"/>
              <w:jc w:val="center"/>
            </w:pPr>
            <w:r>
              <w:rPr>
                <w:rFonts w:ascii="Aptos" w:hAnsi="Aptos"/>
                <w:b w:val="0"/>
                <w:color w:val="000000"/>
                <w:sz w:val="18"/>
              </w:rPr>
              <w:t>2</w:t>
            </w:r>
          </w:p>
        </w:tc>
        <w:tc>
          <w:tcPr>
            <w:tcW w:type="dxa" w:w="3528"/>
            <w:shd w:fill="F4F7FA"/>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StatementCommandMapper</w:t>
            </w:r>
          </w:p>
        </w:tc>
        <w:tc>
          <w:tcPr>
            <w:tcW w:type="dxa" w:w="5472"/>
            <w:shd w:fill="F4F7FA"/>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Preserve mode and SELECT statement</w:t>
            </w:r>
          </w:p>
        </w:tc>
      </w:tr>
      <w:tr>
        <w:trPr>
          <w:cantSplit/>
        </w:trPr>
        <w:tc>
          <w:tcPr>
            <w:tcW w:type="dxa" w:w="792"/>
            <w:shd w:fill="FFFFFF"/>
            <w:vAlign w:val="center"/>
            <w:tcMar>
              <w:top w:w="100" w:type="dxa"/>
              <w:start w:w="120" w:type="dxa"/>
              <w:bottom w:w="100" w:type="dxa"/>
              <w:end w:w="120" w:type="dxa"/>
            </w:tcMar>
          </w:tcPr>
          <w:p>
            <w:pPr>
              <w:spacing w:before="0" w:after="0" w:line="252" w:lineRule="auto"/>
              <w:jc w:val="center"/>
            </w:pPr>
            <w:r>
              <w:rPr>
                <w:rFonts w:ascii="Aptos" w:hAnsi="Aptos"/>
                <w:b w:val="0"/>
                <w:color w:val="000000"/>
                <w:sz w:val="18"/>
              </w:rPr>
              <w:t>3</w:t>
            </w:r>
          </w:p>
        </w:tc>
        <w:tc>
          <w:tcPr>
            <w:tcW w:type="dxa" w:w="3528"/>
            <w:shd w:fill="FFFFFF"/>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ExplainCommandExecutionSupport</w:t>
            </w:r>
          </w:p>
        </w:tc>
        <w:tc>
          <w:tcPr>
            <w:tcW w:type="dxa" w:w="5472"/>
            <w:shd w:fill="FFFFFF"/>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Build optimizer plan rows</w:t>
            </w:r>
          </w:p>
        </w:tc>
      </w:tr>
      <w:tr>
        <w:trPr>
          <w:cantSplit/>
        </w:trPr>
        <w:tc>
          <w:tcPr>
            <w:tcW w:type="dxa" w:w="792"/>
            <w:shd w:fill="F4F7FA"/>
            <w:vAlign w:val="center"/>
            <w:tcMar>
              <w:top w:w="100" w:type="dxa"/>
              <w:start w:w="120" w:type="dxa"/>
              <w:bottom w:w="100" w:type="dxa"/>
              <w:end w:w="120" w:type="dxa"/>
            </w:tcMar>
          </w:tcPr>
          <w:p>
            <w:pPr>
              <w:spacing w:before="0" w:after="0" w:line="252" w:lineRule="auto"/>
              <w:jc w:val="center"/>
            </w:pPr>
            <w:r>
              <w:rPr>
                <w:rFonts w:ascii="Aptos" w:hAnsi="Aptos"/>
                <w:b w:val="0"/>
                <w:color w:val="000000"/>
                <w:sz w:val="18"/>
              </w:rPr>
              <w:t>4</w:t>
            </w:r>
          </w:p>
        </w:tc>
        <w:tc>
          <w:tcPr>
            <w:tcW w:type="dxa" w:w="3528"/>
            <w:shd w:fill="F4F7FA"/>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QueryExecutor</w:t>
            </w:r>
          </w:p>
        </w:tc>
        <w:tc>
          <w:tcPr>
            <w:tcW w:type="dxa" w:w="5472"/>
            <w:shd w:fill="F4F7FA"/>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Run SELECT once when mode is ANALYZE</w:t>
            </w:r>
          </w:p>
        </w:tc>
      </w:tr>
      <w:tr>
        <w:trPr>
          <w:cantSplit/>
        </w:trPr>
        <w:tc>
          <w:tcPr>
            <w:tcW w:type="dxa" w:w="792"/>
            <w:shd w:fill="FFFFFF"/>
            <w:vAlign w:val="center"/>
            <w:tcMar>
              <w:top w:w="100" w:type="dxa"/>
              <w:start w:w="120" w:type="dxa"/>
              <w:bottom w:w="100" w:type="dxa"/>
              <w:end w:w="120" w:type="dxa"/>
            </w:tcMar>
          </w:tcPr>
          <w:p>
            <w:pPr>
              <w:spacing w:before="0" w:after="0" w:line="252" w:lineRule="auto"/>
              <w:jc w:val="center"/>
            </w:pPr>
            <w:r>
              <w:rPr>
                <w:rFonts w:ascii="Aptos" w:hAnsi="Aptos"/>
                <w:b w:val="0"/>
                <w:color w:val="000000"/>
                <w:sz w:val="18"/>
              </w:rPr>
              <w:t>5</w:t>
            </w:r>
          </w:p>
        </w:tc>
        <w:tc>
          <w:tcPr>
            <w:tcW w:type="dxa" w:w="3528"/>
            <w:shd w:fill="FFFFFF"/>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ExplainCommandExecutionSupport</w:t>
            </w:r>
          </w:p>
        </w:tc>
        <w:tc>
          <w:tcPr>
            <w:tcW w:type="dxa" w:w="5472"/>
            <w:shd w:fill="FFFFFF"/>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Append actual rows and elapsed time</w:t>
            </w:r>
          </w:p>
        </w:tc>
      </w:tr>
    </w:tbl>
    <w:p>
      <w:pPr>
        <w:spacing w:after="0"/>
      </w:pPr>
    </w:p>
    <w:p>
      <w:r>
        <w:br w:type="page"/>
      </w:r>
    </w:p>
    <w:p>
      <w:pPr>
        <w:pStyle w:val="Heading1"/>
      </w:pPr>
      <w:r>
        <w:t>SQL Contract</w:t>
      </w:r>
    </w:p>
    <w:p>
      <w:pPr/>
      <w:r>
        <w:rPr>
          <w:rFonts w:ascii="Aptos" w:hAnsi="Aptos"/>
          <w:color w:val="000000"/>
        </w:rPr>
        <w:t>Plan-only inspection</w:t>
      </w:r>
    </w:p>
    <w:p>
      <w:pPr>
        <w:spacing w:before="60" w:after="160" w:line="252" w:lineRule="auto"/>
        <w:ind w:left="360" w:right="216"/>
        <w:shd w:fill="F2F2F2"/>
      </w:pPr>
      <w:r>
        <w:rPr>
          <w:rFonts w:ascii="Consolas" w:hAnsi="Consolas"/>
          <w:color w:val="000000"/>
          <w:sz w:val="18"/>
        </w:rPr>
        <w:t>EXPLAIN SELECT id, name</w:t>
        <w:br/>
      </w:r>
      <w:r>
        <w:rPr>
          <w:rFonts w:ascii="Consolas" w:hAnsi="Consolas"/>
          <w:color w:val="000000"/>
          <w:sz w:val="18"/>
        </w:rPr>
        <w:t>FROM users</w:t>
        <w:br/>
      </w:r>
      <w:r>
        <w:rPr>
          <w:rFonts w:ascii="Consolas" w:hAnsi="Consolas"/>
          <w:color w:val="000000"/>
          <w:sz w:val="18"/>
        </w:rPr>
        <w:t>WHERE age &gt;= 18;</w:t>
      </w:r>
    </w:p>
    <w:p>
      <w:pPr/>
      <w:r>
        <w:rPr>
          <w:rFonts w:ascii="Aptos" w:hAnsi="Aptos"/>
          <w:color w:val="000000"/>
        </w:rPr>
        <w:t>Runtime inspection</w:t>
      </w:r>
    </w:p>
    <w:p>
      <w:pPr>
        <w:spacing w:before="60" w:after="160" w:line="252" w:lineRule="auto"/>
        <w:ind w:left="360" w:right="216"/>
        <w:shd w:fill="F2F2F2"/>
      </w:pPr>
      <w:r>
        <w:rPr>
          <w:rFonts w:ascii="Consolas" w:hAnsi="Consolas"/>
          <w:color w:val="000000"/>
          <w:sz w:val="18"/>
        </w:rPr>
        <w:t>EXPLAIN ANALYZE SELECT id, name</w:t>
        <w:br/>
      </w:r>
      <w:r>
        <w:rPr>
          <w:rFonts w:ascii="Consolas" w:hAnsi="Consolas"/>
          <w:color w:val="000000"/>
          <w:sz w:val="18"/>
        </w:rPr>
        <w:t>FROM users</w:t>
        <w:br/>
      </w:r>
      <w:r>
        <w:rPr>
          <w:rFonts w:ascii="Consolas" w:hAnsi="Consolas"/>
          <w:color w:val="000000"/>
          <w:sz w:val="18"/>
        </w:rPr>
        <w:t>WHERE age &gt;= 18;</w:t>
      </w:r>
    </w:p>
    <w:p>
      <w:pPr>
        <w:pStyle w:val="Heading1"/>
      </w:pPr>
      <w:r>
        <w:t>Output Contract</w:t>
      </w:r>
    </w:p>
    <w:p>
      <w:pPr/>
      <w:r>
        <w:rPr>
          <w:rFonts w:ascii="Aptos" w:hAnsi="Aptos"/>
          <w:color w:val="000000"/>
        </w:rPr>
        <w:t>Analyze mode appends three rows after the existing optimizer plan. ACTUAL_ROWS reports the final SELECT result size after filtering projection grouping ordering and row limits. EXECUTION_TIME_NANOS is a non-negative integer measured with System.nanoTime.</w:t>
      </w:r>
    </w:p>
    <w:p>
      <w:pPr>
        <w:spacing w:before="60" w:after="160" w:line="252" w:lineRule="auto"/>
        <w:ind w:left="360" w:right="216"/>
        <w:shd w:fill="F2F2F2"/>
      </w:pPr>
      <w:r>
        <w:rPr>
          <w:rFonts w:ascii="Consolas" w:hAnsi="Consolas"/>
          <w:color w:val="000000"/>
          <w:sz w:val="18"/>
        </w:rPr>
        <w:t>PLAN: FULL_TABLE_SCAN</w:t>
        <w:br/>
      </w:r>
      <w:r>
        <w:rPr>
          <w:rFonts w:ascii="Consolas" w:hAnsi="Consolas"/>
          <w:color w:val="000000"/>
          <w:sz w:val="18"/>
        </w:rPr>
        <w:t>INDEX: NONE</w:t>
        <w:br/>
      </w:r>
      <w:r>
        <w:rPr>
          <w:rFonts w:ascii="Consolas" w:hAnsi="Consolas"/>
          <w:color w:val="000000"/>
          <w:sz w:val="18"/>
        </w:rPr>
        <w:t>ORIGINAL_WHERE: age GREATER_THAN_OR_EQUALS 18</w:t>
        <w:br/>
      </w:r>
      <w:r>
        <w:rPr>
          <w:rFonts w:ascii="Consolas" w:hAnsi="Consolas"/>
          <w:color w:val="000000"/>
          <w:sz w:val="18"/>
        </w:rPr>
        <w:t>OPTIMIZED_WHERE: age GREATER_THAN_OR_EQUALS 18</w:t>
        <w:br/>
      </w:r>
      <w:r>
        <w:rPr>
          <w:rFonts w:ascii="Consolas" w:hAnsi="Consolas"/>
          <w:color w:val="000000"/>
          <w:sz w:val="18"/>
        </w:rPr>
        <w:t>ACCESS_PREDICATE: NONE</w:t>
        <w:br/>
      </w:r>
      <w:r>
        <w:rPr>
          <w:rFonts w:ascii="Consolas" w:hAnsi="Consolas"/>
          <w:color w:val="000000"/>
          <w:sz w:val="18"/>
        </w:rPr>
        <w:t>RESIDUAL_PREDICATE: age GREATER_THAN_OR_EQUALS 18</w:t>
        <w:br/>
      </w:r>
      <w:r>
        <w:rPr>
          <w:rFonts w:ascii="Consolas" w:hAnsi="Consolas"/>
          <w:color w:val="000000"/>
          <w:sz w:val="18"/>
        </w:rPr>
        <w:t>ANALYZE: TRUE</w:t>
        <w:br/>
      </w:r>
      <w:r>
        <w:rPr>
          <w:rFonts w:ascii="Consolas" w:hAnsi="Consolas"/>
          <w:color w:val="000000"/>
          <w:sz w:val="18"/>
        </w:rPr>
        <w:t>ACTUAL_ROWS: 2</w:t>
        <w:br/>
      </w:r>
      <w:r>
        <w:rPr>
          <w:rFonts w:ascii="Consolas" w:hAnsi="Consolas"/>
          <w:color w:val="000000"/>
          <w:sz w:val="18"/>
        </w:rPr>
        <w:t>EXECUTION_TIME_NANOS: 123456</w:t>
      </w:r>
    </w:p>
    <w:p>
      <w:pPr>
        <w:pStyle w:val="Heading1"/>
      </w:pPr>
      <w:r>
        <w:t>Execution Semantics</w:t>
      </w:r>
    </w:p>
    <w:p>
      <w:pPr>
        <w:pStyle w:val="ListBullet"/>
      </w:pPr>
      <w:r>
        <w:rPr>
          <w:rFonts w:ascii="Aptos" w:hAnsi="Aptos"/>
          <w:color w:val="000000"/>
        </w:rPr>
        <w:t>Plain EXPLAIN builds a plan and does not execute the SELECT.</w:t>
      </w:r>
    </w:p>
    <w:p>
      <w:pPr>
        <w:pStyle w:val="ListBullet"/>
      </w:pPr>
      <w:r>
        <w:rPr>
          <w:rFonts w:ascii="Aptos" w:hAnsi="Aptos"/>
          <w:color w:val="000000"/>
        </w:rPr>
        <w:t>EXPLAIN ANALYZE executes the SELECT exactly once.</w:t>
      </w:r>
    </w:p>
    <w:p>
      <w:pPr>
        <w:pStyle w:val="ListBullet"/>
      </w:pPr>
      <w:r>
        <w:rPr>
          <w:rFonts w:ascii="Aptos" w:hAnsi="Aptos"/>
          <w:color w:val="000000"/>
        </w:rPr>
        <w:t>The measured interval includes SELECT execution and applicable read-lock handling.</w:t>
      </w:r>
    </w:p>
    <w:p>
      <w:pPr>
        <w:pStyle w:val="ListBullet"/>
      </w:pPr>
      <w:r>
        <w:rPr>
          <w:rFonts w:ascii="Aptos" w:hAnsi="Aptos"/>
          <w:color w:val="000000"/>
        </w:rPr>
        <w:t>View analysis includes source materialization and the final outer query.</w:t>
      </w:r>
    </w:p>
    <w:p>
      <w:pPr>
        <w:pStyle w:val="ListBullet"/>
      </w:pPr>
      <w:r>
        <w:rPr>
          <w:rFonts w:ascii="Aptos" w:hAnsi="Aptos"/>
          <w:color w:val="000000"/>
        </w:rPr>
        <w:t>A failed SELECT follows the existing query error path and is not reported as a successful analysis.</w:t>
      </w:r>
    </w:p>
    <w:p>
      <w:pPr>
        <w:pStyle w:val="ListBullet"/>
      </w:pPr>
      <w:r>
        <w:rPr>
          <w:rFonts w:ascii="Aptos" w:hAnsi="Aptos"/>
          <w:color w:val="000000"/>
        </w:rPr>
        <w:t>Only SELECT targets are supported, so analyze mode does not mutate table data.</w:t>
      </w:r>
    </w:p>
    <w:p>
      <w:r>
        <w:br w:type="page"/>
      </w:r>
    </w:p>
    <w:p>
      <w:pPr>
        <w:pStyle w:val="Heading1"/>
      </w:pPr>
      <w:r>
        <w:t>Changed Files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4"/>
        <w:gridCol w:w="3264"/>
        <w:gridCol w:w="3264"/>
      </w:tblGrid>
      <w:tr>
        <w:trPr>
          <w:tblHeader w:val="true"/>
          <w:cantSplit/>
        </w:trPr>
        <w:tc>
          <w:tcPr>
            <w:tcW w:type="dxa" w:w="1080"/>
            <w:shd w:fill="17365D"/>
            <w:vAlign w:val="center"/>
            <w:tcMar>
              <w:top w:w="100" w:type="dxa"/>
              <w:start w:w="120" w:type="dxa"/>
              <w:bottom w:w="100" w:type="dxa"/>
              <w:end w:w="120" w:type="dxa"/>
            </w:tcMar>
          </w:tcPr>
          <w:p>
            <w:pPr>
              <w:spacing w:before="0" w:after="0" w:line="252" w:lineRule="auto"/>
              <w:jc w:val="center"/>
            </w:pPr>
            <w:r>
              <w:rPr>
                <w:rFonts w:ascii="Aptos" w:hAnsi="Aptos"/>
                <w:b/>
                <w:color w:val="FFFFFF"/>
                <w:sz w:val="18"/>
              </w:rPr>
              <w:t>Type</w:t>
            </w:r>
          </w:p>
        </w:tc>
        <w:tc>
          <w:tcPr>
            <w:tcW w:type="dxa" w:w="5256"/>
            <w:shd w:fill="17365D"/>
            <w:vAlign w:val="center"/>
            <w:tcMar>
              <w:top w:w="100" w:type="dxa"/>
              <w:start w:w="120" w:type="dxa"/>
              <w:bottom w:w="100" w:type="dxa"/>
              <w:end w:w="120" w:type="dxa"/>
            </w:tcMar>
          </w:tcPr>
          <w:p>
            <w:pPr>
              <w:spacing w:before="0" w:after="0" w:line="252" w:lineRule="auto"/>
              <w:jc w:val="center"/>
            </w:pPr>
            <w:r>
              <w:rPr>
                <w:rFonts w:ascii="Aptos" w:hAnsi="Aptos"/>
                <w:b/>
                <w:color w:val="FFFFFF"/>
                <w:sz w:val="18"/>
              </w:rPr>
              <w:t>Path</w:t>
            </w:r>
          </w:p>
        </w:tc>
        <w:tc>
          <w:tcPr>
            <w:tcW w:type="dxa" w:w="3456"/>
            <w:shd w:fill="17365D"/>
            <w:vAlign w:val="center"/>
            <w:tcMar>
              <w:top w:w="100" w:type="dxa"/>
              <w:start w:w="120" w:type="dxa"/>
              <w:bottom w:w="100" w:type="dxa"/>
              <w:end w:w="120" w:type="dxa"/>
            </w:tcMar>
          </w:tcPr>
          <w:p>
            <w:pPr>
              <w:spacing w:before="0" w:after="0" w:line="252" w:lineRule="auto"/>
              <w:jc w:val="center"/>
            </w:pPr>
            <w:r>
              <w:rPr>
                <w:rFonts w:ascii="Aptos" w:hAnsi="Aptos"/>
                <w:b/>
                <w:color w:val="FFFFFF"/>
                <w:sz w:val="18"/>
              </w:rPr>
              <w:t>Purpose</w:t>
            </w:r>
          </w:p>
        </w:tc>
      </w:tr>
      <w:tr>
        <w:trPr>
          <w:cantSplit/>
        </w:trPr>
        <w:tc>
          <w:tcPr>
            <w:tcW w:type="dxa" w:w="1080"/>
            <w:shd w:fill="FFFFFF"/>
            <w:vAlign w:val="center"/>
            <w:tcMar>
              <w:top w:w="100" w:type="dxa"/>
              <w:start w:w="120" w:type="dxa"/>
              <w:bottom w:w="100" w:type="dxa"/>
              <w:end w:w="120" w:type="dxa"/>
            </w:tcMar>
          </w:tcPr>
          <w:p>
            <w:pPr>
              <w:spacing w:before="0" w:after="0" w:line="252" w:lineRule="auto"/>
              <w:jc w:val="center"/>
            </w:pPr>
            <w:r>
              <w:rPr>
                <w:rFonts w:ascii="Aptos" w:hAnsi="Aptos"/>
                <w:b w:val="0"/>
                <w:color w:val="000000"/>
                <w:sz w:val="18"/>
              </w:rPr>
              <w:t>Added</w:t>
            </w:r>
          </w:p>
        </w:tc>
        <w:tc>
          <w:tcPr>
            <w:tcW w:type="dxa" w:w="5256"/>
            <w:shd w:fill="FFFFFF"/>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query/statement/ExplainMode.java</w:t>
            </w:r>
          </w:p>
        </w:tc>
        <w:tc>
          <w:tcPr>
            <w:tcW w:type="dxa" w:w="3456"/>
            <w:shd w:fill="FFFFFF"/>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Plan and analyze mode contract</w:t>
            </w:r>
          </w:p>
        </w:tc>
      </w:tr>
      <w:tr>
        <w:trPr>
          <w:cantSplit/>
        </w:trPr>
        <w:tc>
          <w:tcPr>
            <w:tcW w:type="dxa" w:w="1080"/>
            <w:shd w:fill="F4F7FA"/>
            <w:vAlign w:val="center"/>
            <w:tcMar>
              <w:top w:w="100" w:type="dxa"/>
              <w:start w:w="120" w:type="dxa"/>
              <w:bottom w:w="100" w:type="dxa"/>
              <w:end w:w="120" w:type="dxa"/>
            </w:tcMar>
          </w:tcPr>
          <w:p>
            <w:pPr>
              <w:spacing w:before="0" w:after="0" w:line="252" w:lineRule="auto"/>
              <w:jc w:val="center"/>
            </w:pPr>
            <w:r>
              <w:rPr>
                <w:rFonts w:ascii="Aptos" w:hAnsi="Aptos"/>
                <w:b w:val="0"/>
                <w:color w:val="000000"/>
                <w:sz w:val="18"/>
              </w:rPr>
              <w:t>Changed</w:t>
            </w:r>
          </w:p>
        </w:tc>
        <w:tc>
          <w:tcPr>
            <w:tcW w:type="dxa" w:w="5256"/>
            <w:shd w:fill="F4F7FA"/>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query/statement/ExplainStatement.java</w:t>
            </w:r>
          </w:p>
        </w:tc>
        <w:tc>
          <w:tcPr>
            <w:tcW w:type="dxa" w:w="3456"/>
            <w:shd w:fill="F4F7FA"/>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Statement mode metadata</w:t>
            </w:r>
          </w:p>
        </w:tc>
      </w:tr>
      <w:tr>
        <w:trPr>
          <w:cantSplit/>
        </w:trPr>
        <w:tc>
          <w:tcPr>
            <w:tcW w:type="dxa" w:w="1080"/>
            <w:shd w:fill="FFFFFF"/>
            <w:vAlign w:val="center"/>
            <w:tcMar>
              <w:top w:w="100" w:type="dxa"/>
              <w:start w:w="120" w:type="dxa"/>
              <w:bottom w:w="100" w:type="dxa"/>
              <w:end w:w="120" w:type="dxa"/>
            </w:tcMar>
          </w:tcPr>
          <w:p>
            <w:pPr>
              <w:spacing w:before="0" w:after="0" w:line="252" w:lineRule="auto"/>
              <w:jc w:val="center"/>
            </w:pPr>
            <w:r>
              <w:rPr>
                <w:rFonts w:ascii="Aptos" w:hAnsi="Aptos"/>
                <w:b w:val="0"/>
                <w:color w:val="000000"/>
                <w:sz w:val="18"/>
              </w:rPr>
              <w:t>Changed</w:t>
            </w:r>
          </w:p>
        </w:tc>
        <w:tc>
          <w:tcPr>
            <w:tcW w:type="dxa" w:w="5256"/>
            <w:shd w:fill="FFFFFF"/>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query/command/ExplainCommand.java</w:t>
            </w:r>
          </w:p>
        </w:tc>
        <w:tc>
          <w:tcPr>
            <w:tcW w:type="dxa" w:w="3456"/>
            <w:shd w:fill="FFFFFF"/>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Command mode metadata</w:t>
            </w:r>
          </w:p>
        </w:tc>
      </w:tr>
      <w:tr>
        <w:trPr>
          <w:cantSplit/>
        </w:trPr>
        <w:tc>
          <w:tcPr>
            <w:tcW w:type="dxa" w:w="1080"/>
            <w:shd w:fill="F4F7FA"/>
            <w:vAlign w:val="center"/>
            <w:tcMar>
              <w:top w:w="100" w:type="dxa"/>
              <w:start w:w="120" w:type="dxa"/>
              <w:bottom w:w="100" w:type="dxa"/>
              <w:end w:w="120" w:type="dxa"/>
            </w:tcMar>
          </w:tcPr>
          <w:p>
            <w:pPr>
              <w:spacing w:before="0" w:after="0" w:line="252" w:lineRule="auto"/>
              <w:jc w:val="center"/>
            </w:pPr>
            <w:r>
              <w:rPr>
                <w:rFonts w:ascii="Aptos" w:hAnsi="Aptos"/>
                <w:b w:val="0"/>
                <w:color w:val="000000"/>
                <w:sz w:val="18"/>
              </w:rPr>
              <w:t>Changed</w:t>
            </w:r>
          </w:p>
        </w:tc>
        <w:tc>
          <w:tcPr>
            <w:tcW w:type="dxa" w:w="5256"/>
            <w:shd w:fill="F4F7FA"/>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query/parser/SqlParser.java</w:t>
            </w:r>
          </w:p>
        </w:tc>
        <w:tc>
          <w:tcPr>
            <w:tcW w:type="dxa" w:w="3456"/>
            <w:shd w:fill="F4F7FA"/>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Analyze syntax parsing</w:t>
            </w:r>
          </w:p>
        </w:tc>
      </w:tr>
      <w:tr>
        <w:trPr>
          <w:cantSplit/>
        </w:trPr>
        <w:tc>
          <w:tcPr>
            <w:tcW w:type="dxa" w:w="1080"/>
            <w:shd w:fill="FFFFFF"/>
            <w:vAlign w:val="center"/>
            <w:tcMar>
              <w:top w:w="100" w:type="dxa"/>
              <w:start w:w="120" w:type="dxa"/>
              <w:bottom w:w="100" w:type="dxa"/>
              <w:end w:w="120" w:type="dxa"/>
            </w:tcMar>
          </w:tcPr>
          <w:p>
            <w:pPr>
              <w:spacing w:before="0" w:after="0" w:line="252" w:lineRule="auto"/>
              <w:jc w:val="center"/>
            </w:pPr>
            <w:r>
              <w:rPr>
                <w:rFonts w:ascii="Aptos" w:hAnsi="Aptos"/>
                <w:b w:val="0"/>
                <w:color w:val="000000"/>
                <w:sz w:val="18"/>
              </w:rPr>
              <w:t>Changed</w:t>
            </w:r>
          </w:p>
        </w:tc>
        <w:tc>
          <w:tcPr>
            <w:tcW w:type="dxa" w:w="5256"/>
            <w:shd w:fill="FFFFFF"/>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query/mapper/StatementCommandMapper.java</w:t>
            </w:r>
          </w:p>
        </w:tc>
        <w:tc>
          <w:tcPr>
            <w:tcW w:type="dxa" w:w="3456"/>
            <w:shd w:fill="FFFFFF"/>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Mode propagation</w:t>
            </w:r>
          </w:p>
        </w:tc>
      </w:tr>
      <w:tr>
        <w:trPr>
          <w:cantSplit/>
        </w:trPr>
        <w:tc>
          <w:tcPr>
            <w:tcW w:type="dxa" w:w="1080"/>
            <w:shd w:fill="F4F7FA"/>
            <w:vAlign w:val="center"/>
            <w:tcMar>
              <w:top w:w="100" w:type="dxa"/>
              <w:start w:w="120" w:type="dxa"/>
              <w:bottom w:w="100" w:type="dxa"/>
              <w:end w:w="120" w:type="dxa"/>
            </w:tcMar>
          </w:tcPr>
          <w:p>
            <w:pPr>
              <w:spacing w:before="0" w:after="0" w:line="252" w:lineRule="auto"/>
              <w:jc w:val="center"/>
            </w:pPr>
            <w:r>
              <w:rPr>
                <w:rFonts w:ascii="Aptos" w:hAnsi="Aptos"/>
                <w:b w:val="0"/>
                <w:color w:val="000000"/>
                <w:sz w:val="18"/>
              </w:rPr>
              <w:t>Changed</w:t>
            </w:r>
          </w:p>
        </w:tc>
        <w:tc>
          <w:tcPr>
            <w:tcW w:type="dxa" w:w="5256"/>
            <w:shd w:fill="F4F7FA"/>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query/executor/ExplainCommandExecutionSupport.java</w:t>
            </w:r>
          </w:p>
        </w:tc>
        <w:tc>
          <w:tcPr>
            <w:tcW w:type="dxa" w:w="3456"/>
            <w:shd w:fill="F4F7FA"/>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Runtime metric rows</w:t>
            </w:r>
          </w:p>
        </w:tc>
      </w:tr>
      <w:tr>
        <w:trPr>
          <w:cantSplit/>
        </w:trPr>
        <w:tc>
          <w:tcPr>
            <w:tcW w:type="dxa" w:w="1080"/>
            <w:shd w:fill="FFFFFF"/>
            <w:vAlign w:val="center"/>
            <w:tcMar>
              <w:top w:w="100" w:type="dxa"/>
              <w:start w:w="120" w:type="dxa"/>
              <w:bottom w:w="100" w:type="dxa"/>
              <w:end w:w="120" w:type="dxa"/>
            </w:tcMar>
          </w:tcPr>
          <w:p>
            <w:pPr>
              <w:spacing w:before="0" w:after="0" w:line="252" w:lineRule="auto"/>
              <w:jc w:val="center"/>
            </w:pPr>
            <w:r>
              <w:rPr>
                <w:rFonts w:ascii="Aptos" w:hAnsi="Aptos"/>
                <w:b w:val="0"/>
                <w:color w:val="000000"/>
                <w:sz w:val="18"/>
              </w:rPr>
              <w:t>Changed</w:t>
            </w:r>
          </w:p>
        </w:tc>
        <w:tc>
          <w:tcPr>
            <w:tcW w:type="dxa" w:w="5256"/>
            <w:shd w:fill="FFFFFF"/>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query/executor/QueryExecutor.java</w:t>
            </w:r>
          </w:p>
        </w:tc>
        <w:tc>
          <w:tcPr>
            <w:tcW w:type="dxa" w:w="3456"/>
            <w:shd w:fill="FFFFFF"/>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Analyze execution and timing</w:t>
            </w:r>
          </w:p>
        </w:tc>
      </w:tr>
      <w:tr>
        <w:trPr>
          <w:cantSplit/>
        </w:trPr>
        <w:tc>
          <w:tcPr>
            <w:tcW w:type="dxa" w:w="1080"/>
            <w:shd w:fill="F4F7FA"/>
            <w:vAlign w:val="center"/>
            <w:tcMar>
              <w:top w:w="100" w:type="dxa"/>
              <w:start w:w="120" w:type="dxa"/>
              <w:bottom w:w="100" w:type="dxa"/>
              <w:end w:w="120" w:type="dxa"/>
            </w:tcMar>
          </w:tcPr>
          <w:p>
            <w:pPr>
              <w:spacing w:before="0" w:after="0" w:line="252" w:lineRule="auto"/>
              <w:jc w:val="center"/>
            </w:pPr>
            <w:r>
              <w:rPr>
                <w:rFonts w:ascii="Aptos" w:hAnsi="Aptos"/>
                <w:b w:val="0"/>
                <w:color w:val="000000"/>
                <w:sz w:val="18"/>
              </w:rPr>
              <w:t>Added</w:t>
            </w:r>
          </w:p>
        </w:tc>
        <w:tc>
          <w:tcPr>
            <w:tcW w:type="dxa" w:w="5256"/>
            <w:shd w:fill="F4F7FA"/>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query/statement/ExplainStatementTest.java</w:t>
            </w:r>
          </w:p>
        </w:tc>
        <w:tc>
          <w:tcPr>
            <w:tcW w:type="dxa" w:w="3456"/>
            <w:shd w:fill="F4F7FA"/>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Mode compatibility tests</w:t>
            </w:r>
          </w:p>
        </w:tc>
      </w:tr>
      <w:tr>
        <w:trPr>
          <w:cantSplit/>
        </w:trPr>
        <w:tc>
          <w:tcPr>
            <w:tcW w:type="dxa" w:w="1080"/>
            <w:shd w:fill="FFFFFF"/>
            <w:vAlign w:val="center"/>
            <w:tcMar>
              <w:top w:w="100" w:type="dxa"/>
              <w:start w:w="120" w:type="dxa"/>
              <w:bottom w:w="100" w:type="dxa"/>
              <w:end w:w="120" w:type="dxa"/>
            </w:tcMar>
          </w:tcPr>
          <w:p>
            <w:pPr>
              <w:spacing w:before="0" w:after="0" w:line="252" w:lineRule="auto"/>
              <w:jc w:val="center"/>
            </w:pPr>
            <w:r>
              <w:rPr>
                <w:rFonts w:ascii="Aptos" w:hAnsi="Aptos"/>
                <w:b w:val="0"/>
                <w:color w:val="000000"/>
                <w:sz w:val="18"/>
              </w:rPr>
              <w:t>Changed</w:t>
            </w:r>
          </w:p>
        </w:tc>
        <w:tc>
          <w:tcPr>
            <w:tcW w:type="dxa" w:w="5256"/>
            <w:shd w:fill="FFFFFF"/>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query/parser/SqlParserExplainTest.java</w:t>
            </w:r>
          </w:p>
        </w:tc>
        <w:tc>
          <w:tcPr>
            <w:tcW w:type="dxa" w:w="3456"/>
            <w:shd w:fill="FFFFFF"/>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Analyze parser tests</w:t>
            </w:r>
          </w:p>
        </w:tc>
      </w:tr>
      <w:tr>
        <w:trPr>
          <w:cantSplit/>
        </w:trPr>
        <w:tc>
          <w:tcPr>
            <w:tcW w:type="dxa" w:w="1080"/>
            <w:shd w:fill="F4F7FA"/>
            <w:vAlign w:val="center"/>
            <w:tcMar>
              <w:top w:w="100" w:type="dxa"/>
              <w:start w:w="120" w:type="dxa"/>
              <w:bottom w:w="100" w:type="dxa"/>
              <w:end w:w="120" w:type="dxa"/>
            </w:tcMar>
          </w:tcPr>
          <w:p>
            <w:pPr>
              <w:spacing w:before="0" w:after="0" w:line="252" w:lineRule="auto"/>
              <w:jc w:val="center"/>
            </w:pPr>
            <w:r>
              <w:rPr>
                <w:rFonts w:ascii="Aptos" w:hAnsi="Aptos"/>
                <w:b w:val="0"/>
                <w:color w:val="000000"/>
                <w:sz w:val="18"/>
              </w:rPr>
              <w:t>Changed</w:t>
            </w:r>
          </w:p>
        </w:tc>
        <w:tc>
          <w:tcPr>
            <w:tcW w:type="dxa" w:w="5256"/>
            <w:shd w:fill="F4F7FA"/>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query/mapper/StatementCommandMapperExplainTest.java</w:t>
            </w:r>
          </w:p>
        </w:tc>
        <w:tc>
          <w:tcPr>
            <w:tcW w:type="dxa" w:w="3456"/>
            <w:shd w:fill="F4F7FA"/>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Mapping tests</w:t>
            </w:r>
          </w:p>
        </w:tc>
      </w:tr>
      <w:tr>
        <w:trPr>
          <w:cantSplit/>
        </w:trPr>
        <w:tc>
          <w:tcPr>
            <w:tcW w:type="dxa" w:w="1080"/>
            <w:shd w:fill="FFFFFF"/>
            <w:vAlign w:val="center"/>
            <w:tcMar>
              <w:top w:w="100" w:type="dxa"/>
              <w:start w:w="120" w:type="dxa"/>
              <w:bottom w:w="100" w:type="dxa"/>
              <w:end w:w="120" w:type="dxa"/>
            </w:tcMar>
          </w:tcPr>
          <w:p>
            <w:pPr>
              <w:spacing w:before="0" w:after="0" w:line="252" w:lineRule="auto"/>
              <w:jc w:val="center"/>
            </w:pPr>
            <w:r>
              <w:rPr>
                <w:rFonts w:ascii="Aptos" w:hAnsi="Aptos"/>
                <w:b w:val="0"/>
                <w:color w:val="000000"/>
                <w:sz w:val="18"/>
              </w:rPr>
              <w:t>Changed</w:t>
            </w:r>
          </w:p>
        </w:tc>
        <w:tc>
          <w:tcPr>
            <w:tcW w:type="dxa" w:w="5256"/>
            <w:shd w:fill="FFFFFF"/>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query/executor/QueryExecutorExplainTest.java</w:t>
            </w:r>
          </w:p>
        </w:tc>
        <w:tc>
          <w:tcPr>
            <w:tcW w:type="dxa" w:w="3456"/>
            <w:shd w:fill="FFFFFF"/>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Runtime analysis tests</w:t>
            </w:r>
          </w:p>
        </w:tc>
      </w:tr>
      <w:tr>
        <w:trPr>
          <w:cantSplit/>
        </w:trPr>
        <w:tc>
          <w:tcPr>
            <w:tcW w:type="dxa" w:w="1080"/>
            <w:shd w:fill="F4F7FA"/>
            <w:vAlign w:val="center"/>
            <w:tcMar>
              <w:top w:w="100" w:type="dxa"/>
              <w:start w:w="120" w:type="dxa"/>
              <w:bottom w:w="100" w:type="dxa"/>
              <w:end w:w="120" w:type="dxa"/>
            </w:tcMar>
          </w:tcPr>
          <w:p>
            <w:pPr>
              <w:spacing w:before="0" w:after="0" w:line="252" w:lineRule="auto"/>
              <w:jc w:val="center"/>
            </w:pPr>
            <w:r>
              <w:rPr>
                <w:rFonts w:ascii="Aptos" w:hAnsi="Aptos"/>
                <w:b w:val="0"/>
                <w:color w:val="000000"/>
                <w:sz w:val="18"/>
              </w:rPr>
              <w:t>Changed</w:t>
            </w:r>
          </w:p>
        </w:tc>
        <w:tc>
          <w:tcPr>
            <w:tcW w:type="dxa" w:w="5256"/>
            <w:shd w:fill="F4F7FA"/>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query/executor/QueryExecutorExplainViewTest.java</w:t>
            </w:r>
          </w:p>
        </w:tc>
        <w:tc>
          <w:tcPr>
            <w:tcW w:type="dxa" w:w="3456"/>
            <w:shd w:fill="F4F7FA"/>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View analysis tests</w:t>
            </w:r>
          </w:p>
        </w:tc>
      </w:tr>
      <w:tr>
        <w:trPr>
          <w:cantSplit/>
        </w:trPr>
        <w:tc>
          <w:tcPr>
            <w:tcW w:type="dxa" w:w="1080"/>
            <w:shd w:fill="FFFFFF"/>
            <w:vAlign w:val="center"/>
            <w:tcMar>
              <w:top w:w="100" w:type="dxa"/>
              <w:start w:w="120" w:type="dxa"/>
              <w:bottom w:w="100" w:type="dxa"/>
              <w:end w:w="120" w:type="dxa"/>
            </w:tcMar>
          </w:tcPr>
          <w:p>
            <w:pPr>
              <w:spacing w:before="0" w:after="0" w:line="252" w:lineRule="auto"/>
              <w:jc w:val="center"/>
            </w:pPr>
            <w:r>
              <w:rPr>
                <w:rFonts w:ascii="Aptos" w:hAnsi="Aptos"/>
                <w:b w:val="0"/>
                <w:color w:val="000000"/>
                <w:sz w:val="18"/>
              </w:rPr>
              <w:t>Added</w:t>
            </w:r>
          </w:p>
        </w:tc>
        <w:tc>
          <w:tcPr>
            <w:tcW w:type="dxa" w:w="5256"/>
            <w:shd w:fill="FFFFFF"/>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docs/Design/YEKDB_00-37_Explain_Analyze.md</w:t>
            </w:r>
          </w:p>
        </w:tc>
        <w:tc>
          <w:tcPr>
            <w:tcW w:type="dxa" w:w="3456"/>
            <w:shd w:fill="FFFFFF"/>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Phase and behavior contract</w:t>
            </w:r>
          </w:p>
        </w:tc>
      </w:tr>
      <w:tr>
        <w:trPr>
          <w:cantSplit/>
        </w:trPr>
        <w:tc>
          <w:tcPr>
            <w:tcW w:type="dxa" w:w="1080"/>
            <w:shd w:fill="F4F7FA"/>
            <w:vAlign w:val="center"/>
            <w:tcMar>
              <w:top w:w="100" w:type="dxa"/>
              <w:start w:w="120" w:type="dxa"/>
              <w:bottom w:w="100" w:type="dxa"/>
              <w:end w:w="120" w:type="dxa"/>
            </w:tcMar>
          </w:tcPr>
          <w:p>
            <w:pPr>
              <w:spacing w:before="0" w:after="0" w:line="252" w:lineRule="auto"/>
              <w:jc w:val="center"/>
            </w:pPr>
            <w:r>
              <w:rPr>
                <w:rFonts w:ascii="Aptos" w:hAnsi="Aptos"/>
                <w:b w:val="0"/>
                <w:color w:val="000000"/>
                <w:sz w:val="18"/>
              </w:rPr>
              <w:t>Changed</w:t>
            </w:r>
          </w:p>
        </w:tc>
        <w:tc>
          <w:tcPr>
            <w:tcW w:type="dxa" w:w="5256"/>
            <w:shd w:fill="F4F7FA"/>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README.md</w:t>
            </w:r>
          </w:p>
        </w:tc>
        <w:tc>
          <w:tcPr>
            <w:tcW w:type="dxa" w:w="3456"/>
            <w:shd w:fill="F4F7FA"/>
            <w:vAlign w:val="center"/>
            <w:tcMar>
              <w:top w:w="100" w:type="dxa"/>
              <w:start w:w="120" w:type="dxa"/>
              <w:bottom w:w="100" w:type="dxa"/>
              <w:end w:w="120" w:type="dxa"/>
            </w:tcMar>
          </w:tcPr>
          <w:p>
            <w:pPr>
              <w:spacing w:before="0" w:after="0" w:line="252" w:lineRule="auto"/>
              <w:jc w:val="left"/>
            </w:pPr>
            <w:r>
              <w:rPr>
                <w:rFonts w:ascii="Aptos" w:hAnsi="Aptos"/>
                <w:b w:val="0"/>
                <w:color w:val="000000"/>
                <w:sz w:val="18"/>
              </w:rPr>
              <w:t>Sprint history and usage</w:t>
            </w:r>
          </w:p>
        </w:tc>
      </w:tr>
    </w:tbl>
    <w:p>
      <w:pPr>
        <w:spacing w:after="0"/>
      </w:pPr>
    </w:p>
    <w:p>
      <w:pPr>
        <w:pStyle w:val="Heading1"/>
      </w:pPr>
      <w:r>
        <w:t>Compatibility and Limits</w:t>
      </w:r>
    </w:p>
    <w:p>
      <w:pPr>
        <w:pStyle w:val="ListBullet"/>
      </w:pPr>
      <w:r>
        <w:rPr>
          <w:rFonts w:ascii="Aptos" w:hAnsi="Aptos"/>
          <w:color w:val="000000"/>
        </w:rPr>
        <w:t>Existing EXPLAIN SELECT output labels and plan-only behavior are unchanged.</w:t>
      </w:r>
    </w:p>
    <w:p>
      <w:pPr>
        <w:pStyle w:val="ListBullet"/>
      </w:pPr>
      <w:r>
        <w:rPr>
          <w:rFonts w:ascii="Aptos" w:hAnsi="Aptos"/>
          <w:color w:val="000000"/>
        </w:rPr>
        <w:t>Existing ExplainStatement and ExplainCommand constructors remain available.</w:t>
      </w:r>
    </w:p>
    <w:p>
      <w:pPr>
        <w:pStyle w:val="ListBullet"/>
      </w:pPr>
      <w:r>
        <w:rPr>
          <w:rFonts w:ascii="Aptos" w:hAnsi="Aptos"/>
          <w:color w:val="000000"/>
        </w:rPr>
        <w:t>No storage table row index transaction-log or durability format changes were made.</w:t>
      </w:r>
    </w:p>
    <w:p>
      <w:pPr>
        <w:pStyle w:val="ListBullet"/>
      </w:pPr>
      <w:r>
        <w:rPr>
          <w:rFonts w:ascii="Aptos" w:hAnsi="Aptos"/>
          <w:color w:val="000000"/>
        </w:rPr>
        <w:t>Elapsed time varies by machine and run and must not be compared as a deterministic test value.</w:t>
      </w:r>
    </w:p>
    <w:p>
      <w:pPr>
        <w:pStyle w:val="ListBullet"/>
      </w:pPr>
      <w:r>
        <w:rPr>
          <w:rFonts w:ascii="Aptos" w:hAnsi="Aptos"/>
          <w:color w:val="000000"/>
        </w:rPr>
        <w:t>ACTUAL_ROWS describes the final result size rather than per-operator cardinality.</w:t>
      </w:r>
    </w:p>
    <w:p>
      <w:pPr>
        <w:pStyle w:val="ListBullet"/>
      </w:pPr>
      <w:r>
        <w:rPr>
          <w:rFonts w:ascii="Aptos" w:hAnsi="Aptos"/>
          <w:color w:val="000000"/>
        </w:rPr>
        <w:t>Per-operator timing estimated cost buffer statistics and JSON plans remain future work.</w:t>
      </w:r>
    </w:p>
    <w:p>
      <w:r>
        <w:br w:type="page"/>
      </w:r>
    </w:p>
    <w:p>
      <w:pPr>
        <w:pStyle w:val="Heading1"/>
      </w:pPr>
      <w:r>
        <w:t>Verification</w:t>
      </w:r>
    </w:p>
    <w:p>
      <w:pPr/>
      <w:r>
        <w:rPr>
          <w:rFonts w:ascii="Aptos" w:hAnsi="Aptos"/>
          <w:color w:val="000000"/>
        </w:rPr>
        <w:t>The complete source tree compiled with Java 21. The full JUnit suite covered the new parser mapping runtime and view behavior together with all storage transaction concurrency and terminal regressions.</w:t>
      </w:r>
    </w:p>
    <w:p>
      <w:pPr>
        <w:spacing w:before="60" w:after="160" w:line="252" w:lineRule="auto"/>
        <w:ind w:left="360" w:right="216"/>
        <w:shd w:fill="F2F2F2"/>
      </w:pPr>
      <w:r>
        <w:rPr>
          <w:rFonts w:ascii="Consolas" w:hAnsi="Consolas"/>
          <w:color w:val="000000"/>
          <w:sz w:val="18"/>
        </w:rPr>
        <w:t>Compile: SUCCESS</w:t>
        <w:br/>
      </w:r>
      <w:r>
        <w:rPr>
          <w:rFonts w:ascii="Consolas" w:hAnsi="Consolas"/>
          <w:color w:val="000000"/>
          <w:sz w:val="18"/>
        </w:rPr>
        <w:t>Tests:   2042 / 2042 PASSED</w:t>
        <w:br/>
      </w:r>
      <w:r>
        <w:rPr>
          <w:rFonts w:ascii="Consolas" w:hAnsi="Consolas"/>
          <w:color w:val="000000"/>
          <w:sz w:val="18"/>
        </w:rPr>
        <w:t>Failures: 0</w:t>
        <w:br/>
      </w:r>
      <w:r>
        <w:rPr>
          <w:rFonts w:ascii="Consolas" w:hAnsi="Consolas"/>
          <w:color w:val="000000"/>
          <w:sz w:val="18"/>
        </w:rPr>
        <w:t>Errors:   0</w:t>
        <w:br/>
      </w:r>
      <w:r>
        <w:rPr>
          <w:rFonts w:ascii="Consolas" w:hAnsi="Consolas"/>
          <w:color w:val="000000"/>
          <w:sz w:val="18"/>
        </w:rPr>
        <w:t>Skipped:  0</w:t>
      </w:r>
    </w:p>
    <w:p>
      <w:pPr>
        <w:pStyle w:val="Heading1"/>
      </w:pPr>
      <w:r>
        <w:t>V1 Final Preparation</w:t>
      </w:r>
    </w:p>
    <w:p>
      <w:pPr/>
      <w:r>
        <w:rPr>
          <w:rFonts w:ascii="Aptos" w:hAnsi="Aptos"/>
          <w:color w:val="000000"/>
        </w:rPr>
        <w:t>Sprint 00-37 is ready for closure. The V1 final review can now focus on release readiness rather than feature development.</w:t>
      </w:r>
    </w:p>
    <w:p>
      <w:pPr>
        <w:pStyle w:val="ListBullet"/>
      </w:pPr>
      <w:r>
        <w:rPr>
          <w:rFonts w:ascii="Aptos" w:hAnsi="Aptos"/>
          <w:color w:val="000000"/>
        </w:rPr>
        <w:t>Run mvn clean test from a clean checkout and retain the final result.</w:t>
      </w:r>
    </w:p>
    <w:p>
      <w:pPr>
        <w:pStyle w:val="ListBullet"/>
      </w:pPr>
      <w:r>
        <w:rPr>
          <w:rFonts w:ascii="Aptos" w:hAnsi="Aptos"/>
          <w:color w:val="000000"/>
        </w:rPr>
        <w:t>Complete a live terminal smoke test for database table index view transaction and EXPLAIN ANALYZE workflows.</w:t>
      </w:r>
    </w:p>
    <w:p>
      <w:pPr>
        <w:pStyle w:val="ListBullet"/>
      </w:pPr>
      <w:r>
        <w:rPr>
          <w:rFonts w:ascii="Aptos" w:hAnsi="Aptos"/>
          <w:color w:val="000000"/>
        </w:rPr>
        <w:t>Review repository status and confirm that generated data logs targets and temporary files are excluded.</w:t>
      </w:r>
    </w:p>
    <w:p>
      <w:pPr>
        <w:pStyle w:val="ListBullet"/>
      </w:pPr>
      <w:r>
        <w:rPr>
          <w:rFonts w:ascii="Aptos" w:hAnsi="Aptos"/>
          <w:color w:val="000000"/>
        </w:rPr>
        <w:t>Update the V1 release notes version identifier and supported feature list.</w:t>
      </w:r>
    </w:p>
    <w:p>
      <w:pPr>
        <w:pStyle w:val="ListBullet"/>
      </w:pPr>
      <w:r>
        <w:rPr>
          <w:rFonts w:ascii="Aptos" w:hAnsi="Aptos"/>
          <w:color w:val="000000"/>
        </w:rPr>
        <w:t>Create the V1 tag only after the clean build and live smoke test are accepted.</w:t>
      </w:r>
    </w:p>
    <w:p>
      <w:pPr>
        <w:pStyle w:val="Heading1"/>
      </w:pPr>
      <w:r>
        <w:t>Sprint Closure</w:t>
      </w:r>
    </w:p>
    <w:p>
      <w:pPr/>
      <w:r>
        <w:rPr>
          <w:rFonts w:ascii="Aptos" w:hAnsi="Aptos"/>
          <w:color w:val="000000"/>
        </w:rPr>
        <w:t>The implementation is complete, documented, and regression tested. Sprint 00-37 closes with 2042 passing tests and leaves the repository ready for the V1 final validation cycle.</w:t>
      </w:r>
    </w:p>
    <w:sectPr w:rsidR="00FC693F" w:rsidRPr="0006063C" w:rsidSect="00034616">
      <w:footerReference w:type="default" r:id="rId9"/>
      <w:pgSz w:w="12240" w:h="15840"/>
      <w:pgMar w:top="1080" w:right="1224" w:bottom="1008"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92" w:val="right"/>
      </w:tabs>
      <w:jc w:val="left"/>
    </w:pPr>
    <w:r>
      <w:rPr>
        <w:rFonts w:ascii="Aptos" w:hAnsi="Aptos"/>
        <w:color w:val="595959"/>
        <w:sz w:val="16"/>
      </w:rPr>
      <w:t>YEKDB Developer Notes Sprint 00 37</w:t>
    </w:r>
    <w:r>
      <w:rPr>
        <w:rFonts w:ascii="Aptos" w:hAnsi="Aptos"/>
        <w:color w:val="595959"/>
        <w:sz w:val="16"/>
      </w:rPr>
      <w:tab/>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Aptos" w:hAnsi="Aptos"/>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YEKDB Developer Notes Sprint 00 37</dc:title>
  <dc:subject>Explain Analyze Runtime Query Inspection</dc:subject>
  <dc:creator>Yunus Emre KUL</dc:creator>
  <cp:keywords>YEKDB, Sprint 00-37, EXPLAIN ANALYZE, Java 21</cp:keywords>
  <dc:description>generated by python-docx</dc:description>
  <cp:lastModifiedBy/>
  <cp:revision>1</cp:revision>
  <dcterms:created xsi:type="dcterms:W3CDTF">2013-12-23T23:15:00Z</dcterms:created>
  <dcterms:modified xsi:type="dcterms:W3CDTF">2013-12-23T23:15:00Z</dcterms:modified>
  <cp:category/>
</cp:coreProperties>
</file>