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C5A" w:rsidRPr="00AD1794" w:rsidRDefault="006E7C5A" w:rsidP="006E7C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794">
        <w:rPr>
          <w:rFonts w:ascii="Times New Roman" w:hAnsi="Times New Roman" w:cs="Times New Roman"/>
          <w:noProof/>
          <w:sz w:val="24"/>
          <w:szCs w:val="24"/>
          <w:lang w:val="en-AU" w:eastAsia="en-AU"/>
        </w:rPr>
        <w:drawing>
          <wp:inline distT="0" distB="0" distL="0" distR="0" wp14:anchorId="57171023" wp14:editId="2AD2EF99">
            <wp:extent cx="4756150" cy="3079750"/>
            <wp:effectExtent l="0" t="0" r="6350" b="6350"/>
            <wp:docPr id="2" name="Grafik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p w:rsidR="006E7C5A" w:rsidRPr="00AD1794" w:rsidRDefault="006E7C5A" w:rsidP="006E7C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D1794">
        <w:rPr>
          <w:rFonts w:ascii="Times New Roman" w:hAnsi="Times New Roman" w:cs="Times New Roman"/>
          <w:sz w:val="24"/>
          <w:szCs w:val="24"/>
          <w:lang w:val="en-US"/>
        </w:rPr>
        <w:t xml:space="preserve">Figure 1. Average monthly climate dates (1990-2017) for Akifiye Village, Andırın County, Kahramanmaraş. Data from the Turkish Stage Meteorological Service. </w:t>
      </w:r>
    </w:p>
    <w:p w:rsidR="006E7C5A" w:rsidRPr="006E7C5A" w:rsidRDefault="006E7C5A" w:rsidP="006E7C5A"/>
    <w:sectPr w:rsidR="006E7C5A" w:rsidRPr="006E7C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2MLUwMTG0NDa3NDdR0lEKTi0uzszPAykwrAUAllkflSwAAAA="/>
  </w:docVars>
  <w:rsids>
    <w:rsidRoot w:val="006E7C5A"/>
    <w:rsid w:val="002C1188"/>
    <w:rsid w:val="006E7C5A"/>
    <w:rsid w:val="00B24A31"/>
    <w:rsid w:val="00DF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69C17F-D045-46D4-9764-2A5530E4C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7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C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E:\DR_Tez_Makale_1-Forest%20Ecol%20Manag\makale%20evraklar\fig&#252;rler\and&#305;r&#305;n%20su%20bilan&#231;osu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171021387663762"/>
          <c:y val="3.8102068318471488E-2"/>
          <c:w val="0.67867627418442311"/>
          <c:h val="0.84114716404383139"/>
        </c:manualLayout>
      </c:layout>
      <c:lineChart>
        <c:grouping val="standard"/>
        <c:varyColors val="0"/>
        <c:ser>
          <c:idx val="1"/>
          <c:order val="0"/>
          <c:tx>
            <c:strRef>
              <c:f>'Walter grafiği'!$C$7:$C$8</c:f>
              <c:strCache>
                <c:ptCount val="1"/>
                <c:pt idx="0">
                  <c:v>Precipitation</c:v>
                </c:pt>
              </c:strCache>
            </c:strRef>
          </c:tx>
          <c:spPr>
            <a:ln>
              <a:prstDash val="sysDash"/>
            </a:ln>
          </c:spPr>
          <c:marker>
            <c:spPr>
              <a:ln>
                <a:prstDash val="sysDash"/>
              </a:ln>
            </c:spPr>
          </c:marker>
          <c:cat>
            <c:strRef>
              <c:f>'Walter grafiği'!$B$9:$B$20</c:f>
              <c:strCache>
                <c:ptCount val="12"/>
                <c:pt idx="0">
                  <c:v>I</c:v>
                </c:pt>
                <c:pt idx="1">
                  <c:v>II</c:v>
                </c:pt>
                <c:pt idx="2">
                  <c:v>III</c:v>
                </c:pt>
                <c:pt idx="3">
                  <c:v>IV</c:v>
                </c:pt>
                <c:pt idx="4">
                  <c:v>V</c:v>
                </c:pt>
                <c:pt idx="5">
                  <c:v>VI</c:v>
                </c:pt>
                <c:pt idx="6">
                  <c:v>VII</c:v>
                </c:pt>
                <c:pt idx="7">
                  <c:v>VIII</c:v>
                </c:pt>
                <c:pt idx="8">
                  <c:v>IX</c:v>
                </c:pt>
                <c:pt idx="9">
                  <c:v>X</c:v>
                </c:pt>
                <c:pt idx="10">
                  <c:v>XI</c:v>
                </c:pt>
                <c:pt idx="11">
                  <c:v>XII</c:v>
                </c:pt>
              </c:strCache>
            </c:strRef>
          </c:cat>
          <c:val>
            <c:numRef>
              <c:f>'Walter grafiği'!$C$9:$C$20</c:f>
              <c:numCache>
                <c:formatCode>0.0</c:formatCode>
                <c:ptCount val="12"/>
                <c:pt idx="0">
                  <c:v>-0.5</c:v>
                </c:pt>
                <c:pt idx="1">
                  <c:v>1.1000000000000001</c:v>
                </c:pt>
                <c:pt idx="2">
                  <c:v>5.3</c:v>
                </c:pt>
                <c:pt idx="3">
                  <c:v>10.4</c:v>
                </c:pt>
                <c:pt idx="4">
                  <c:v>14.7</c:v>
                </c:pt>
                <c:pt idx="5">
                  <c:v>18.8</c:v>
                </c:pt>
                <c:pt idx="6">
                  <c:v>22.3</c:v>
                </c:pt>
                <c:pt idx="7">
                  <c:v>22.2</c:v>
                </c:pt>
                <c:pt idx="8">
                  <c:v>18.7</c:v>
                </c:pt>
                <c:pt idx="9">
                  <c:v>13.3</c:v>
                </c:pt>
                <c:pt idx="10">
                  <c:v>7.4</c:v>
                </c:pt>
                <c:pt idx="11">
                  <c:v>2.2000000000000002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302680"/>
        <c:axId val="108053848"/>
      </c:lineChart>
      <c:lineChart>
        <c:grouping val="standard"/>
        <c:varyColors val="0"/>
        <c:ser>
          <c:idx val="0"/>
          <c:order val="1"/>
          <c:tx>
            <c:strRef>
              <c:f>'Walter grafiği'!$D$7:$D$8</c:f>
              <c:strCache>
                <c:ptCount val="1"/>
                <c:pt idx="0">
                  <c:v>Temperature</c:v>
                </c:pt>
              </c:strCache>
            </c:strRef>
          </c:tx>
          <c:spPr>
            <a:ln>
              <a:solidFill>
                <a:sysClr val="windowText" lastClr="000000"/>
              </a:solidFill>
            </a:ln>
          </c:spPr>
          <c:marker>
            <c:spPr>
              <a:ln>
                <a:solidFill>
                  <a:sysClr val="windowText" lastClr="000000"/>
                </a:solidFill>
              </a:ln>
            </c:spPr>
          </c:marker>
          <c:cat>
            <c:strRef>
              <c:f>'Walter grafiği'!$B$9:$B$20</c:f>
              <c:strCache>
                <c:ptCount val="12"/>
                <c:pt idx="0">
                  <c:v>I</c:v>
                </c:pt>
                <c:pt idx="1">
                  <c:v>II</c:v>
                </c:pt>
                <c:pt idx="2">
                  <c:v>III</c:v>
                </c:pt>
                <c:pt idx="3">
                  <c:v>IV</c:v>
                </c:pt>
                <c:pt idx="4">
                  <c:v>V</c:v>
                </c:pt>
                <c:pt idx="5">
                  <c:v>VI</c:v>
                </c:pt>
                <c:pt idx="6">
                  <c:v>VII</c:v>
                </c:pt>
                <c:pt idx="7">
                  <c:v>VIII</c:v>
                </c:pt>
                <c:pt idx="8">
                  <c:v>IX</c:v>
                </c:pt>
                <c:pt idx="9">
                  <c:v>X</c:v>
                </c:pt>
                <c:pt idx="10">
                  <c:v>XI</c:v>
                </c:pt>
                <c:pt idx="11">
                  <c:v>XII</c:v>
                </c:pt>
              </c:strCache>
            </c:strRef>
          </c:cat>
          <c:val>
            <c:numRef>
              <c:f>'Walter grafiği'!$D$9:$D$20</c:f>
              <c:numCache>
                <c:formatCode>0.0</c:formatCode>
                <c:ptCount val="12"/>
                <c:pt idx="0">
                  <c:v>100</c:v>
                </c:pt>
                <c:pt idx="1">
                  <c:v>88</c:v>
                </c:pt>
                <c:pt idx="2">
                  <c:v>90</c:v>
                </c:pt>
                <c:pt idx="3">
                  <c:v>71</c:v>
                </c:pt>
                <c:pt idx="4">
                  <c:v>56</c:v>
                </c:pt>
                <c:pt idx="5">
                  <c:v>22</c:v>
                </c:pt>
                <c:pt idx="6">
                  <c:v>7</c:v>
                </c:pt>
                <c:pt idx="7">
                  <c:v>7</c:v>
                </c:pt>
                <c:pt idx="8">
                  <c:v>14</c:v>
                </c:pt>
                <c:pt idx="9">
                  <c:v>47</c:v>
                </c:pt>
                <c:pt idx="10">
                  <c:v>68</c:v>
                </c:pt>
                <c:pt idx="11">
                  <c:v>111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301616"/>
        <c:axId val="136225712"/>
      </c:lineChart>
      <c:catAx>
        <c:axId val="8302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0" vert="horz"/>
          <a:lstStyle/>
          <a:p>
            <a:pPr>
              <a:defRPr/>
            </a:pPr>
            <a:endParaRPr lang="en-US"/>
          </a:p>
        </c:txPr>
        <c:crossAx val="108053848"/>
        <c:crosses val="autoZero"/>
        <c:auto val="0"/>
        <c:lblAlgn val="ctr"/>
        <c:lblOffset val="100"/>
        <c:tickLblSkip val="1"/>
        <c:tickMarkSkip val="1"/>
        <c:noMultiLvlLbl val="0"/>
      </c:catAx>
      <c:valAx>
        <c:axId val="108053848"/>
        <c:scaling>
          <c:orientation val="minMax"/>
          <c:max val="50"/>
        </c:scaling>
        <c:delete val="0"/>
        <c:axPos val="l"/>
        <c:numFmt formatCode="0.0" sourceLinked="1"/>
        <c:majorTickMark val="none"/>
        <c:minorTickMark val="none"/>
        <c:tickLblPos val="nextTo"/>
        <c:txPr>
          <a:bodyPr rot="0" vert="horz"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8302680"/>
        <c:crosses val="autoZero"/>
        <c:crossBetween val="between"/>
        <c:majorUnit val="10"/>
        <c:minorUnit val="10"/>
      </c:valAx>
      <c:catAx>
        <c:axId val="8301616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36225712"/>
        <c:crosses val="autoZero"/>
        <c:auto val="0"/>
        <c:lblAlgn val="ctr"/>
        <c:lblOffset val="100"/>
        <c:noMultiLvlLbl val="0"/>
      </c:catAx>
      <c:valAx>
        <c:axId val="136225712"/>
        <c:scaling>
          <c:orientation val="minMax"/>
          <c:max val="120"/>
          <c:min val="-20"/>
        </c:scaling>
        <c:delete val="0"/>
        <c:axPos val="r"/>
        <c:title>
          <c:tx>
            <c:rich>
              <a:bodyPr/>
              <a:lstStyle/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tr-TR" sz="1200" b="0">
                    <a:latin typeface="Times New Roman" pitchFamily="18" charset="0"/>
                    <a:cs typeface="Times New Roman" pitchFamily="18" charset="0"/>
                  </a:rPr>
                  <a:t>Precipitation (mm)</a:t>
                </a:r>
              </a:p>
            </c:rich>
          </c:tx>
          <c:layout/>
          <c:overlay val="0"/>
        </c:title>
        <c:numFmt formatCode="0.0" sourceLinked="1"/>
        <c:majorTickMark val="cross"/>
        <c:minorTickMark val="none"/>
        <c:tickLblPos val="nextTo"/>
        <c:txPr>
          <a:bodyPr rot="0" vert="horz"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8301616"/>
        <c:crosses val="max"/>
        <c:crossBetween val="between"/>
        <c:majorUnit val="20"/>
      </c:valAx>
    </c:plotArea>
    <c:legend>
      <c:legendPos val="b"/>
      <c:layout/>
      <c:overlay val="0"/>
      <c:txPr>
        <a:bodyPr/>
        <a:lstStyle/>
        <a:p>
          <a:pPr>
            <a:defRPr>
              <a:latin typeface="Times New Roman" pitchFamily="18" charset="0"/>
              <a:cs typeface="Times New Roman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ln>
      <a:solidFill>
        <a:schemeClr val="tx1"/>
      </a:solidFill>
    </a:ln>
  </c:spPr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0.01757</cdr:x>
      <cdr:y>0.20766</cdr:y>
    </cdr:from>
    <cdr:to>
      <cdr:x>0.09513</cdr:x>
      <cdr:y>0.63376</cdr:y>
    </cdr:to>
    <cdr:sp macro="" textlink="">
      <cdr:nvSpPr>
        <cdr:cNvPr id="3" name="Metin kutusu 2"/>
        <cdr:cNvSpPr txBox="1"/>
      </cdr:nvSpPr>
      <cdr:spPr>
        <a:xfrm xmlns:a="http://schemas.openxmlformats.org/drawingml/2006/main" rot="16200000">
          <a:off x="-388125" y="1111243"/>
          <a:ext cx="1312270" cy="36888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tr-TR" sz="1200">
              <a:latin typeface="Times New Roman" pitchFamily="18" charset="0"/>
              <a:cs typeface="Times New Roman" pitchFamily="18" charset="0"/>
            </a:rPr>
            <a:t>Temperature</a:t>
          </a:r>
          <a:r>
            <a:rPr lang="en-AU" sz="1200">
              <a:latin typeface="Times New Roman" pitchFamily="18" charset="0"/>
              <a:cs typeface="Times New Roman" pitchFamily="18" charset="0"/>
            </a:rPr>
            <a:t> </a:t>
          </a:r>
          <a:r>
            <a:rPr lang="tr-TR" sz="1200">
              <a:latin typeface="Times New Roman" pitchFamily="18" charset="0"/>
              <a:cs typeface="Times New Roman" pitchFamily="18" charset="0"/>
            </a:rPr>
            <a:t> (</a:t>
          </a:r>
          <a:r>
            <a:rPr lang="tr-TR" sz="1200">
              <a:effectLst/>
              <a:latin typeface="Times New Roman" pitchFamily="18" charset="0"/>
              <a:ea typeface="+mn-ea"/>
              <a:cs typeface="Times New Roman" pitchFamily="18" charset="0"/>
            </a:rPr>
            <a:t>°C</a:t>
          </a:r>
          <a:r>
            <a:rPr lang="tr-TR" sz="1200">
              <a:latin typeface="Times New Roman" pitchFamily="18" charset="0"/>
              <a:cs typeface="Times New Roman" pitchFamily="18" charset="0"/>
            </a:rPr>
            <a:t>)</a:t>
          </a:r>
        </a:p>
      </cdr:txBody>
    </cdr:sp>
  </cdr:relSizeAnchor>
  <cdr:relSizeAnchor xmlns:cdr="http://schemas.openxmlformats.org/drawingml/2006/chartDrawing">
    <cdr:from>
      <cdr:x>0.18833</cdr:x>
      <cdr:y>0.15481</cdr:y>
    </cdr:from>
    <cdr:to>
      <cdr:x>0.18833</cdr:x>
      <cdr:y>0.74005</cdr:y>
    </cdr:to>
    <cdr:cxnSp macro="">
      <cdr:nvCxnSpPr>
        <cdr:cNvPr id="2" name="Düz Bağlayıcı 1"/>
        <cdr:cNvCxnSpPr/>
      </cdr:nvCxnSpPr>
      <cdr:spPr>
        <a:xfrm xmlns:a="http://schemas.openxmlformats.org/drawingml/2006/main">
          <a:off x="895350" y="577850"/>
          <a:ext cx="0" cy="218440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0.35795</cdr:x>
      <cdr:y>0.32664</cdr:y>
    </cdr:from>
    <cdr:to>
      <cdr:x>0.36063</cdr:x>
      <cdr:y>0.74175</cdr:y>
    </cdr:to>
    <cdr:cxnSp macro="">
      <cdr:nvCxnSpPr>
        <cdr:cNvPr id="5" name="Düz Bağlayıcı 4"/>
        <cdr:cNvCxnSpPr/>
      </cdr:nvCxnSpPr>
      <cdr:spPr>
        <a:xfrm xmlns:a="http://schemas.openxmlformats.org/drawingml/2006/main" flipH="1">
          <a:off x="1701800" y="1219200"/>
          <a:ext cx="12700" cy="154940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0.69721</cdr:x>
      <cdr:y>0.47805</cdr:y>
    </cdr:from>
    <cdr:to>
      <cdr:x>0.69988</cdr:x>
      <cdr:y>0.74515</cdr:y>
    </cdr:to>
    <cdr:cxnSp macro="">
      <cdr:nvCxnSpPr>
        <cdr:cNvPr id="7" name="Düz Bağlayıcı 6"/>
        <cdr:cNvCxnSpPr/>
      </cdr:nvCxnSpPr>
      <cdr:spPr>
        <a:xfrm xmlns:a="http://schemas.openxmlformats.org/drawingml/2006/main" flipH="1">
          <a:off x="3314700" y="1784350"/>
          <a:ext cx="12700" cy="99695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0.52625</cdr:x>
      <cdr:y>0.42531</cdr:y>
    </cdr:from>
    <cdr:to>
      <cdr:x>0.53025</cdr:x>
      <cdr:y>0.73665</cdr:y>
    </cdr:to>
    <cdr:cxnSp macro="">
      <cdr:nvCxnSpPr>
        <cdr:cNvPr id="8" name="Düz Bağlayıcı 7"/>
        <cdr:cNvCxnSpPr/>
      </cdr:nvCxnSpPr>
      <cdr:spPr>
        <a:xfrm xmlns:a="http://schemas.openxmlformats.org/drawingml/2006/main" flipH="1">
          <a:off x="2501900" y="1587500"/>
          <a:ext cx="19050" cy="116205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herif</dc:creator>
  <cp:lastModifiedBy>Zakaria Solaiman</cp:lastModifiedBy>
  <cp:revision>3</cp:revision>
  <dcterms:created xsi:type="dcterms:W3CDTF">2019-12-01T19:47:00Z</dcterms:created>
  <dcterms:modified xsi:type="dcterms:W3CDTF">2020-02-04T16:06:00Z</dcterms:modified>
</cp:coreProperties>
</file>