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6  ·  Activities A &amp; B</w:t>
      </w:r>
    </w:p>
    <w:p>
      <w:pPr>
        <w:spacing w:after="1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GOVERNANCE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C1A2E"/>
          <w:sz w:val="44"/>
          <w:szCs w:val="44"/>
        </w:rPr>
        <w:t xml:space="preserve">Under Pressure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Learner Lab Document  ·  30 minutes</w:t>
      </w:r>
    </w:p>
    <w:p>
      <w:pPr>
        <w:spacing w:after="220" w:before="0"/>
      </w:pPr>
      <w:r>
        <w:t xml:space="preserve"/>
      </w:r>
    </w:p>
    <w:p>
      <w:pPr>
        <w:pBdr>
          <w:bottom w:val="single" w:color="8C1A2E" w:sz="8" w:space="1"/>
        </w:pBdr>
        <w:spacing w:after="1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24"/>
                <w:szCs w:val="24"/>
              </w:rPr>
              <w:t xml:space="preserve">10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Rapid Fire Slido · 5 votes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B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24"/>
                <w:szCs w:val="24"/>
              </w:rPr>
              <w:t xml:space="preserve">15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Individual Governance Stance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Close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24"/>
                <w:szCs w:val="24"/>
              </w:rPr>
              <w:t xml:space="preserve">5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Volunteer Share-out · Bridge to M7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1A2E" w:sz="14"/>
              <w:left w:val="single" w:color="8C1A2E" w:sz="14"/>
              <w:bottom w:val="single" w:color="C8C4BC" w:sz="1"/>
              <w:right w:val="single" w:color="C8C4BC" w:sz="1"/>
            </w:tcBorders>
            <w:shd w:fill="FA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HOW THIS DOCUMENT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A: Five AI deployment proposals will appear on screen one at a time. Read each, tick your vote, and note your instinct in the reaction column.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B: Pick the scenario you found hardest. Answer 3 governance questions individually using Copilot. Write your governance stance in the space provided.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8C1A2E"/>
          <w:sz w:val="22"/>
          <w:szCs w:val="22"/>
        </w:rPr>
        <w:t xml:space="preserve">There is no right answer. The quality of your reasoning matters more than your verdict.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1A2E" w:sz="16"/>
              <w:left w:val="single" w:color="8C1A2E" w:sz="16"/>
              <w:bottom w:val="single" w:color="C8C4BC" w:sz="1"/>
              <w:right w:val="single" w:color="C8C4BC" w:sz="1"/>
            </w:tcBorders>
            <w:shd w:fill="FA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A  ·  RAPID FIRE SLIDO  ·  10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Five AI deployment proposals. For each: read the scenario, tick your instinctive vote, note your reaction. The facilitator will launch a Slido poll for each scenario.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07070"/>
          <w:sz w:val="18"/>
          <w:szCs w:val="18"/>
        </w:rPr>
        <w:t xml:space="preserve">Vote options for each scenario:</w:t>
      </w: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   ☐ Approve     ☐ Approve with Conditions     ☐ Reject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040" w:sz="16"/>
              <w:left w:val="single" w:color="1A6040" w:sz="16"/>
              <w:bottom w:val="single" w:color="C8C4BC" w:sz="1"/>
              <w:right w:val="single" w:color="C8C4BC" w:sz="1"/>
            </w:tcBorders>
            <w:shd w:fill="EBF7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Scenario 1</w:t>
            </w:r>
            <w:r>
              <w:rPr>
                <w:rFonts w:ascii="Arial" w:cs="Arial" w:eastAsia="Arial" w:hAnsi="Arial"/>
                <w:b/>
                <w:bCs/>
                <w:color w:val="1A6040"/>
                <w:sz w:val="15"/>
                <w:szCs w:val="15"/>
              </w:rPr>
              <w:t xml:space="preserve">  ·  Clinical  ·  AI Triage Recommendations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Carelon's clinical operations team is proposing to deploy an AI model that recommends triage priority for incoming member calls — directing high-acuity cases to nurses and routing routine enquiries to automated response. The model has been validated on 18 months of historical data with 89% accuracy on clinical priority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Member safety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Clinical accountability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Model accuracy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Override protocol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4BC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APPROVE</w:t>
            </w:r>
          </w:p>
        </w:tc>
        <w:tc>
          <w:tcPr>
            <w:tcW w:type="dxa" w:w="3120"/>
            <w:tcBorders>
              <w:top w:val="single" w:color="7A4800" w:sz="8"/>
              <w:left w:val="single" w:color="C8C4BC" w:sz="1"/>
              <w:bottom w:val="single" w:color="7A4800" w:sz="1"/>
              <w:right w:val="single" w:color="C8C4B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☐  APPROVE WITH CONDITIONS</w:t>
            </w:r>
          </w:p>
        </w:tc>
        <w:tc>
          <w:tcPr>
            <w:tcW w:type="dxa" w:w="3120"/>
            <w:tcBorders>
              <w:top w:val="single" w:color="8C1A2E" w:sz="8"/>
              <w:left w:val="single" w:color="C8C4BC" w:sz="1"/>
              <w:bottom w:val="single" w:color="8C1A2E" w:sz="1"/>
              <w:right w:val="single" w:color="8C1A2E" w:sz="8"/>
            </w:tcBorders>
            <w:shd w:fill="FA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☐  REJECT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8A" w:sz="16"/>
              <w:left w:val="single" w:color="1A4F8A" w:sz="16"/>
              <w:bottom w:val="single" w:color="C8C4BC" w:sz="1"/>
              <w:right w:val="single" w:color="C8C4BC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Scenario 2</w:t>
            </w:r>
            <w:r>
              <w:rPr>
                <w:rFonts w:ascii="Arial" w:cs="Arial" w:eastAsia="Arial" w:hAnsi="Arial"/>
                <w:b/>
                <w:bCs/>
                <w:color w:val="1A4F8A"/>
                <w:sz w:val="15"/>
                <w:szCs w:val="15"/>
              </w:rPr>
              <w:t xml:space="preserve">  ·  Operational  ·  Automated Claims Denials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The operations team wants AI-assisted claims processing that automatically denies claims below a defined confidence threshold — without human review — covering approximately 40% of all submitted claims. Objective: cut processing time from 14 days to 48 hours, reduce operational cost by $12M annually.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Member appeal rights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Regulatory compliance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Denial rate accuracy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$12M cost saving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4BC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APPROVE</w:t>
            </w:r>
          </w:p>
        </w:tc>
        <w:tc>
          <w:tcPr>
            <w:tcW w:type="dxa" w:w="3120"/>
            <w:tcBorders>
              <w:top w:val="single" w:color="7A4800" w:sz="8"/>
              <w:left w:val="single" w:color="C8C4BC" w:sz="1"/>
              <w:bottom w:val="single" w:color="7A4800" w:sz="1"/>
              <w:right w:val="single" w:color="C8C4B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☐  APPROVE WITH CONDITIONS</w:t>
            </w:r>
          </w:p>
        </w:tc>
        <w:tc>
          <w:tcPr>
            <w:tcW w:type="dxa" w:w="3120"/>
            <w:tcBorders>
              <w:top w:val="single" w:color="8C1A2E" w:sz="8"/>
              <w:left w:val="single" w:color="C8C4BC" w:sz="1"/>
              <w:bottom w:val="single" w:color="8C1A2E" w:sz="1"/>
              <w:right w:val="single" w:color="8C1A2E" w:sz="8"/>
            </w:tcBorders>
            <w:shd w:fill="FA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☐  REJECT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8A" w:sz="16"/>
              <w:left w:val="single" w:color="1A4F8A" w:sz="16"/>
              <w:bottom w:val="single" w:color="C8C4BC" w:sz="1"/>
              <w:right w:val="single" w:color="C8C4BC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Scenario 3</w:t>
            </w:r>
            <w:r>
              <w:rPr>
                <w:rFonts w:ascii="Arial" w:cs="Arial" w:eastAsia="Arial" w:hAnsi="Arial"/>
                <w:b/>
                <w:bCs/>
                <w:color w:val="1A4F8A"/>
                <w:sz w:val="15"/>
                <w:szCs w:val="15"/>
              </w:rPr>
              <w:t xml:space="preserve">  ·  Operational  ·  AI-Generated Provider Scorecards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Carelon's network management team wants to use AI to generate quarterly performance scorecards for all 8,400 contracted providers — ranking them on cost efficiency, outcome quality, and guideline adherence. Scorecards to be used internally for network decisions and shared with providers on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Provider relationships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Algorithmic bias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Network adequacy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Data transparency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4BC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APPROVE</w:t>
            </w:r>
          </w:p>
        </w:tc>
        <w:tc>
          <w:tcPr>
            <w:tcW w:type="dxa" w:w="3120"/>
            <w:tcBorders>
              <w:top w:val="single" w:color="7A4800" w:sz="8"/>
              <w:left w:val="single" w:color="C8C4BC" w:sz="1"/>
              <w:bottom w:val="single" w:color="7A4800" w:sz="1"/>
              <w:right w:val="single" w:color="C8C4B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☐  APPROVE WITH CONDITIONS</w:t>
            </w:r>
          </w:p>
        </w:tc>
        <w:tc>
          <w:tcPr>
            <w:tcW w:type="dxa" w:w="3120"/>
            <w:tcBorders>
              <w:top w:val="single" w:color="8C1A2E" w:sz="8"/>
              <w:left w:val="single" w:color="C8C4BC" w:sz="1"/>
              <w:bottom w:val="single" w:color="8C1A2E" w:sz="1"/>
              <w:right w:val="single" w:color="8C1A2E" w:sz="8"/>
            </w:tcBorders>
            <w:shd w:fill="FA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☐  REJECT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800" w:sz="16"/>
              <w:left w:val="single" w:color="7A5800" w:sz="16"/>
              <w:bottom w:val="single" w:color="C8C4BC" w:sz="1"/>
              <w:right w:val="single" w:color="C8C4BC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Scenario 4</w:t>
            </w:r>
            <w:r>
              <w:rPr>
                <w:rFonts w:ascii="Arial" w:cs="Arial" w:eastAsia="Arial" w:hAnsi="Arial"/>
                <w:b/>
                <w:bCs/>
                <w:color w:val="7A5800"/>
                <w:sz w:val="15"/>
                <w:szCs w:val="15"/>
              </w:rPr>
              <w:t xml:space="preserve">  ·  PHI Risk  ·  PHI Risk — Vendor Retains Training Data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 leading AI vendor is offering a prior auth automation tool trained on Carelon's de-identified member health records. The vendor's contract includes a clause allowing them to retain and use the training data post-engagement to improve their general model — which is then licensed to competing payers. Legal has flagged PHI aggregation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HIPAA exposure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Competitive intelligence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PHI aggregation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Vendor ToS clause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4BC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APPROVE</w:t>
            </w:r>
          </w:p>
        </w:tc>
        <w:tc>
          <w:tcPr>
            <w:tcW w:type="dxa" w:w="3120"/>
            <w:tcBorders>
              <w:top w:val="single" w:color="7A4800" w:sz="8"/>
              <w:left w:val="single" w:color="C8C4BC" w:sz="1"/>
              <w:bottom w:val="single" w:color="7A4800" w:sz="1"/>
              <w:right w:val="single" w:color="C8C4B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☐  APPROVE WITH CONDITIONS</w:t>
            </w:r>
          </w:p>
        </w:tc>
        <w:tc>
          <w:tcPr>
            <w:tcW w:type="dxa" w:w="3120"/>
            <w:tcBorders>
              <w:top w:val="single" w:color="8C1A2E" w:sz="8"/>
              <w:left w:val="single" w:color="C8C4BC" w:sz="1"/>
              <w:bottom w:val="single" w:color="8C1A2E" w:sz="1"/>
              <w:right w:val="single" w:color="8C1A2E" w:sz="8"/>
            </w:tcBorders>
            <w:shd w:fill="FA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☐  REJECT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080" w:sz="16"/>
              <w:left w:val="single" w:color="5A2080" w:sz="16"/>
              <w:bottom w:val="single" w:color="C8C4BC" w:sz="1"/>
              <w:right w:val="single" w:color="C8C4BC" w:sz="1"/>
            </w:tcBorders>
            <w:shd w:fill="F4EE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Scenario 5</w:t>
            </w:r>
            <w:r>
              <w:rPr>
                <w:rFonts w:ascii="Arial" w:cs="Arial" w:eastAsia="Arial" w:hAnsi="Arial"/>
                <w:b/>
                <w:bCs/>
                <w:color w:val="5A2080"/>
                <w:sz w:val="15"/>
                <w:szCs w:val="15"/>
              </w:rPr>
              <w:t xml:space="preserve">  ·  PII Risk  ·  PII Risk — Third-Party Analytics Share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Carelon's data analytics team wants to share AI-generated claims summaries — including diagnosis codes, treatment patterns, and cost data — with a third-party analytics partner to benchmark performance against industry peers. The summaries contain PII that has not been fully anonymised. The benchmarking data would improve Carelon's Star Ratings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PII exposure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Member consent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State privacy laws</w:t>
            </w:r>
          </w:p>
        </w:tc>
        <w:tc>
          <w:tcPr>
            <w:tcW w:type="dxa" w:w="234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Star Ratings benefit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040" w:sz="8"/>
              <w:left w:val="single" w:color="1A6040" w:sz="8"/>
              <w:bottom w:val="single" w:color="1A6040" w:sz="1"/>
              <w:right w:val="single" w:color="C8C4BC" w:sz="1"/>
            </w:tcBorders>
            <w:shd w:fill="E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7"/>
                <w:szCs w:val="17"/>
              </w:rPr>
              <w:t xml:space="preserve">☐  APPROVE</w:t>
            </w:r>
          </w:p>
        </w:tc>
        <w:tc>
          <w:tcPr>
            <w:tcW w:type="dxa" w:w="3120"/>
            <w:tcBorders>
              <w:top w:val="single" w:color="7A4800" w:sz="8"/>
              <w:left w:val="single" w:color="C8C4BC" w:sz="1"/>
              <w:bottom w:val="single" w:color="7A4800" w:sz="1"/>
              <w:right w:val="single" w:color="C8C4B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7"/>
                <w:szCs w:val="17"/>
              </w:rPr>
              <w:t xml:space="preserve">☐  APPROVE WITH CONDITIONS</w:t>
            </w:r>
          </w:p>
        </w:tc>
        <w:tc>
          <w:tcPr>
            <w:tcW w:type="dxa" w:w="3120"/>
            <w:tcBorders>
              <w:top w:val="single" w:color="8C1A2E" w:sz="8"/>
              <w:left w:val="single" w:color="C8C4BC" w:sz="1"/>
              <w:bottom w:val="single" w:color="8C1A2E" w:sz="1"/>
              <w:right w:val="single" w:color="8C1A2E" w:sz="8"/>
            </w:tcBorders>
            <w:shd w:fill="FA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7"/>
                <w:szCs w:val="17"/>
              </w:rPr>
              <w:t xml:space="preserve">☐  REJECT</w:t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1A2E" w:sz="16"/>
              <w:left w:val="single" w:color="8C1A2E" w:sz="16"/>
              <w:bottom w:val="single" w:color="C8C4BC" w:sz="1"/>
              <w:right w:val="single" w:color="C8C4BC" w:sz="1"/>
            </w:tcBorders>
            <w:shd w:fill="FA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B  ·  INDIVIDUAL  ·  15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36"/>
                <w:szCs w:val="36"/>
              </w:rPr>
              <w:t xml:space="preserve">Your Governance Stance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A2E"/>
          <w:sz w:val="16"/>
          <w:szCs w:val="16"/>
        </w:rPr>
        <w:t xml:space="preserve">STEP 1 — PICK THE SCENARIO YOU FOUND HARDEST FROM THE SLIDO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6040" w:sz="10"/>
              <w:left w:val="single" w:color="1A6040" w:sz="10"/>
              <w:bottom w:val="single" w:color="C8C4BC" w:sz="1"/>
              <w:right w:val="single" w:color="C8C4BC" w:sz="1"/>
            </w:tcBorders>
            <w:shd w:fill="EBF7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A604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6040"/>
                <w:sz w:val="20"/>
                <w:szCs w:val="20"/>
              </w:rPr>
              <w:t xml:space="preserve">S1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AI Triage</w:t>
            </w:r>
          </w:p>
        </w:tc>
        <w:tc>
          <w:tcPr>
            <w:tcW w:type="dxa" w:w="1872"/>
            <w:tcBorders>
              <w:top w:val="single" w:color="1A4F8A" w:sz="10"/>
              <w:left w:val="single" w:color="1A4F8A" w:sz="10"/>
              <w:bottom w:val="single" w:color="C8C4BC" w:sz="1"/>
              <w:right w:val="single" w:color="C8C4BC" w:sz="1"/>
            </w:tcBorders>
            <w:shd w:fill="EE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A4F8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Claims Denial</w:t>
            </w:r>
          </w:p>
        </w:tc>
        <w:tc>
          <w:tcPr>
            <w:tcW w:type="dxa" w:w="1872"/>
            <w:tcBorders>
              <w:top w:val="single" w:color="1A4F8A" w:sz="10"/>
              <w:left w:val="single" w:color="1A4F8A" w:sz="10"/>
              <w:bottom w:val="single" w:color="C8C4BC" w:sz="1"/>
              <w:right w:val="single" w:color="C8C4BC" w:sz="1"/>
            </w:tcBorders>
            <w:shd w:fill="EE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1A4F8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Provider Scores</w:t>
            </w:r>
          </w:p>
        </w:tc>
        <w:tc>
          <w:tcPr>
            <w:tcW w:type="dxa" w:w="1872"/>
            <w:tcBorders>
              <w:top w:val="single" w:color="7A5800" w:sz="10"/>
              <w:left w:val="single" w:color="7A5800" w:sz="10"/>
              <w:bottom w:val="single" w:color="C8C4BC" w:sz="1"/>
              <w:right w:val="single" w:color="C8C4BC" w:sz="1"/>
            </w:tcBorders>
            <w:shd w:fill="FD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7A58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7A5800"/>
                <w:sz w:val="20"/>
                <w:szCs w:val="20"/>
              </w:rPr>
              <w:t xml:space="preserve">S4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PHI Risk</w:t>
            </w:r>
          </w:p>
        </w:tc>
        <w:tc>
          <w:tcPr>
            <w:tcW w:type="dxa" w:w="1872"/>
            <w:tcBorders>
              <w:top w:val="single" w:color="5A2080" w:sz="10"/>
              <w:left w:val="single" w:color="5A2080" w:sz="10"/>
              <w:bottom w:val="single" w:color="C8C4BC" w:sz="1"/>
              <w:right w:val="single" w:color="C8C4BC" w:sz="1"/>
            </w:tcBorders>
            <w:shd w:fill="F4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5A208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5A2080"/>
                <w:sz w:val="20"/>
                <w:szCs w:val="20"/>
              </w:rPr>
              <w:t xml:space="preserve">S5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PII Risk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A2E"/>
          <w:sz w:val="16"/>
          <w:szCs w:val="16"/>
        </w:rPr>
        <w:t xml:space="preserve">STEP 2 — ANSWER ALL 3 GOVERNANCE QUESTIONS (USE COPILOT FOR GUIDANCE)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A5800" w:sz="10"/>
              <w:left w:val="single" w:color="7A5800" w:sz="10"/>
              <w:bottom w:val="single" w:color="C8C4BC" w:sz="1"/>
              <w:right w:val="single" w:color="C8C4BC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5800"/>
                <w:sz w:val="18"/>
                <w:szCs w:val="18"/>
              </w:rPr>
              <w:t xml:space="preserve">Q1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800"/>
                <w:sz w:val="15"/>
                <w:szCs w:val="15"/>
              </w:rPr>
              <w:t xml:space="preserve">YOUR VERDICT</w:t>
            </w:r>
          </w:p>
        </w:tc>
        <w:tc>
          <w:tcPr>
            <w:tcW w:type="dxa" w:w="3120"/>
            <w:tcBorders>
              <w:top w:val="single" w:color="8C1A2E" w:sz="10"/>
              <w:left w:val="single" w:color="8C1A2E" w:sz="10"/>
              <w:bottom w:val="single" w:color="C8C4BC" w:sz="1"/>
              <w:right w:val="single" w:color="C8C4BC" w:sz="1"/>
            </w:tcBorders>
            <w:shd w:fill="FA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8"/>
                <w:szCs w:val="18"/>
              </w:rPr>
              <w:t xml:space="preserve">Q2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1A2E"/>
                <w:sz w:val="15"/>
                <w:szCs w:val="15"/>
              </w:rPr>
              <w:t xml:space="preserve">YOUR 3 GOVERNANCE GUARDRAILS</w:t>
            </w:r>
          </w:p>
        </w:tc>
        <w:tc>
          <w:tcPr>
            <w:tcW w:type="dxa" w:w="3120"/>
            <w:tcBorders>
              <w:top w:val="single" w:color="1A6040" w:sz="10"/>
              <w:left w:val="single" w:color="1A6040" w:sz="10"/>
              <w:bottom w:val="single" w:color="C8C4BC" w:sz="1"/>
              <w:right w:val="single" w:color="C8C4BC" w:sz="1"/>
            </w:tcBorders>
            <w:shd w:fill="EB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8"/>
                <w:szCs w:val="18"/>
              </w:rPr>
              <w:t xml:space="preserve">Q3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5"/>
                <w:szCs w:val="15"/>
              </w:rPr>
              <w:t xml:space="preserve">YOUR ESCALATION TRIGGER</w:t>
            </w:r>
          </w:p>
        </w:tc>
      </w:tr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What was your instinctive vote on this scenario — and what single factor made it the hardest call in the room?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Approve · Approve with Conditions · Reject
Be honest — write your real instinct, not the defensible answer.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What are your 3 non-negotiable governance conditions that would need to be in place before Carelon could safely approve this type of AI deployment?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Be specific — name the regulatory requirement, the technical safeguard, or the accountability mechanism. Not "we need oversight."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At what exact point would you stop, escalate to the Board Risk Committee, or reject outright — regardless of the financial case for proceeding?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Name the specific trigger: a data condition, a regulatory event, a model accuracy threshold, or an accountability gap.</w:t>
            </w:r>
          </w:p>
        </w:tc>
      </w:tr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COPILOT STARTER PROMPT — PERSONALISE WITH YOUR SCENARIO, THEN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6F4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advising the executive leadership team at Carelon, a US health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insurance and managed care company, on AI governance.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SCENARIO: [Describe your chosen Rapid Fire scenario in 2 sentences]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Help me answer 3 governance questions: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GOVERNANCE GUARDRAILS: What are the minimum non-negotiable conditions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that must be in place before Carelon can safely approve this AI deployment?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Name specific regulatory requirements (HIPAA, CMS, state insurance laws),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technical safeguards, and accountability mechanisms. No generic recommendations.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RISK ASSESSMENT: What are the top 3 risks if Carelon proceeds without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adequate governance? For each: what goes wrong, who is harmed, and what is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Carelon's regulatory and reputational exposure?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ESCALATION TRIGGER: Define the specific conditions that would require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immediate escalation to the Board Risk Committee or a full programme halt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— regardless of the financial case for proceeding.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Context: Carelon is a subsidiary of Elevance Health in managed care and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utilisation management. PHI protection, HIPAA compliance, and member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safety are non-negotiable.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A2E"/>
          <w:sz w:val="16"/>
          <w:szCs w:val="16"/>
        </w:rPr>
        <w:t xml:space="preserve">YOUR GOVERNANCE SUMMARY — 2–3 SENTENCES YOU'D SHARE WITH THE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BC" w:sz="1"/>
              <w:left w:val="single" w:color="8C1A2E" w:sz="8"/>
              <w:bottom w:val="single" w:color="C8C4BC" w:sz="1"/>
              <w:right w:val="single" w:color="C8C4BC" w:sz="1"/>
            </w:tcBorders>
            <w:shd w:fill="FAF0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IN ONE EXECUTIVE SENTENCE — WHAT IS YOUR GOVERNANCE STANCE ON THIS SCENARIO?</w:t>
            </w:r>
          </w:p>
        </w:tc>
      </w:tr>
      <w:tr>
        <w:tc>
          <w:tcPr>
            <w:tcW w:type="dxa" w:w="93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1A2E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CONFIDENTIAL  —  Carelon C-Suite AI Workshop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1A2E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6  ·  Activities A &amp; B  |  AI Governance, Ethics &amp; Risk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2026-04-25T02:27:45.218Z</dcterms:created>
  <dcterms:modified xsi:type="dcterms:W3CDTF">2026-04-25T02:27:45.219Z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