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4.xml" ContentType="application/vnd.openxmlformats-officedocument.wordprocessingml.header+xml"/>
  <Override PartName="/word/header23.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footer29.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footer28.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footer21.xml" ContentType="application/vnd.openxmlformats-officedocument.wordprocessingml.footer+xml"/>
  <Override PartName="/word/footer20.xml" ContentType="application/vnd.openxmlformats-officedocument.wordprocessingml.footer+xml"/>
  <Override PartName="/word/footer31.xml" ContentType="application/vnd.openxmlformats-officedocument.wordprocessingml.footer+xml"/>
  <Override PartName="/word/header1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media/image55.png" ContentType="image/png"/>
  <Override PartName="/word/media/image34.jpeg" ContentType="image/jpeg"/>
  <Override PartName="/word/media/image12.wmf" ContentType="image/x-wmf"/>
  <Override PartName="/word/media/image52.jpeg" ContentType="image/jpeg"/>
  <Override PartName="/word/media/image50.jpeg" ContentType="image/jpeg"/>
  <Override PartName="/word/media/image49.jpeg" ContentType="image/jpeg"/>
  <Override PartName="/word/media/image48.wmf" ContentType="image/x-wmf"/>
  <Override PartName="/word/media/image46.jpeg" ContentType="image/jpeg"/>
  <Override PartName="/word/media/image45.jpeg" ContentType="image/jpeg"/>
  <Override PartName="/word/media/image43.wmf" ContentType="image/x-wmf"/>
  <Override PartName="/word/media/image38.png" ContentType="image/png"/>
  <Override PartName="/word/media/image37.wmf" ContentType="image/x-wmf"/>
  <Override PartName="/word/media/image54.png" ContentType="image/png"/>
  <Override PartName="/word/media/image15.wmf" ContentType="image/x-wmf"/>
  <Override PartName="/word/media/image41.jpeg" ContentType="image/jpeg"/>
  <Override PartName="/word/media/image61.png" ContentType="image/png"/>
  <Override PartName="/word/media/image16.png" ContentType="image/png"/>
  <Override PartName="/word/media/image59.wmf" ContentType="image/x-wmf"/>
  <Override PartName="/word/media/image24.jpeg" ContentType="image/jpeg"/>
  <Override PartName="/word/media/image14.wmf" ContentType="image/x-wmf"/>
  <Override PartName="/word/media/image19.jpeg" ContentType="image/jpeg"/>
  <Override PartName="/word/media/image58.wmf" ContentType="image/x-wmf"/>
  <Override PartName="/word/media/image18.png" ContentType="image/png"/>
  <Override PartName="/word/media/image60.png" ContentType="image/png"/>
  <Override PartName="/word/media/image29.svg" ContentType="image/svg"/>
  <Override PartName="/word/media/image21.wmf" ContentType="image/x-wmf"/>
  <Override PartName="/word/media/image64.png" ContentType="image/png"/>
  <Override PartName="/word/media/image57.wmf" ContentType="image/x-wmf"/>
  <Override PartName="/word/media/image20.wmf" ContentType="image/x-wmf"/>
  <Override PartName="/word/media/image63.png" ContentType="image/png"/>
  <Override PartName="/word/media/image72.wmf" ContentType="image/x-wmf"/>
  <Override PartName="/word/media/image71.jpeg" ContentType="image/jpeg"/>
  <Override PartName="/word/media/image68.wmf" ContentType="image/x-wmf"/>
  <Override PartName="/word/media/image28.png" ContentType="image/png"/>
  <Override PartName="/word/media/image70.wmf" ContentType="image/x-wmf"/>
  <Override PartName="/word/media/image3.jpeg" ContentType="image/jpeg"/>
  <Override PartName="/word/media/image67.wmf" ContentType="image/x-wmf"/>
  <Override PartName="/word/media/image66.wmf" ContentType="image/x-wmf"/>
  <Override PartName="/word/media/image23.jpeg" ContentType="image/jpeg"/>
  <Override PartName="/word/media/image1.jpeg" ContentType="image/jpeg"/>
  <Override PartName="/word/media/image26.wmf" ContentType="image/x-wmf"/>
  <Override PartName="/word/media/image22.wmf" ContentType="image/x-wmf"/>
  <Override PartName="/word/media/image65.png" ContentType="image/png"/>
  <Override PartName="/word/media/image2.png" ContentType="image/png"/>
  <Override PartName="/word/media/image30.jpeg" ContentType="image/jpeg"/>
  <Override PartName="/word/media/image25.jpeg" ContentType="image/jpeg"/>
  <Override PartName="/word/media/image69.wmf" ContentType="image/x-wmf"/>
  <Override PartName="/word/media/image42.jpeg" ContentType="image/jpeg"/>
  <Override PartName="/word/media/image36.jpeg" ContentType="image/jpeg"/>
  <Override PartName="/word/media/image32.wmf" ContentType="image/x-wmf"/>
  <Override PartName="/word/media/image4.png" ContentType="image/png"/>
  <Override PartName="/word/media/image5.png" ContentType="image/png"/>
  <Override PartName="/word/media/image62.png" ContentType="image/png"/>
  <Override PartName="/word/media/image53.jpeg" ContentType="image/jpeg"/>
  <Override PartName="/word/media/image17.wmf" ContentType="image/x-wmf"/>
  <Override PartName="/word/media/image8.wmf" ContentType="image/x-wmf"/>
  <Override PartName="/word/media/image47.jpeg" ContentType="image/jpeg"/>
  <Override PartName="/word/media/image40.jpeg" ContentType="image/jpeg"/>
  <Override PartName="/word/media/image7.wmf" ContentType="image/x-wmf"/>
  <Override PartName="/word/media/image39.wmf" ContentType="image/x-wmf"/>
  <Override PartName="/word/media/image6.svg" ContentType="image/svg"/>
  <Override PartName="/word/media/image9.jpeg" ContentType="image/jpeg"/>
  <Override PartName="/word/media/image51.wmf" ContentType="image/x-wmf"/>
  <Override PartName="/word/media/image10.wmf" ContentType="image/x-wmf"/>
  <Override PartName="/word/media/image27.png" ContentType="image/png"/>
  <Override PartName="/word/media/image56.jpeg" ContentType="image/jpeg"/>
  <Override PartName="/word/media/image11.jpeg" ContentType="image/jpeg"/>
  <Override PartName="/word/media/image13.wmf" ContentType="image/x-wmf"/>
  <Override PartName="/word/media/image31.jpeg" ContentType="image/jpeg"/>
  <Override PartName="/word/media/image44.png" ContentType="image/png"/>
  <Override PartName="/word/media/image33.wmf" ContentType="image/x-wmf"/>
  <Override PartName="/word/media/image35.wmf" ContentType="image/x-wmf"/>
  <Override PartName="/word/header13.xml" ContentType="application/vnd.openxmlformats-officedocument.wordprocessingml.header+xml"/>
  <Override PartName="/word/footer18.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footer36.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26.xml" ContentType="application/vnd.openxmlformats-officedocument.wordprocessingml.header+xml"/>
  <Override PartName="/word/footer32.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header2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header34.xml" ContentType="application/vnd.openxmlformats-officedocument.wordprocessingml.header+xml"/>
  <Override PartName="/word/header33.xml" ContentType="application/vnd.openxmlformats-officedocument.wordprocessingml.header+xml"/>
  <Override PartName="/word/footer38.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37.xml" ContentType="application/vnd.openxmlformats-officedocument.wordprocessingml.footer+xml"/>
  <Override PartName="/word/footer39.xml" ContentType="application/vnd.openxmlformats-officedocument.wordprocessingml.footer+xml"/>
  <Override PartName="/word/header30.xml" ContentType="application/vnd.openxmlformats-officedocument.wordprocessingml.header+xml"/>
  <Override PartName="/word/header29.xml" ContentType="application/vnd.openxmlformats-officedocument.wordprocessingml.header+xml"/>
  <Override PartName="/word/header28.xml" ContentType="application/vnd.openxmlformats-officedocument.wordprocessingml.header+xml"/>
  <Override PartName="/word/footer35.xml" ContentType="application/vnd.openxmlformats-officedocument.wordprocessingml.footer+xml"/>
  <Override PartName="/word/footer34.xml" ContentType="application/vnd.openxmlformats-officedocument.wordprocessingml.footer+xml"/>
  <Override PartName="/word/header5.xml" ContentType="application/vnd.openxmlformats-officedocument.wordprocessingml.head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4.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40.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header2.xml" ContentType="application/vnd.openxmlformats-officedocument.wordprocessingml.header+xml"/>
  <Override PartName="/word/header11.xml" ContentType="application/vnd.openxmlformats-officedocument.wordprocessingml.header+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Page1"/>
        <w:spacing w:lineRule="auto" w:line="240" w:before="0" w:after="0"/>
        <w:rPr>
          <w:color w:themeColor="text1" w:val="000000"/>
        </w:rPr>
      </w:pPr>
      <w:r>
        <w:rPr>
          <w:color w:themeColor="text1" w:val="000000"/>
        </w:rPr>
        <w:t>Development of Simulation Models for</w:t>
      </w:r>
    </w:p>
    <w:p>
      <w:pPr>
        <w:pStyle w:val="TitlePage1"/>
        <w:spacing w:lineRule="auto" w:line="240" w:before="0" w:after="0"/>
        <w:rPr>
          <w:color w:themeColor="text1" w:val="000000"/>
        </w:rPr>
      </w:pPr>
      <w:r>
        <w:rPr>
          <w:color w:themeColor="text1" w:val="000000"/>
        </w:rPr>
        <w:t>Everglades Stormwater Treatment Areas (STAs)</w:t>
      </w:r>
    </w:p>
    <w:p>
      <w:pPr>
        <w:pStyle w:val="TitlePage2"/>
        <w:spacing w:lineRule="auto" w:line="240" w:before="0" w:after="0"/>
        <w:rPr>
          <w:b/>
          <w:color w:themeColor="text1" w:val="000000"/>
        </w:rPr>
      </w:pPr>
      <w:r>
        <w:rPr>
          <w:b/>
          <w:color w:themeColor="text1" w:val="000000"/>
        </w:rPr>
      </w:r>
    </w:p>
    <w:p>
      <w:pPr>
        <w:pStyle w:val="TitlePage2"/>
        <w:rPr>
          <w:color w:themeColor="text1" w:val="000000"/>
        </w:rPr>
      </w:pPr>
      <w:r>
        <w:rPr>
          <w:color w:themeColor="text1" w:val="000000"/>
        </w:rPr>
        <w:t>Final Report</w:t>
      </w:r>
    </w:p>
    <w:p>
      <w:pPr>
        <w:pStyle w:val="TitlePage2"/>
        <w:rPr>
          <w:color w:themeColor="text1" w:val="000000"/>
        </w:rPr>
      </w:pPr>
      <w:r>
        <w:rPr>
          <w:color w:themeColor="text1" w:val="000000"/>
        </w:rPr>
        <w:t>South Florida Water Management District</w:t>
      </w:r>
    </w:p>
    <w:p>
      <w:pPr>
        <w:pStyle w:val="TitlePage2"/>
        <w:rPr>
          <w:color w:themeColor="text1" w:val="000000"/>
        </w:rPr>
      </w:pPr>
      <w:r>
        <w:rPr>
          <w:color w:themeColor="text1" w:val="000000"/>
        </w:rPr>
      </w:r>
    </w:p>
    <w:p>
      <w:pPr>
        <w:pStyle w:val="TitlePage2"/>
        <w:tabs>
          <w:tab w:val="clear" w:pos="720"/>
          <w:tab w:val="left" w:pos="4570" w:leader="none"/>
          <w:tab w:val="center" w:pos="4680" w:leader="none"/>
        </w:tabs>
        <w:jc w:val="left"/>
        <w:rPr>
          <w:color w:themeColor="text1" w:val="000000"/>
          <w:sz w:val="28"/>
          <w:szCs w:val="28"/>
        </w:rPr>
      </w:pPr>
      <w:r>
        <w:rPr>
          <w:color w:themeColor="text1" w:val="000000"/>
          <w:sz w:val="28"/>
          <w:szCs w:val="28"/>
        </w:rPr>
        <w:drawing>
          <wp:anchor behindDoc="1" distT="0" distB="0" distL="0" distR="0" simplePos="0" locked="0" layoutInCell="1" allowOverlap="1" relativeHeight="22">
            <wp:simplePos x="0" y="0"/>
            <wp:positionH relativeFrom="column">
              <wp:posOffset>1917700</wp:posOffset>
            </wp:positionH>
            <wp:positionV relativeFrom="paragraph">
              <wp:posOffset>-2540</wp:posOffset>
            </wp:positionV>
            <wp:extent cx="2105025" cy="2114550"/>
            <wp:effectExtent l="0" t="0" r="0" b="0"/>
            <wp:wrapNone/>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2105025" cy="2114550"/>
                    </a:xfrm>
                    <a:prstGeom prst="rect">
                      <a:avLst/>
                    </a:prstGeom>
                  </pic:spPr>
                </pic:pic>
              </a:graphicData>
            </a:graphic>
          </wp:anchor>
        </w:drawing>
      </w:r>
      <w:r>
        <w:rPr>
          <w:color w:themeColor="text1" w:val="000000"/>
          <w:sz w:val="28"/>
          <w:szCs w:val="28"/>
        </w:rPr>
        <w:tab/>
        <w:tab/>
      </w:r>
    </w:p>
    <w:p>
      <w:pPr>
        <w:pStyle w:val="TitlePage2"/>
        <w:rPr>
          <w:color w:themeColor="text1" w:val="000000"/>
          <w:sz w:val="28"/>
          <w:szCs w:val="28"/>
        </w:rPr>
      </w:pPr>
      <w:r>
        <w:rPr>
          <w:color w:themeColor="text1" w:val="000000"/>
          <w:sz w:val="28"/>
          <w:szCs w:val="28"/>
        </w:rPr>
      </w:r>
    </w:p>
    <w:p>
      <w:pPr>
        <w:pStyle w:val="TitlePage3"/>
        <w:rPr>
          <w:color w:themeColor="text1" w:val="000000"/>
        </w:rPr>
      </w:pPr>
      <w:r>
        <w:rPr>
          <w:color w:themeColor="text1" w:val="000000"/>
        </w:rPr>
      </w:r>
    </w:p>
    <w:p>
      <w:pPr>
        <w:pStyle w:val="TitlePage3"/>
        <w:rPr>
          <w:color w:themeColor="text1" w:val="000000"/>
        </w:rPr>
      </w:pPr>
      <w:r>
        <w:rPr>
          <w:color w:themeColor="text1" w:val="000000"/>
        </w:rPr>
      </w:r>
    </w:p>
    <w:p>
      <w:pPr>
        <w:pStyle w:val="TitlePage3"/>
        <w:rPr>
          <w:color w:themeColor="text1" w:val="000000"/>
        </w:rPr>
      </w:pPr>
      <w:r>
        <w:rPr>
          <w:color w:themeColor="text1" w:val="000000"/>
        </w:rPr>
      </w:r>
    </w:p>
    <w:p>
      <w:pPr>
        <w:pStyle w:val="TitlePage3"/>
        <w:jc w:val="left"/>
        <w:rPr>
          <w:color w:themeColor="text1" w:val="000000"/>
        </w:rPr>
      </w:pPr>
      <w:r>
        <w:rPr>
          <w:color w:themeColor="text1" w:val="000000"/>
        </w:rPr>
      </w:r>
    </w:p>
    <w:p>
      <w:pPr>
        <w:pStyle w:val="TitlePage3"/>
        <w:jc w:val="left"/>
        <w:rPr>
          <w:color w:themeColor="text1" w:val="000000"/>
        </w:rPr>
      </w:pPr>
      <w:r>
        <w:rPr>
          <w:color w:themeColor="text1" w:val="000000"/>
        </w:rPr>
      </w:r>
    </w:p>
    <w:p>
      <w:pPr>
        <w:pStyle w:val="TitlePage3"/>
        <w:jc w:val="left"/>
        <w:rPr>
          <w:color w:themeColor="text1" w:val="000000"/>
        </w:rPr>
      </w:pPr>
      <w:r>
        <w:rPr>
          <w:color w:themeColor="text1" w:val="000000"/>
        </w:rPr>
      </w:r>
    </w:p>
    <w:p>
      <w:pPr>
        <w:pStyle w:val="TitlePage3"/>
        <w:ind w:left="900"/>
        <w:jc w:val="left"/>
        <w:rPr>
          <w:color w:themeColor="text1" w:val="000000"/>
        </w:rPr>
      </w:pPr>
      <w:r>
        <w:rPr/>
        <w:drawing>
          <wp:anchor behindDoc="1" distT="0" distB="0" distL="0" distR="0" simplePos="0" locked="0" layoutInCell="1" allowOverlap="1" relativeHeight="21">
            <wp:simplePos x="0" y="0"/>
            <wp:positionH relativeFrom="column">
              <wp:posOffset>2463800</wp:posOffset>
            </wp:positionH>
            <wp:positionV relativeFrom="paragraph">
              <wp:posOffset>339725</wp:posOffset>
            </wp:positionV>
            <wp:extent cx="1809750" cy="220345"/>
            <wp:effectExtent l="0" t="0" r="0" b="0"/>
            <wp:wrapNone/>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809750" cy="220345"/>
                    </a:xfrm>
                    <a:prstGeom prst="rect">
                      <a:avLst/>
                    </a:prstGeom>
                  </pic:spPr>
                </pic:pic>
              </a:graphicData>
            </a:graphic>
          </wp:anchor>
        </w:drawing>
        <w:drawing>
          <wp:anchor behindDoc="1" distT="0" distB="0" distL="0" distR="0" simplePos="0" locked="0" layoutInCell="0" allowOverlap="1" relativeHeight="25">
            <wp:simplePos x="0" y="0"/>
            <wp:positionH relativeFrom="margin">
              <wp:posOffset>4605020</wp:posOffset>
            </wp:positionH>
            <wp:positionV relativeFrom="paragraph">
              <wp:posOffset>293370</wp:posOffset>
            </wp:positionV>
            <wp:extent cx="1070610" cy="635000"/>
            <wp:effectExtent l="0" t="0" r="0" b="0"/>
            <wp:wrapNone/>
            <wp:docPr id="3"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descr=""/>
                    <pic:cNvPicPr>
                      <a:picLocks noChangeAspect="1" noChangeArrowheads="1"/>
                    </pic:cNvPicPr>
                  </pic:nvPicPr>
                  <pic:blipFill>
                    <a:blip r:embed="rId4"/>
                    <a:stretch>
                      <a:fillRect/>
                    </a:stretch>
                  </pic:blipFill>
                  <pic:spPr bwMode="auto">
                    <a:xfrm>
                      <a:off x="0" y="0"/>
                      <a:ext cx="1070610" cy="635000"/>
                    </a:xfrm>
                    <a:prstGeom prst="rect">
                      <a:avLst/>
                    </a:prstGeom>
                  </pic:spPr>
                </pic:pic>
              </a:graphicData>
            </a:graphic>
          </wp:anchor>
        </w:drawing>
        <w:drawing>
          <wp:inline distT="0" distB="0" distL="0" distR="0">
            <wp:extent cx="1677035" cy="976630"/>
            <wp:effectExtent l="0" t="0" r="0" b="0"/>
            <wp:docPr id="4"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 descr=""/>
                    <pic:cNvPicPr>
                      <a:picLocks noChangeAspect="1" noChangeArrowheads="1"/>
                    </pic:cNvPicPr>
                  </pic:nvPicPr>
                  <pic:blipFill>
                    <a:blip r:embed="rId5"/>
                    <a:stretch>
                      <a:fillRect/>
                    </a:stretch>
                  </pic:blipFill>
                  <pic:spPr bwMode="auto">
                    <a:xfrm>
                      <a:off x="0" y="0"/>
                      <a:ext cx="1677035" cy="976630"/>
                    </a:xfrm>
                    <a:prstGeom prst="rect">
                      <a:avLst/>
                    </a:prstGeom>
                  </pic:spPr>
                </pic:pic>
              </a:graphicData>
            </a:graphic>
          </wp:inline>
        </w:drawing>
      </w:r>
    </w:p>
    <w:p>
      <w:pPr>
        <w:pStyle w:val="TitlePage3"/>
        <w:rPr>
          <w:color w:themeColor="text1" w:val="000000"/>
        </w:rPr>
      </w:pPr>
      <w:r>
        <w:rPr>
          <w:color w:themeColor="text1" w:val="000000"/>
        </w:rPr>
      </w:r>
    </w:p>
    <w:p>
      <w:pPr>
        <w:pStyle w:val="TitlePage2"/>
        <w:rPr>
          <w:color w:themeColor="text1" w:val="000000"/>
          <w:sz w:val="28"/>
          <w:szCs w:val="28"/>
        </w:rPr>
      </w:pPr>
      <w:r>
        <w:rPr>
          <w:color w:themeColor="text1" w:val="000000"/>
          <w:sz w:val="28"/>
          <w:szCs w:val="28"/>
        </w:rPr>
        <w:t>Work Order: 4600004014-WO05</w:t>
      </w:r>
    </w:p>
    <w:p>
      <w:pPr>
        <w:sectPr>
          <w:footerReference w:type="even" r:id="rId6"/>
          <w:footerReference w:type="default" r:id="rId7"/>
          <w:footerReference w:type="first" r:id="rId8"/>
          <w:type w:val="nextPage"/>
          <w:pgSz w:w="12240" w:h="15840"/>
          <w:pgMar w:left="1440" w:right="1440" w:gutter="0" w:header="0" w:top="1440" w:footer="576" w:bottom="1440"/>
          <w:pgNumType w:start="1" w:fmt="decimal"/>
          <w:formProt w:val="false"/>
          <w:titlePg/>
          <w:textDirection w:val="lrTb"/>
          <w:docGrid w:type="default" w:linePitch="299" w:charSpace="0"/>
        </w:sectPr>
        <w:pStyle w:val="TitlePage3"/>
        <w:rPr>
          <w:color w:themeColor="text1" w:val="000000"/>
        </w:rPr>
      </w:pPr>
      <w:r>
        <w:rPr>
          <w:color w:themeColor="text1" w:val="000000"/>
        </w:rPr>
        <w:t>November 2024</w:t>
      </w:r>
    </w:p>
    <w:p>
      <w:pPr>
        <w:pStyle w:val="TOCHeadingsAfter6ptLinespacing15lines"/>
        <w:rPr>
          <w:color w:themeColor="text1" w:val="000000"/>
        </w:rPr>
      </w:pPr>
      <w:r>
        <w:rPr>
          <w:color w:themeColor="text1" w:val="000000"/>
        </w:rPr>
        <w:t>TABLE OF CONTENTS</w:t>
      </w:r>
    </w:p>
    <w:p>
      <w:pPr>
        <w:pStyle w:val="TOCHeadingsAfter6ptLinespacing15lines"/>
        <w:tabs>
          <w:tab w:val="clear" w:pos="720"/>
          <w:tab w:val="right" w:pos="9180" w:leader="dot"/>
        </w:tabs>
        <w:rPr>
          <w:color w:themeColor="text1" w:val="000000"/>
          <w:sz w:val="22"/>
          <w:szCs w:val="22"/>
        </w:rPr>
      </w:pPr>
      <w:r>
        <w:rPr>
          <w:color w:themeColor="text1" w:val="000000"/>
          <w:sz w:val="22"/>
          <w:szCs w:val="22"/>
        </w:rPr>
        <w:t>Executive Summary</w:t>
        <w:tab/>
      </w:r>
      <w:r>
        <w:rPr>
          <w:caps w:val="false"/>
          <w:smallCaps w:val="false"/>
          <w:color w:themeColor="text1" w:val="000000"/>
          <w:sz w:val="22"/>
          <w:szCs w:val="22"/>
        </w:rPr>
        <w:t>i</w:t>
      </w:r>
      <w:r>
        <w:rPr>
          <w:color w:themeColor="text1" w:val="000000"/>
          <w:sz w:val="22"/>
          <w:szCs w:val="22"/>
        </w:rPr>
        <w:t>-5</w:t>
      </w:r>
    </w:p>
    <w:sdt>
      <w:sdtPr>
        <w:docPartObj>
          <w:docPartGallery w:val="Table of Contents"/>
          <w:docPartUnique w:val="true"/>
        </w:docPartObj>
      </w:sdtPr>
      <w:sdtContent>
        <w:p>
          <w:pPr>
            <w:pStyle w:val="TOC1"/>
            <w:rPr>
              <w:rFonts w:ascii="Calibri" w:hAnsi="Calibri" w:eastAsia="宋体" w:cs="Arial" w:asciiTheme="minorHAnsi" w:cstheme="minorBidi" w:eastAsiaTheme="minorEastAsia" w:hAnsiTheme="minorHAnsi"/>
              <w:b w:val="false"/>
              <w:bCs w:val="false"/>
              <w:caps w:val="false"/>
              <w:smallCaps w:val="false"/>
              <w:kern w:val="2"/>
              <w:sz w:val="24"/>
              <w:szCs w:val="24"/>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182252492">
            <w:r>
              <w:rPr>
                <w:webHidden/>
                <w:rStyle w:val="IndexLink"/>
              </w:rPr>
              <w:t>1.0</w:t>
            </w:r>
            <w:r>
              <w:rPr>
                <w:rStyle w:val="IndexLink"/>
                <w:rFonts w:eastAsia="宋体" w:cs="Arial" w:ascii="Calibri" w:hAnsi="Calibri" w:asciiTheme="minorHAnsi" w:cstheme="minorBidi" w:eastAsiaTheme="minorEastAsia" w:hAnsiTheme="minorHAnsi"/>
                <w:b w:val="false"/>
                <w:bCs w:val="false"/>
                <w:caps w:val="false"/>
                <w:smallCaps w:val="false"/>
                <w:kern w:val="2"/>
                <w:sz w:val="24"/>
                <w:szCs w:val="24"/>
                <w14:ligatures w14:val="standardContextual"/>
              </w:rPr>
              <w:tab/>
            </w:r>
            <w:r>
              <w:rPr>
                <w:rStyle w:val="IndexLink"/>
              </w:rPr>
              <w:t>Introduction</w:t>
            </w:r>
            <w:r>
              <w:rPr>
                <w:webHidden/>
              </w:rPr>
              <w:fldChar w:fldCharType="begin"/>
            </w:r>
            <w:r>
              <w:rPr>
                <w:webHidden/>
              </w:rPr>
              <w:instrText xml:space="preserve">PAGEREF _Toc182252492 \h</w:instrText>
            </w:r>
            <w:r>
              <w:rPr>
                <w:webHidden/>
              </w:rPr>
              <w:fldChar w:fldCharType="separate"/>
            </w:r>
            <w:r>
              <w:rPr>
                <w:rStyle w:val="IndexLink"/>
                <w:vanish w:val="false"/>
              </w:rPr>
              <w:tab/>
              <w:t>1-1</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493">
            <w:r>
              <w:rPr>
                <w:webHidden/>
                <w:rStyle w:val="IndexLink"/>
              </w:rPr>
              <w:t>1.1</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Pr>
              <w:t>Descriptions of the STAs</w:t>
            </w:r>
            <w:r>
              <w:rPr>
                <w:webHidden/>
              </w:rPr>
              <w:fldChar w:fldCharType="begin"/>
            </w:r>
            <w:r>
              <w:rPr>
                <w:webHidden/>
              </w:rPr>
              <w:instrText xml:space="preserve">PAGEREF _Toc182252493 \h</w:instrText>
            </w:r>
            <w:r>
              <w:rPr>
                <w:webHidden/>
              </w:rPr>
              <w:fldChar w:fldCharType="separate"/>
            </w:r>
            <w:r>
              <w:rPr>
                <w:rStyle w:val="IndexLink"/>
                <w:vanish w:val="false"/>
              </w:rPr>
              <w:tab/>
              <w:t>1-1</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494">
            <w:r>
              <w:rPr>
                <w:webHidden/>
                <w:rStyle w:val="IndexLink"/>
              </w:rPr>
              <w:t>1.2</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Pr>
              <w:t>Modeling Phosphorus Biogeochemistry in STA Wetlands</w:t>
            </w:r>
            <w:r>
              <w:rPr>
                <w:webHidden/>
              </w:rPr>
              <w:fldChar w:fldCharType="begin"/>
            </w:r>
            <w:r>
              <w:rPr>
                <w:webHidden/>
              </w:rPr>
              <w:instrText xml:space="preserve">PAGEREF _Toc182252494 \h</w:instrText>
            </w:r>
            <w:r>
              <w:rPr>
                <w:webHidden/>
              </w:rPr>
              <w:fldChar w:fldCharType="separate"/>
            </w:r>
            <w:r>
              <w:rPr>
                <w:rStyle w:val="IndexLink"/>
                <w:vanish w:val="false"/>
              </w:rPr>
              <w:tab/>
              <w:t>1-3</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495">
            <w:r>
              <w:rPr>
                <w:webHidden/>
                <w:rStyle w:val="IndexLink"/>
              </w:rPr>
              <w:t>1.3</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Pr>
              <w:t>CASM</w:t>
            </w:r>
            <w:r>
              <w:rPr>
                <w:webHidden/>
              </w:rPr>
              <w:fldChar w:fldCharType="begin"/>
            </w:r>
            <w:r>
              <w:rPr>
                <w:webHidden/>
              </w:rPr>
              <w:instrText xml:space="preserve">PAGEREF _Toc182252495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 w:val="24"/>
              <w:szCs w:val="24"/>
              <w14:ligatures w14:val="standardContextual"/>
            </w:rPr>
          </w:pPr>
          <w:hyperlink w:anchor="_Toc182252496">
            <w:r>
              <w:rPr>
                <w:webHidden/>
                <w:rStyle w:val="IndexLink"/>
              </w:rPr>
              <w:t>2.0</w:t>
            </w:r>
            <w:r>
              <w:rPr>
                <w:rStyle w:val="IndexLink"/>
                <w:rFonts w:eastAsia="宋体" w:cs="Arial" w:ascii="Calibri" w:hAnsi="Calibri" w:asciiTheme="minorHAnsi" w:cstheme="minorBidi" w:eastAsiaTheme="minorEastAsia" w:hAnsiTheme="minorHAnsi"/>
                <w:b w:val="false"/>
                <w:bCs w:val="false"/>
                <w:caps w:val="false"/>
                <w:smallCaps w:val="false"/>
                <w:kern w:val="2"/>
                <w:sz w:val="24"/>
                <w:szCs w:val="24"/>
                <w14:ligatures w14:val="standardContextual"/>
              </w:rPr>
              <w:tab/>
            </w:r>
            <w:r>
              <w:rPr>
                <w:rStyle w:val="IndexLink"/>
              </w:rPr>
              <w:t>Modeling Phosphorus Biogeochemistry in STA Wetlands</w:t>
            </w:r>
            <w:r>
              <w:rPr>
                <w:webHidden/>
              </w:rPr>
              <w:fldChar w:fldCharType="begin"/>
            </w:r>
            <w:r>
              <w:rPr>
                <w:webHidden/>
              </w:rPr>
              <w:instrText xml:space="preserve">PAGEREF _Toc182252496 \h</w:instrText>
            </w:r>
            <w:r>
              <w:rPr>
                <w:webHidden/>
              </w:rPr>
              <w:fldChar w:fldCharType="separate"/>
            </w:r>
            <w:r>
              <w:rPr>
                <w:rStyle w:val="IndexLink"/>
                <w:vanish w:val="false"/>
              </w:rPr>
              <w:tab/>
              <w:t>2-1</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497">
            <w:r>
              <w:rPr>
                <w:webHidden/>
                <w:rStyle w:val="IndexLink"/>
              </w:rPr>
              <w:t>2.1</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Pr>
              <w:t>Phase I Conceptual Model of Phosphorus Biogeochemical Cycling</w:t>
            </w:r>
            <w:r>
              <w:rPr>
                <w:webHidden/>
              </w:rPr>
              <w:fldChar w:fldCharType="begin"/>
            </w:r>
            <w:r>
              <w:rPr>
                <w:webHidden/>
              </w:rPr>
              <w:instrText xml:space="preserve">PAGEREF _Toc182252497 \h</w:instrText>
            </w:r>
            <w:r>
              <w:rPr>
                <w:webHidden/>
              </w:rPr>
              <w:fldChar w:fldCharType="separate"/>
            </w:r>
            <w:r>
              <w:rPr>
                <w:rStyle w:val="IndexLink"/>
                <w:vanish w:val="false"/>
              </w:rPr>
              <w:tab/>
              <w:t>2-1</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498">
            <w:r>
              <w:rPr>
                <w:webHidden/>
                <w:rStyle w:val="IndexLink"/>
              </w:rPr>
              <w:t>2.2</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Pr>
              <w:t>Phase II Model Development</w:t>
            </w:r>
            <w:r>
              <w:rPr>
                <w:webHidden/>
              </w:rPr>
              <w:fldChar w:fldCharType="begin"/>
            </w:r>
            <w:r>
              <w:rPr>
                <w:webHidden/>
              </w:rPr>
              <w:instrText xml:space="preserve">PAGEREF _Toc182252498 \h</w:instrText>
            </w:r>
            <w:r>
              <w:rPr>
                <w:webHidden/>
              </w:rPr>
              <w:fldChar w:fldCharType="separate"/>
            </w:r>
            <w:r>
              <w:rPr>
                <w:rStyle w:val="IndexLink"/>
                <w:vanish w:val="false"/>
              </w:rPr>
              <w:tab/>
              <w:t>2-5</w:t>
            </w:r>
            <w:r>
              <w:rPr>
                <w:webHidden/>
              </w:rPr>
              <w:fldChar w:fldCharType="end"/>
            </w:r>
          </w:hyperlink>
        </w:p>
        <w:p>
          <w:pPr>
            <w:pStyle w:val="TOC3"/>
            <w:tabs>
              <w:tab w:val="left" w:pos="1872" w:leader="none"/>
              <w:tab w:val="left" w:pos="2131"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499">
            <w:r>
              <w:rPr>
                <w:webHidden/>
                <w:rStyle w:val="IndexLink"/>
              </w:rPr>
              <w:t>2.2.1</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rPr>
              <w:t>Study Site and Model Design</w:t>
            </w:r>
            <w:r>
              <w:rPr>
                <w:webHidden/>
              </w:rPr>
              <w:fldChar w:fldCharType="begin"/>
            </w:r>
            <w:r>
              <w:rPr>
                <w:webHidden/>
              </w:rPr>
              <w:instrText xml:space="preserve">PAGEREF _Toc182252499 \h</w:instrText>
            </w:r>
            <w:r>
              <w:rPr>
                <w:webHidden/>
              </w:rPr>
              <w:fldChar w:fldCharType="separate"/>
            </w:r>
            <w:r>
              <w:rPr>
                <w:rStyle w:val="IndexLink"/>
                <w:vanish w:val="false"/>
              </w:rPr>
              <w:tab/>
              <w:t>2-5</w:t>
            </w:r>
            <w:r>
              <w:rPr>
                <w:webHidden/>
              </w:rPr>
              <w:fldChar w:fldCharType="end"/>
            </w:r>
          </w:hyperlink>
        </w:p>
        <w:p>
          <w:pPr>
            <w:pStyle w:val="TOC3"/>
            <w:tabs>
              <w:tab w:val="left" w:pos="1872" w:leader="none"/>
              <w:tab w:val="left" w:pos="2131"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00">
            <w:r>
              <w:rPr>
                <w:webHidden/>
                <w:rStyle w:val="IndexLink"/>
              </w:rPr>
              <w:t>2.2.2</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rPr>
              <w:t>Empirical Data for Model Target Concentrations</w:t>
            </w:r>
            <w:r>
              <w:rPr>
                <w:webHidden/>
              </w:rPr>
              <w:fldChar w:fldCharType="begin"/>
            </w:r>
            <w:r>
              <w:rPr>
                <w:webHidden/>
              </w:rPr>
              <w:instrText xml:space="preserve">PAGEREF _Toc182252500 \h</w:instrText>
            </w:r>
            <w:r>
              <w:rPr>
                <w:webHidden/>
              </w:rPr>
              <w:fldChar w:fldCharType="separate"/>
            </w:r>
            <w:r>
              <w:rPr>
                <w:rStyle w:val="IndexLink"/>
                <w:vanish w:val="false"/>
              </w:rPr>
              <w:tab/>
              <w:t>2-7</w:t>
            </w:r>
            <w:r>
              <w:rPr>
                <w:webHidden/>
              </w:rPr>
              <w:fldChar w:fldCharType="end"/>
            </w:r>
          </w:hyperlink>
        </w:p>
        <w:p>
          <w:pPr>
            <w:pStyle w:val="TOC3"/>
            <w:tabs>
              <w:tab w:val="left" w:pos="1872" w:leader="none"/>
              <w:tab w:val="left" w:pos="2131"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01">
            <w:r>
              <w:rPr>
                <w:webHidden/>
                <w:rStyle w:val="IndexLink"/>
              </w:rPr>
              <w:t>2.2.3</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rPr>
              <w:t>Model Structure</w:t>
            </w:r>
            <w:r>
              <w:rPr>
                <w:webHidden/>
              </w:rPr>
              <w:fldChar w:fldCharType="begin"/>
            </w:r>
            <w:r>
              <w:rPr>
                <w:webHidden/>
              </w:rPr>
              <w:instrText xml:space="preserve">PAGEREF _Toc182252501 \h</w:instrText>
            </w:r>
            <w:r>
              <w:rPr>
                <w:webHidden/>
              </w:rPr>
              <w:fldChar w:fldCharType="separate"/>
            </w:r>
            <w:r>
              <w:rPr>
                <w:rStyle w:val="IndexLink"/>
                <w:vanish w:val="false"/>
              </w:rPr>
              <w:tab/>
              <w:t>2-10</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502">
            <w:r>
              <w:rPr>
                <w:webHidden/>
                <w:rStyle w:val="IndexLink"/>
              </w:rPr>
              <w:t>2.3</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Pr>
              <w:t>Phase III Model Improvement</w:t>
            </w:r>
            <w:r>
              <w:rPr>
                <w:webHidden/>
              </w:rPr>
              <w:fldChar w:fldCharType="begin"/>
            </w:r>
            <w:r>
              <w:rPr>
                <w:webHidden/>
              </w:rPr>
              <w:instrText xml:space="preserve">PAGEREF _Toc182252502 \h</w:instrText>
            </w:r>
            <w:r>
              <w:rPr>
                <w:webHidden/>
              </w:rPr>
              <w:fldChar w:fldCharType="separate"/>
            </w:r>
            <w:r>
              <w:rPr>
                <w:rStyle w:val="IndexLink"/>
                <w:vanish w:val="false"/>
              </w:rPr>
              <w:tab/>
              <w:t>2-19</w:t>
            </w:r>
            <w:r>
              <w:rPr>
                <w:webHidden/>
              </w:rPr>
              <w:fldChar w:fldCharType="end"/>
            </w:r>
          </w:hyperlink>
        </w:p>
        <w:p>
          <w:pPr>
            <w:pStyle w:val="TOC3"/>
            <w:tabs>
              <w:tab w:val="left" w:pos="1872" w:leader="none"/>
              <w:tab w:val="left" w:pos="2131"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03">
            <w:r>
              <w:rPr>
                <w:webHidden/>
                <w:rStyle w:val="IndexLink"/>
              </w:rPr>
              <w:t>2.3.1</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rPr>
              <w:t>Hydrologic Model (Task 8.1)</w:t>
            </w:r>
            <w:r>
              <w:rPr>
                <w:webHidden/>
              </w:rPr>
              <w:fldChar w:fldCharType="begin"/>
            </w:r>
            <w:r>
              <w:rPr>
                <w:webHidden/>
              </w:rPr>
              <w:instrText xml:space="preserve">PAGEREF _Toc182252503 \h</w:instrText>
            </w:r>
            <w:r>
              <w:rPr>
                <w:webHidden/>
              </w:rPr>
              <w:fldChar w:fldCharType="separate"/>
            </w:r>
            <w:r>
              <w:rPr>
                <w:rStyle w:val="IndexLink"/>
                <w:vanish w:val="false"/>
              </w:rPr>
              <w:tab/>
              <w:t>2-19</w:t>
            </w:r>
            <w:r>
              <w:rPr>
                <w:webHidden/>
              </w:rPr>
              <w:fldChar w:fldCharType="end"/>
            </w:r>
          </w:hyperlink>
        </w:p>
        <w:p>
          <w:pPr>
            <w:pStyle w:val="TOC3"/>
            <w:tabs>
              <w:tab w:val="left" w:pos="1872" w:leader="none"/>
              <w:tab w:val="left" w:pos="2131"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04">
            <w:r>
              <w:rPr>
                <w:webHidden/>
                <w:rStyle w:val="IndexLink"/>
              </w:rPr>
              <w:t>2.3.2</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rPr>
              <w:t>Conceptual Model, Mass Balance, and Test Model (Tasks 8.2 and 8.3)</w:t>
            </w:r>
            <w:r>
              <w:rPr>
                <w:webHidden/>
              </w:rPr>
              <w:fldChar w:fldCharType="begin"/>
            </w:r>
            <w:r>
              <w:rPr>
                <w:webHidden/>
              </w:rPr>
              <w:instrText xml:space="preserve">PAGEREF _Toc182252504 \h</w:instrText>
            </w:r>
            <w:r>
              <w:rPr>
                <w:webHidden/>
              </w:rPr>
              <w:fldChar w:fldCharType="separate"/>
            </w:r>
            <w:r>
              <w:rPr>
                <w:rStyle w:val="IndexLink"/>
                <w:vanish w:val="false"/>
              </w:rPr>
              <w:tab/>
              <w:t>2-26</w:t>
            </w:r>
            <w:r>
              <w:rPr>
                <w:webHidden/>
              </w:rPr>
              <w:fldChar w:fldCharType="end"/>
            </w:r>
          </w:hyperlink>
        </w:p>
        <w:p>
          <w:pPr>
            <w:pStyle w:val="TOC3"/>
            <w:tabs>
              <w:tab w:val="left" w:pos="1872" w:leader="none"/>
              <w:tab w:val="left" w:pos="2131"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05">
            <w:r>
              <w:rPr>
                <w:webHidden/>
                <w:rStyle w:val="IndexLink"/>
              </w:rPr>
              <w:t>2.3.3</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rPr>
              <w:t>Calibration of the BGC Model (Task 8.4)</w:t>
            </w:r>
            <w:r>
              <w:rPr>
                <w:webHidden/>
              </w:rPr>
              <w:fldChar w:fldCharType="begin"/>
            </w:r>
            <w:r>
              <w:rPr>
                <w:webHidden/>
              </w:rPr>
              <w:instrText xml:space="preserve">PAGEREF _Toc182252505 \h</w:instrText>
            </w:r>
            <w:r>
              <w:rPr>
                <w:webHidden/>
              </w:rPr>
              <w:fldChar w:fldCharType="separate"/>
            </w:r>
            <w:r>
              <w:rPr>
                <w:rStyle w:val="IndexLink"/>
                <w:vanish w:val="false"/>
              </w:rPr>
              <w:tab/>
              <w:t>2-32</w:t>
            </w:r>
            <w:r>
              <w:rPr>
                <w:webHidden/>
              </w:rPr>
              <w:fldChar w:fldCharType="end"/>
            </w:r>
          </w:hyperlink>
        </w:p>
        <w:p>
          <w:pPr>
            <w:pStyle w:val="TOC3"/>
            <w:tabs>
              <w:tab w:val="left" w:pos="1872" w:leader="none"/>
              <w:tab w:val="left" w:pos="2131"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06">
            <w:r>
              <w:rPr>
                <w:webHidden/>
                <w:rStyle w:val="IndexLink"/>
              </w:rPr>
              <w:t>2.3.4</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rPr>
              <w:t>Sensitivity Analysis of the BGC Model (Task 8.5)</w:t>
            </w:r>
            <w:r>
              <w:rPr>
                <w:webHidden/>
              </w:rPr>
              <w:fldChar w:fldCharType="begin"/>
            </w:r>
            <w:r>
              <w:rPr>
                <w:webHidden/>
              </w:rPr>
              <w:instrText xml:space="preserve">PAGEREF _Toc182252506 \h</w:instrText>
            </w:r>
            <w:r>
              <w:rPr>
                <w:webHidden/>
              </w:rPr>
              <w:fldChar w:fldCharType="separate"/>
            </w:r>
            <w:r>
              <w:rPr>
                <w:rStyle w:val="IndexLink"/>
                <w:vanish w:val="false"/>
              </w:rPr>
              <w:tab/>
              <w:t>2-36</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507">
            <w:r>
              <w:rPr>
                <w:webHidden/>
                <w:rStyle w:val="IndexLink"/>
              </w:rPr>
              <w:t>2.4</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Pr>
              <w:t>Summary &amp; Significance</w:t>
            </w:r>
            <w:r>
              <w:rPr>
                <w:webHidden/>
              </w:rPr>
              <w:fldChar w:fldCharType="begin"/>
            </w:r>
            <w:r>
              <w:rPr>
                <w:webHidden/>
              </w:rPr>
              <w:instrText xml:space="preserve">PAGEREF _Toc182252507 \h</w:instrText>
            </w:r>
            <w:r>
              <w:rPr>
                <w:webHidden/>
              </w:rPr>
              <w:fldChar w:fldCharType="separate"/>
            </w:r>
            <w:r>
              <w:rPr>
                <w:rStyle w:val="IndexLink"/>
                <w:vanish w:val="false"/>
              </w:rPr>
              <w:tab/>
              <w:t>2-55</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 w:val="24"/>
              <w:szCs w:val="24"/>
              <w14:ligatures w14:val="standardContextual"/>
            </w:rPr>
          </w:pPr>
          <w:hyperlink w:anchor="_Toc182252508">
            <w:r>
              <w:rPr>
                <w:webHidden/>
                <w:rStyle w:val="IndexLink"/>
              </w:rPr>
              <w:t>3.0</w:t>
            </w:r>
            <w:r>
              <w:rPr>
                <w:rStyle w:val="IndexLink"/>
                <w:rFonts w:eastAsia="宋体" w:cs="Arial" w:ascii="Calibri" w:hAnsi="Calibri" w:asciiTheme="minorHAnsi" w:cstheme="minorBidi" w:eastAsiaTheme="minorEastAsia" w:hAnsiTheme="minorHAnsi"/>
                <w:b w:val="false"/>
                <w:bCs w:val="false"/>
                <w:caps w:val="false"/>
                <w:smallCaps w:val="false"/>
                <w:kern w:val="2"/>
                <w:sz w:val="24"/>
                <w:szCs w:val="24"/>
                <w14:ligatures w14:val="standardContextual"/>
              </w:rPr>
              <w:tab/>
            </w:r>
            <w:r>
              <w:rPr>
                <w:rStyle w:val="IndexLink"/>
              </w:rPr>
              <w:t>CASM-STA MODEL Development</w:t>
            </w:r>
            <w:r>
              <w:rPr>
                <w:webHidden/>
              </w:rPr>
              <w:fldChar w:fldCharType="begin"/>
            </w:r>
            <w:r>
              <w:rPr>
                <w:webHidden/>
              </w:rPr>
              <w:instrText xml:space="preserve">PAGEREF _Toc182252508 \h</w:instrText>
            </w:r>
            <w:r>
              <w:rPr>
                <w:webHidden/>
              </w:rPr>
              <w:fldChar w:fldCharType="separate"/>
            </w:r>
            <w:r>
              <w:rPr>
                <w:rStyle w:val="IndexLink"/>
                <w:vanish w:val="false"/>
              </w:rPr>
              <w:tab/>
              <w:t>3-1</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509">
            <w:r>
              <w:rPr>
                <w:webHidden/>
                <w:rStyle w:val="IndexLink"/>
                <w:rFonts w:ascii="Arial" w:hAnsi="Arial"/>
                <w:b/>
              </w:rPr>
              <w:t>CASM Model Physical Characteristics</w:t>
            </w:r>
            <w:r>
              <w:rPr>
                <w:webHidden/>
              </w:rPr>
              <w:fldChar w:fldCharType="begin"/>
            </w:r>
            <w:r>
              <w:rPr>
                <w:webHidden/>
              </w:rPr>
              <w:instrText xml:space="preserve">PAGEREF _Toc182252509 \h</w:instrText>
            </w:r>
            <w:r>
              <w:rPr>
                <w:webHidden/>
              </w:rPr>
              <w:fldChar w:fldCharType="separate"/>
            </w:r>
            <w:r>
              <w:rPr>
                <w:rStyle w:val="IndexLink"/>
                <w:vanish w:val="false"/>
              </w:rPr>
              <w:tab/>
              <w:t>3-1</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10">
            <w:r>
              <w:rPr>
                <w:webHidden/>
                <w:rStyle w:val="IndexLink"/>
                <w:bCs/>
                <w:i/>
              </w:rPr>
              <w:t>3.1.1</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Study Location Physical Description</w:t>
            </w:r>
            <w:r>
              <w:rPr>
                <w:webHidden/>
              </w:rPr>
              <w:fldChar w:fldCharType="begin"/>
            </w:r>
            <w:r>
              <w:rPr>
                <w:webHidden/>
              </w:rPr>
              <w:instrText xml:space="preserve">PAGEREF _Toc182252510 \h</w:instrText>
            </w:r>
            <w:r>
              <w:rPr>
                <w:webHidden/>
              </w:rPr>
              <w:fldChar w:fldCharType="separate"/>
            </w:r>
            <w:r>
              <w:rPr>
                <w:rStyle w:val="IndexLink"/>
                <w:vanish w:val="false"/>
              </w:rPr>
              <w:tab/>
              <w:t>3-1</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11">
            <w:r>
              <w:rPr>
                <w:webHidden/>
                <w:rStyle w:val="IndexLink"/>
                <w:bCs/>
                <w:i/>
              </w:rPr>
              <w:t>3.1.2</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Physical Data</w:t>
            </w:r>
            <w:r>
              <w:rPr>
                <w:webHidden/>
              </w:rPr>
              <w:fldChar w:fldCharType="begin"/>
            </w:r>
            <w:r>
              <w:rPr>
                <w:webHidden/>
              </w:rPr>
              <w:instrText xml:space="preserve">PAGEREF _Toc182252511 \h</w:instrText>
            </w:r>
            <w:r>
              <w:rPr>
                <w:webHidden/>
              </w:rPr>
              <w:fldChar w:fldCharType="separate"/>
            </w:r>
            <w:r>
              <w:rPr>
                <w:rStyle w:val="IndexLink"/>
                <w:vanish w:val="false"/>
              </w:rPr>
              <w:tab/>
              <w:t>3-1</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12">
            <w:r>
              <w:rPr>
                <w:webHidden/>
                <w:rStyle w:val="IndexLink"/>
                <w:bCs/>
                <w:i/>
              </w:rPr>
              <w:t>3.1.3</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Hydrodynamics and transport</w:t>
            </w:r>
            <w:r>
              <w:rPr>
                <w:webHidden/>
              </w:rPr>
              <w:fldChar w:fldCharType="begin"/>
            </w:r>
            <w:r>
              <w:rPr>
                <w:webHidden/>
              </w:rPr>
              <w:instrText xml:space="preserve">PAGEREF _Toc182252512 \h</w:instrText>
            </w:r>
            <w:r>
              <w:rPr>
                <w:webHidden/>
              </w:rPr>
              <w:fldChar w:fldCharType="separate"/>
            </w:r>
            <w:r>
              <w:rPr>
                <w:rStyle w:val="IndexLink"/>
                <w:vanish w:val="false"/>
              </w:rPr>
              <w:tab/>
              <w:t>3-3</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513">
            <w:r>
              <w:rPr>
                <w:webHidden/>
                <w:rStyle w:val="IndexLink"/>
                <w:rFonts w:ascii="Arial" w:hAnsi="Arial"/>
                <w:b/>
              </w:rPr>
              <w:t>3.2</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Fonts w:ascii="Arial" w:hAnsi="Arial"/>
                <w:b/>
              </w:rPr>
              <w:t>CASM Food Web Model Components</w:t>
            </w:r>
            <w:r>
              <w:rPr>
                <w:webHidden/>
              </w:rPr>
              <w:fldChar w:fldCharType="begin"/>
            </w:r>
            <w:r>
              <w:rPr>
                <w:webHidden/>
              </w:rPr>
              <w:instrText xml:space="preserve">PAGEREF _Toc182252513 \h</w:instrText>
            </w:r>
            <w:r>
              <w:rPr>
                <w:webHidden/>
              </w:rPr>
              <w:fldChar w:fldCharType="separate"/>
            </w:r>
            <w:r>
              <w:rPr>
                <w:rStyle w:val="IndexLink"/>
                <w:vanish w:val="false"/>
              </w:rPr>
              <w:tab/>
              <w:t>3-4</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14">
            <w:r>
              <w:rPr>
                <w:webHidden/>
                <w:rStyle w:val="IndexLink"/>
                <w:bCs/>
                <w:i/>
              </w:rPr>
              <w:t>3.2.1</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Phytoplankton</w:t>
            </w:r>
            <w:r>
              <w:rPr>
                <w:webHidden/>
              </w:rPr>
              <w:fldChar w:fldCharType="begin"/>
            </w:r>
            <w:r>
              <w:rPr>
                <w:webHidden/>
              </w:rPr>
              <w:instrText xml:space="preserve">PAGEREF _Toc182252514 \h</w:instrText>
            </w:r>
            <w:r>
              <w:rPr>
                <w:webHidden/>
              </w:rPr>
              <w:fldChar w:fldCharType="separate"/>
            </w:r>
            <w:r>
              <w:rPr>
                <w:rStyle w:val="IndexLink"/>
                <w:vanish w:val="false"/>
              </w:rPr>
              <w:tab/>
              <w:t>3-4</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15">
            <w:r>
              <w:rPr>
                <w:webHidden/>
                <w:rStyle w:val="IndexLink"/>
                <w:bCs/>
                <w:i/>
              </w:rPr>
              <w:t>3.2.2</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Periphyton</w:t>
            </w:r>
            <w:r>
              <w:rPr>
                <w:webHidden/>
              </w:rPr>
              <w:fldChar w:fldCharType="begin"/>
            </w:r>
            <w:r>
              <w:rPr>
                <w:webHidden/>
              </w:rPr>
              <w:instrText xml:space="preserve">PAGEREF _Toc182252515 \h</w:instrText>
            </w:r>
            <w:r>
              <w:rPr>
                <w:webHidden/>
              </w:rPr>
              <w:fldChar w:fldCharType="separate"/>
            </w:r>
            <w:r>
              <w:rPr>
                <w:rStyle w:val="IndexLink"/>
                <w:vanish w:val="false"/>
              </w:rPr>
              <w:tab/>
              <w:t>3-5</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16">
            <w:r>
              <w:rPr>
                <w:webHidden/>
                <w:rStyle w:val="IndexLink"/>
                <w:bCs/>
                <w:i/>
              </w:rPr>
              <w:t>3.2.3</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Submerged aquatic vegetation (SAV)</w:t>
            </w:r>
            <w:r>
              <w:rPr>
                <w:webHidden/>
              </w:rPr>
              <w:fldChar w:fldCharType="begin"/>
            </w:r>
            <w:r>
              <w:rPr>
                <w:webHidden/>
              </w:rPr>
              <w:instrText xml:space="preserve">PAGEREF _Toc182252516 \h</w:instrText>
            </w:r>
            <w:r>
              <w:rPr>
                <w:webHidden/>
              </w:rPr>
              <w:fldChar w:fldCharType="separate"/>
            </w:r>
            <w:r>
              <w:rPr>
                <w:rStyle w:val="IndexLink"/>
                <w:vanish w:val="false"/>
              </w:rPr>
              <w:tab/>
              <w:t>3-5</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17">
            <w:r>
              <w:rPr>
                <w:webHidden/>
                <w:rStyle w:val="IndexLink"/>
                <w:bCs/>
                <w:i/>
              </w:rPr>
              <w:t>3.2.4</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Emergent aquatic vegetation (EAV)</w:t>
            </w:r>
            <w:r>
              <w:rPr>
                <w:webHidden/>
              </w:rPr>
              <w:fldChar w:fldCharType="begin"/>
            </w:r>
            <w:r>
              <w:rPr>
                <w:webHidden/>
              </w:rPr>
              <w:instrText xml:space="preserve">PAGEREF _Toc182252517 \h</w:instrText>
            </w:r>
            <w:r>
              <w:rPr>
                <w:webHidden/>
              </w:rPr>
              <w:fldChar w:fldCharType="separate"/>
            </w:r>
            <w:r>
              <w:rPr>
                <w:rStyle w:val="IndexLink"/>
                <w:vanish w:val="false"/>
              </w:rPr>
              <w:tab/>
              <w:t>3-5</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18">
            <w:r>
              <w:rPr>
                <w:webHidden/>
                <w:rStyle w:val="IndexLink"/>
                <w:bCs/>
                <w:i/>
              </w:rPr>
              <w:t>3.2.5</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Zooplankton</w:t>
            </w:r>
            <w:r>
              <w:rPr>
                <w:webHidden/>
              </w:rPr>
              <w:fldChar w:fldCharType="begin"/>
            </w:r>
            <w:r>
              <w:rPr>
                <w:webHidden/>
              </w:rPr>
              <w:instrText xml:space="preserve">PAGEREF _Toc182252518 \h</w:instrText>
            </w:r>
            <w:r>
              <w:rPr>
                <w:webHidden/>
              </w:rPr>
              <w:fldChar w:fldCharType="separate"/>
            </w:r>
            <w:r>
              <w:rPr>
                <w:rStyle w:val="IndexLink"/>
                <w:vanish w:val="false"/>
              </w:rPr>
              <w:tab/>
              <w:t>3-5</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19">
            <w:r>
              <w:rPr>
                <w:webHidden/>
                <w:rStyle w:val="IndexLink"/>
                <w:bCs/>
                <w:i/>
              </w:rPr>
              <w:t>3.2.6</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Benthic invertebrates</w:t>
            </w:r>
            <w:r>
              <w:rPr>
                <w:webHidden/>
              </w:rPr>
              <w:fldChar w:fldCharType="begin"/>
            </w:r>
            <w:r>
              <w:rPr>
                <w:webHidden/>
              </w:rPr>
              <w:instrText xml:space="preserve">PAGEREF _Toc182252519 \h</w:instrText>
            </w:r>
            <w:r>
              <w:rPr>
                <w:webHidden/>
              </w:rPr>
              <w:fldChar w:fldCharType="separate"/>
            </w:r>
            <w:r>
              <w:rPr>
                <w:rStyle w:val="IndexLink"/>
                <w:vanish w:val="false"/>
              </w:rPr>
              <w:tab/>
              <w:t>3-6</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20">
            <w:r>
              <w:rPr>
                <w:webHidden/>
                <w:rStyle w:val="IndexLink"/>
                <w:bCs/>
                <w:i/>
              </w:rPr>
              <w:t>3.2.7</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Fish</w:t>
            </w:r>
            <w:r>
              <w:rPr>
                <w:webHidden/>
              </w:rPr>
              <w:fldChar w:fldCharType="begin"/>
            </w:r>
            <w:r>
              <w:rPr>
                <w:webHidden/>
              </w:rPr>
              <w:instrText xml:space="preserve">PAGEREF _Toc182252520 \h</w:instrText>
            </w:r>
            <w:r>
              <w:rPr>
                <w:webHidden/>
              </w:rPr>
              <w:fldChar w:fldCharType="separate"/>
            </w:r>
            <w:r>
              <w:rPr>
                <w:rStyle w:val="IndexLink"/>
                <w:vanish w:val="false"/>
              </w:rPr>
              <w:tab/>
              <w:t>3-6</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21">
            <w:r>
              <w:rPr>
                <w:webHidden/>
                <w:rStyle w:val="IndexLink"/>
                <w:bCs/>
                <w:i/>
              </w:rPr>
              <w:t>3.2.8</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Excretion and egestion</w:t>
            </w:r>
            <w:r>
              <w:rPr>
                <w:webHidden/>
              </w:rPr>
              <w:fldChar w:fldCharType="begin"/>
            </w:r>
            <w:r>
              <w:rPr>
                <w:webHidden/>
              </w:rPr>
              <w:instrText xml:space="preserve">PAGEREF _Toc182252521 \h</w:instrText>
            </w:r>
            <w:r>
              <w:rPr>
                <w:webHidden/>
              </w:rPr>
              <w:fldChar w:fldCharType="separate"/>
            </w:r>
            <w:r>
              <w:rPr>
                <w:rStyle w:val="IndexLink"/>
                <w:vanish w:val="false"/>
              </w:rPr>
              <w:tab/>
              <w:t>3-6</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22">
            <w:r>
              <w:rPr>
                <w:webHidden/>
                <w:rStyle w:val="IndexLink"/>
                <w:bCs/>
                <w:i/>
              </w:rPr>
              <w:t>3.2.9</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Bioturbation</w:t>
            </w:r>
            <w:r>
              <w:rPr>
                <w:webHidden/>
              </w:rPr>
              <w:fldChar w:fldCharType="begin"/>
            </w:r>
            <w:r>
              <w:rPr>
                <w:webHidden/>
              </w:rPr>
              <w:instrText xml:space="preserve">PAGEREF _Toc182252522 \h</w:instrText>
            </w:r>
            <w:r>
              <w:rPr>
                <w:webHidden/>
              </w:rPr>
              <w:fldChar w:fldCharType="separate"/>
            </w:r>
            <w:r>
              <w:rPr>
                <w:rStyle w:val="IndexLink"/>
                <w:vanish w:val="false"/>
              </w:rPr>
              <w:tab/>
              <w:t>3-9</w:t>
            </w:r>
            <w:r>
              <w:rPr>
                <w:webHidden/>
              </w:rPr>
              <w:fldChar w:fldCharType="end"/>
            </w:r>
          </w:hyperlink>
        </w:p>
        <w:p>
          <w:pPr>
            <w:pStyle w:val="TOC3"/>
            <w:tabs>
              <w:tab w:val="left" w:pos="1872" w:leader="none"/>
              <w:tab w:val="left" w:pos="2250"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23">
            <w:r>
              <w:rPr>
                <w:webHidden/>
                <w:rStyle w:val="IndexLink"/>
                <w:bCs/>
                <w:i/>
              </w:rPr>
              <w:t>3.2.10</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CASM-STA food web equations</w:t>
            </w:r>
            <w:r>
              <w:rPr>
                <w:webHidden/>
              </w:rPr>
              <w:fldChar w:fldCharType="begin"/>
            </w:r>
            <w:r>
              <w:rPr>
                <w:webHidden/>
              </w:rPr>
              <w:instrText xml:space="preserve">PAGEREF _Toc182252523 \h</w:instrText>
            </w:r>
            <w:r>
              <w:rPr>
                <w:webHidden/>
              </w:rPr>
              <w:fldChar w:fldCharType="separate"/>
            </w:r>
            <w:r>
              <w:rPr>
                <w:rStyle w:val="IndexLink"/>
                <w:vanish w:val="false"/>
              </w:rPr>
              <w:tab/>
              <w:t>3-9</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524">
            <w:r>
              <w:rPr>
                <w:webHidden/>
                <w:rStyle w:val="IndexLink"/>
                <w:rFonts w:ascii="Arial" w:hAnsi="Arial"/>
                <w:b/>
              </w:rPr>
              <w:t>3.3</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Fonts w:ascii="Arial" w:hAnsi="Arial"/>
                <w:b/>
              </w:rPr>
              <w:t>Biogeochemical model</w:t>
            </w:r>
            <w:r>
              <w:rPr>
                <w:webHidden/>
              </w:rPr>
              <w:fldChar w:fldCharType="begin"/>
            </w:r>
            <w:r>
              <w:rPr>
                <w:webHidden/>
              </w:rPr>
              <w:instrText xml:space="preserve">PAGEREF _Toc182252524 \h</w:instrText>
            </w:r>
            <w:r>
              <w:rPr>
                <w:webHidden/>
              </w:rPr>
              <w:fldChar w:fldCharType="separate"/>
            </w:r>
            <w:r>
              <w:rPr>
                <w:rStyle w:val="IndexLink"/>
                <w:vanish w:val="false"/>
              </w:rPr>
              <w:tab/>
              <w:t>3-11</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525">
            <w:r>
              <w:rPr>
                <w:webHidden/>
                <w:rStyle w:val="IndexLink"/>
                <w:rFonts w:ascii="Arial" w:hAnsi="Arial"/>
                <w:b/>
              </w:rPr>
              <w:t>3.4</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Fonts w:ascii="Arial" w:hAnsi="Arial"/>
                <w:b/>
              </w:rPr>
              <w:t>Model integration</w:t>
            </w:r>
            <w:r>
              <w:rPr>
                <w:webHidden/>
              </w:rPr>
              <w:fldChar w:fldCharType="begin"/>
            </w:r>
            <w:r>
              <w:rPr>
                <w:webHidden/>
              </w:rPr>
              <w:instrText xml:space="preserve">PAGEREF _Toc182252525 \h</w:instrText>
            </w:r>
            <w:r>
              <w:rPr>
                <w:webHidden/>
              </w:rPr>
              <w:fldChar w:fldCharType="separate"/>
            </w:r>
            <w:r>
              <w:rPr>
                <w:rStyle w:val="IndexLink"/>
                <w:vanish w:val="false"/>
              </w:rPr>
              <w:tab/>
              <w:t>3-11</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526">
            <w:r>
              <w:rPr>
                <w:webHidden/>
                <w:rStyle w:val="IndexLink"/>
                <w:rFonts w:ascii="Arial" w:hAnsi="Arial"/>
                <w:b/>
              </w:rPr>
              <w:t>3.5</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Fonts w:ascii="Arial" w:hAnsi="Arial"/>
                <w:b/>
              </w:rPr>
              <w:t>CASM-STA Implementation</w:t>
            </w:r>
            <w:r>
              <w:rPr>
                <w:webHidden/>
              </w:rPr>
              <w:fldChar w:fldCharType="begin"/>
            </w:r>
            <w:r>
              <w:rPr>
                <w:webHidden/>
              </w:rPr>
              <w:instrText xml:space="preserve">PAGEREF _Toc182252526 \h</w:instrText>
            </w:r>
            <w:r>
              <w:rPr>
                <w:webHidden/>
              </w:rPr>
              <w:fldChar w:fldCharType="separate"/>
            </w:r>
            <w:r>
              <w:rPr>
                <w:rStyle w:val="IndexLink"/>
                <w:vanish w:val="false"/>
              </w:rPr>
              <w:tab/>
              <w:t>3-15</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27">
            <w:r>
              <w:rPr>
                <w:webHidden/>
                <w:rStyle w:val="IndexLink"/>
                <w:bCs/>
                <w:i/>
              </w:rPr>
              <w:t>3.5.1</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Calibration</w:t>
            </w:r>
            <w:r>
              <w:rPr>
                <w:webHidden/>
              </w:rPr>
              <w:fldChar w:fldCharType="begin"/>
            </w:r>
            <w:r>
              <w:rPr>
                <w:webHidden/>
              </w:rPr>
              <w:instrText xml:space="preserve">PAGEREF _Toc182252527 \h</w:instrText>
            </w:r>
            <w:r>
              <w:rPr>
                <w:webHidden/>
              </w:rPr>
              <w:fldChar w:fldCharType="separate"/>
            </w:r>
            <w:r>
              <w:rPr>
                <w:rStyle w:val="IndexLink"/>
                <w:vanish w:val="false"/>
              </w:rPr>
              <w:tab/>
              <w:t>3-15</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28">
            <w:r>
              <w:rPr>
                <w:webHidden/>
                <w:rStyle w:val="IndexLink"/>
                <w:bCs/>
                <w:i/>
              </w:rPr>
              <w:t>3.5.2</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Sensitivity analysis</w:t>
            </w:r>
            <w:r>
              <w:rPr>
                <w:webHidden/>
              </w:rPr>
              <w:fldChar w:fldCharType="begin"/>
            </w:r>
            <w:r>
              <w:rPr>
                <w:webHidden/>
              </w:rPr>
              <w:instrText xml:space="preserve">PAGEREF _Toc182252528 \h</w:instrText>
            </w:r>
            <w:r>
              <w:rPr>
                <w:webHidden/>
              </w:rPr>
              <w:fldChar w:fldCharType="separate"/>
            </w:r>
            <w:r>
              <w:rPr>
                <w:rStyle w:val="IndexLink"/>
                <w:vanish w:val="false"/>
              </w:rPr>
              <w:tab/>
              <w:t>3-26</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 w:val="24"/>
              <w:szCs w:val="24"/>
              <w14:ligatures w14:val="standardContextual"/>
            </w:rPr>
          </w:pPr>
          <w:hyperlink w:anchor="_Toc182252529">
            <w:r>
              <w:rPr>
                <w:webHidden/>
                <w:rStyle w:val="IndexLink"/>
              </w:rPr>
              <w:t>4.0</w:t>
            </w:r>
            <w:r>
              <w:rPr>
                <w:rStyle w:val="IndexLink"/>
                <w:rFonts w:eastAsia="宋体" w:cs="Arial" w:ascii="Calibri" w:hAnsi="Calibri" w:asciiTheme="minorHAnsi" w:cstheme="minorBidi" w:eastAsiaTheme="minorEastAsia" w:hAnsiTheme="minorHAnsi"/>
                <w:b w:val="false"/>
                <w:bCs w:val="false"/>
                <w:caps w:val="false"/>
                <w:smallCaps w:val="false"/>
                <w:kern w:val="2"/>
                <w:sz w:val="24"/>
                <w:szCs w:val="24"/>
                <w14:ligatures w14:val="standardContextual"/>
              </w:rPr>
              <w:tab/>
            </w:r>
            <w:r>
              <w:rPr>
                <w:rStyle w:val="IndexLink"/>
              </w:rPr>
              <w:t>Conclusions and Management implications</w:t>
            </w:r>
            <w:r>
              <w:rPr>
                <w:webHidden/>
              </w:rPr>
              <w:fldChar w:fldCharType="begin"/>
            </w:r>
            <w:r>
              <w:rPr>
                <w:webHidden/>
              </w:rPr>
              <w:instrText xml:space="preserve">PAGEREF _Toc182252529 \h</w:instrText>
            </w:r>
            <w:r>
              <w:rPr>
                <w:webHidden/>
              </w:rPr>
              <w:fldChar w:fldCharType="separate"/>
            </w:r>
            <w:r>
              <w:rPr>
                <w:rStyle w:val="IndexLink"/>
                <w:vanish w:val="false"/>
              </w:rPr>
              <w:tab/>
              <w:t>4-1</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530">
            <w:r>
              <w:rPr>
                <w:webHidden/>
                <w:rStyle w:val="IndexLink"/>
                <w:rFonts w:ascii="Arial" w:hAnsi="Arial"/>
                <w:b/>
              </w:rPr>
              <w:t>4.1</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Fonts w:ascii="Arial" w:hAnsi="Arial"/>
                <w:b/>
              </w:rPr>
              <w:t>CASM-STA Management Implications</w:t>
            </w:r>
            <w:r>
              <w:rPr>
                <w:webHidden/>
              </w:rPr>
              <w:fldChar w:fldCharType="begin"/>
            </w:r>
            <w:r>
              <w:rPr>
                <w:webHidden/>
              </w:rPr>
              <w:instrText xml:space="preserve">PAGEREF _Toc182252530 \h</w:instrText>
            </w:r>
            <w:r>
              <w:rPr>
                <w:webHidden/>
              </w:rPr>
              <w:fldChar w:fldCharType="separate"/>
            </w:r>
            <w:r>
              <w:rPr>
                <w:rStyle w:val="IndexLink"/>
                <w:vanish w:val="false"/>
              </w:rPr>
              <w:tab/>
              <w:t>4-3</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31">
            <w:r>
              <w:rPr>
                <w:webHidden/>
                <w:rStyle w:val="IndexLink"/>
                <w:bCs/>
                <w:i/>
              </w:rPr>
              <w:t>4.1.1</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TP loadings</w:t>
            </w:r>
            <w:r>
              <w:rPr>
                <w:webHidden/>
              </w:rPr>
              <w:fldChar w:fldCharType="begin"/>
            </w:r>
            <w:r>
              <w:rPr>
                <w:webHidden/>
              </w:rPr>
              <w:instrText xml:space="preserve">PAGEREF _Toc182252531 \h</w:instrText>
            </w:r>
            <w:r>
              <w:rPr>
                <w:webHidden/>
              </w:rPr>
              <w:fldChar w:fldCharType="separate"/>
            </w:r>
            <w:r>
              <w:rPr>
                <w:rStyle w:val="IndexLink"/>
                <w:vanish w:val="false"/>
              </w:rPr>
              <w:tab/>
              <w:t>4-3</w:t>
            </w:r>
            <w:r>
              <w:rPr>
                <w:webHidden/>
              </w:rPr>
              <w:fldChar w:fldCharType="end"/>
            </w:r>
          </w:hyperlink>
        </w:p>
        <w:p>
          <w:pPr>
            <w:pStyle w:val="TOC3"/>
            <w:tabs>
              <w:tab w:val="left" w:pos="1872" w:leader="none"/>
              <w:tab w:val="left" w:pos="2132" w:leader="none"/>
              <w:tab w:val="right" w:pos="9360" w:leader="dot"/>
            </w:tabs>
            <w:rPr>
              <w:rFonts w:ascii="Calibri" w:hAnsi="Calibri" w:eastAsia="宋体" w:cs="Arial" w:asciiTheme="minorHAnsi" w:cstheme="minorBidi" w:eastAsiaTheme="minorEastAsia" w:hAnsiTheme="minorHAnsi"/>
              <w:iCs w:val="false"/>
              <w:kern w:val="2"/>
              <w:sz w:val="24"/>
              <w:szCs w:val="24"/>
              <w14:ligatures w14:val="standardContextual"/>
            </w:rPr>
          </w:pPr>
          <w:hyperlink w:anchor="_Toc182252532">
            <w:r>
              <w:rPr>
                <w:webHidden/>
                <w:rStyle w:val="IndexLink"/>
                <w:bCs/>
                <w:i/>
              </w:rPr>
              <w:t>4.1.2</w:t>
            </w:r>
            <w:r>
              <w:rPr>
                <w:rStyle w:val="IndexLink"/>
                <w:rFonts w:eastAsia="宋体" w:cs="Arial" w:ascii="Calibri" w:hAnsi="Calibri" w:asciiTheme="minorHAnsi" w:cstheme="minorBidi" w:eastAsiaTheme="minorEastAsia" w:hAnsiTheme="minorHAnsi"/>
                <w:iCs w:val="false"/>
                <w:kern w:val="2"/>
                <w:sz w:val="24"/>
                <w:szCs w:val="24"/>
                <w14:ligatures w14:val="standardContextual"/>
              </w:rPr>
              <w:tab/>
            </w:r>
            <w:r>
              <w:rPr>
                <w:rStyle w:val="IndexLink"/>
                <w:bCs/>
                <w:i/>
              </w:rPr>
              <w:t>Consumer dynamics</w:t>
            </w:r>
            <w:r>
              <w:rPr>
                <w:webHidden/>
              </w:rPr>
              <w:fldChar w:fldCharType="begin"/>
            </w:r>
            <w:r>
              <w:rPr>
                <w:webHidden/>
              </w:rPr>
              <w:instrText xml:space="preserve">PAGEREF _Toc182252532 \h</w:instrText>
            </w:r>
            <w:r>
              <w:rPr>
                <w:webHidden/>
              </w:rPr>
              <w:fldChar w:fldCharType="separate"/>
            </w:r>
            <w:r>
              <w:rPr>
                <w:rStyle w:val="IndexLink"/>
                <w:vanish w:val="false"/>
              </w:rPr>
              <w:tab/>
              <w:t>4-7</w:t>
            </w:r>
            <w:r>
              <w:rPr>
                <w:webHidden/>
              </w:rPr>
              <w:fldChar w:fldCharType="end"/>
            </w:r>
          </w:hyperlink>
        </w:p>
        <w:p>
          <w:pPr>
            <w:pStyle w:val="TOC2"/>
            <w:rPr>
              <w:rFonts w:ascii="Calibri" w:hAnsi="Calibri" w:eastAsia="宋体" w:cs="Arial" w:asciiTheme="minorHAnsi" w:cstheme="minorBidi" w:eastAsiaTheme="minorEastAsia" w:hAnsiTheme="minorHAnsi"/>
              <w:caps w:val="false"/>
              <w:smallCaps w:val="false"/>
              <w:kern w:val="2"/>
              <w:sz w:val="24"/>
              <w:szCs w:val="24"/>
              <w14:ligatures w14:val="standardContextual"/>
            </w:rPr>
          </w:pPr>
          <w:hyperlink w:anchor="_Toc182252533">
            <w:r>
              <w:rPr>
                <w:webHidden/>
                <w:rStyle w:val="IndexLink"/>
                <w:rFonts w:ascii="Arial" w:hAnsi="Arial"/>
                <w:b/>
              </w:rPr>
              <w:t>4.2</w:t>
            </w:r>
            <w:r>
              <w:rPr>
                <w:rStyle w:val="IndexLink"/>
                <w:rFonts w:eastAsia="宋体" w:cs="Arial" w:ascii="Calibri" w:hAnsi="Calibri" w:asciiTheme="minorHAnsi" w:cstheme="minorBidi" w:eastAsiaTheme="minorEastAsia" w:hAnsiTheme="minorHAnsi"/>
                <w:caps w:val="false"/>
                <w:smallCaps w:val="false"/>
                <w:kern w:val="2"/>
                <w:sz w:val="24"/>
                <w:szCs w:val="24"/>
                <w14:ligatures w14:val="standardContextual"/>
              </w:rPr>
              <w:tab/>
            </w:r>
            <w:r>
              <w:rPr>
                <w:rStyle w:val="IndexLink"/>
                <w:rFonts w:ascii="Arial" w:hAnsi="Arial"/>
                <w:b/>
              </w:rPr>
              <w:t>Summary</w:t>
            </w:r>
            <w:r>
              <w:rPr>
                <w:webHidden/>
              </w:rPr>
              <w:fldChar w:fldCharType="begin"/>
            </w:r>
            <w:r>
              <w:rPr>
                <w:webHidden/>
              </w:rPr>
              <w:instrText xml:space="preserve">PAGEREF _Toc182252533 \h</w:instrText>
            </w:r>
            <w:r>
              <w:rPr>
                <w:webHidden/>
              </w:rPr>
              <w:fldChar w:fldCharType="separate"/>
            </w:r>
            <w:r>
              <w:rPr>
                <w:rStyle w:val="IndexLink"/>
                <w:vanish w:val="false"/>
              </w:rPr>
              <w:tab/>
              <w:t>4-8</w:t>
            </w:r>
            <w:r>
              <w:rPr>
                <w:webHidden/>
              </w:rPr>
              <w:fldChar w:fldCharType="end"/>
            </w:r>
          </w:hyperlink>
        </w:p>
        <w:p>
          <w:pPr>
            <w:pStyle w:val="TOC1"/>
            <w:rPr>
              <w:rFonts w:ascii="Calibri" w:hAnsi="Calibri" w:eastAsia="宋体" w:cs="Arial" w:asciiTheme="minorHAnsi" w:cstheme="minorBidi" w:eastAsiaTheme="minorEastAsia" w:hAnsiTheme="minorHAnsi"/>
              <w:b w:val="false"/>
              <w:bCs w:val="false"/>
              <w:caps w:val="false"/>
              <w:smallCaps w:val="false"/>
              <w:kern w:val="2"/>
              <w:sz w:val="24"/>
              <w:szCs w:val="24"/>
              <w14:ligatures w14:val="standardContextual"/>
            </w:rPr>
          </w:pPr>
          <w:hyperlink w:anchor="_Toc182252534">
            <w:r>
              <w:rPr>
                <w:webHidden/>
                <w:rStyle w:val="IndexLink"/>
              </w:rPr>
              <w:t>5.0</w:t>
            </w:r>
            <w:r>
              <w:rPr>
                <w:rStyle w:val="IndexLink"/>
                <w:rFonts w:eastAsia="宋体" w:cs="Arial" w:ascii="Calibri" w:hAnsi="Calibri" w:asciiTheme="minorHAnsi" w:cstheme="minorBidi" w:eastAsiaTheme="minorEastAsia" w:hAnsiTheme="minorHAnsi"/>
                <w:b w:val="false"/>
                <w:bCs w:val="false"/>
                <w:caps w:val="false"/>
                <w:smallCaps w:val="false"/>
                <w:kern w:val="2"/>
                <w:sz w:val="24"/>
                <w:szCs w:val="24"/>
                <w14:ligatures w14:val="standardContextual"/>
              </w:rPr>
              <w:tab/>
            </w:r>
            <w:r>
              <w:rPr>
                <w:rStyle w:val="IndexLink"/>
              </w:rPr>
              <w:t>References</w:t>
            </w:r>
            <w:r>
              <w:rPr>
                <w:webHidden/>
              </w:rPr>
              <w:fldChar w:fldCharType="begin"/>
            </w:r>
            <w:r>
              <w:rPr>
                <w:webHidden/>
              </w:rPr>
              <w:instrText xml:space="preserve">PAGEREF _Toc182252534 \h</w:instrText>
            </w:r>
            <w:r>
              <w:rPr>
                <w:webHidden/>
              </w:rPr>
              <w:fldChar w:fldCharType="separate"/>
            </w:r>
            <w:r>
              <w:rPr>
                <w:rStyle w:val="IndexLink"/>
                <w:vanish w:val="false"/>
              </w:rPr>
              <w:tab/>
              <w:t>5-1</w:t>
            </w:r>
            <w:r>
              <w:rPr>
                <w:webHidden/>
              </w:rPr>
              <w:fldChar w:fldCharType="end"/>
            </w:r>
          </w:hyperlink>
          <w:r>
            <w:rPr>
              <w:rStyle w:val="IndexLink"/>
              <w:vanish w:val="false"/>
            </w:rPr>
            <w:fldChar w:fldCharType="end"/>
          </w:r>
        </w:p>
      </w:sdtContent>
    </w:sdt>
    <w:p>
      <w:pPr>
        <w:pStyle w:val="Normal"/>
        <w:rPr>
          <w:b/>
          <w:bCs/>
          <w:caps/>
          <w:color w:themeColor="text1" w:val="000000"/>
        </w:rPr>
      </w:pPr>
      <w:r>
        <w:rPr>
          <w:b/>
          <w:bCs/>
          <w:caps/>
          <w:color w:themeColor="text1" w:val="000000"/>
        </w:rPr>
      </w:r>
    </w:p>
    <w:p>
      <w:pPr>
        <w:pStyle w:val="TOC1"/>
        <w:rPr>
          <w:rStyle w:val="Hyperlink"/>
          <w:color w:themeColor="text1" w:themeTint="f2" w:val="0D0D0D"/>
          <w:u w:val="none"/>
        </w:rPr>
      </w:pPr>
      <w:r>
        <w:rPr>
          <w:rStyle w:val="Hyperlink"/>
          <w:color w:themeColor="text1" w:themeTint="f2" w:val="0D0D0D"/>
          <w:u w:val="none"/>
        </w:rPr>
        <w:t>Appendix A.  SFWMD ESA CELLC STA BGC Model 9100 CODE</w:t>
        <w:tab/>
        <w:t>A-1</w:t>
      </w:r>
    </w:p>
    <w:p>
      <w:pPr>
        <w:pStyle w:val="TOC1"/>
        <w:rPr>
          <w:rStyle w:val="Hyperlink"/>
          <w:color w:themeColor="text1" w:themeTint="f2" w:val="0D0D0D"/>
          <w:u w:val="none"/>
        </w:rPr>
      </w:pPr>
      <w:r>
        <w:rPr>
          <w:rStyle w:val="Hyperlink"/>
          <w:color w:themeColor="text1" w:themeTint="f2" w:val="0D0D0D"/>
          <w:u w:val="none"/>
        </w:rPr>
        <w:t>Appendix B.  CASM STA Control &amp; Program Files</w:t>
        <w:tab/>
        <w:t>A-11</w:t>
      </w:r>
    </w:p>
    <w:p>
      <w:pPr>
        <w:pStyle w:val="Normal"/>
        <w:rPr/>
      </w:pPr>
      <w:r>
        <w:rPr/>
      </w:r>
    </w:p>
    <w:p>
      <w:pPr>
        <w:pStyle w:val="Normal"/>
        <w:spacing w:lineRule="auto" w:line="240" w:before="0" w:after="0"/>
        <w:jc w:val="left"/>
        <w:rPr>
          <w:b/>
          <w:bCs/>
          <w:caps/>
          <w:color w:themeColor="text1" w:val="000000"/>
        </w:rPr>
      </w:pPr>
      <w:r>
        <w:rPr>
          <w:b/>
          <w:bCs/>
          <w:caps/>
          <w:color w:themeColor="text1" w:val="000000"/>
        </w:rPr>
      </w:r>
      <w:r>
        <w:br w:type="page"/>
      </w:r>
    </w:p>
    <w:p>
      <w:pPr>
        <w:pStyle w:val="TOCHeadingsAfter6ptLinespacing15lines"/>
        <w:spacing w:before="0" w:after="120"/>
        <w:rPr>
          <w:color w:themeColor="text1" w:val="000000"/>
        </w:rPr>
      </w:pPr>
      <w:r>
        <w:rPr>
          <w:color w:themeColor="text1" w:val="000000"/>
        </w:rPr>
        <w:t>LIST OF FIGURES</w:t>
      </w:r>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r>
        <w:fldChar w:fldCharType="begin"/>
      </w:r>
      <w:r>
        <w:rPr>
          <w:vertAlign w:val="baseline"/>
          <w:position w:val="0"/>
          <w:sz w:val="22"/>
          <w:sz w:val="22"/>
          <w:spacing w:val="0"/>
          <w:sz w:val="22"/>
          <w:bCs/>
          <w:rStyle w:val="IndexLink"/>
          <w:rFonts w:ascii="Arial" w:hAnsi="Arial"/>
          <w:color w:themeColor="text1" w:val="000000"/>
        </w:rPr>
        <w:instrText xml:space="preserve"> TOC \c "Figure" \h </w:instrText>
      </w:r>
      <w:r>
        <w:rPr>
          <w:vertAlign w:val="baseline"/>
          <w:position w:val="0"/>
          <w:sz w:val="22"/>
          <w:sz w:val="22"/>
          <w:spacing w:val="0"/>
          <w:sz w:val="22"/>
          <w:bCs/>
          <w:rStyle w:val="IndexLink"/>
          <w:rFonts w:ascii="Arial" w:hAnsi="Arial"/>
          <w:color w:themeColor="text1" w:val="000000"/>
        </w:rPr>
        <w:fldChar w:fldCharType="separate"/>
      </w:r>
      <w:hyperlink w:anchor="_Toc181802641">
        <w:r>
          <w:rPr>
            <w:rStyle w:val="IndexLink"/>
            <w:rFonts w:ascii="Arial" w:hAnsi="Arial"/>
            <w:bCs/>
            <w:color w:themeColor="text1" w:val="000000"/>
            <w:spacing w:val="0"/>
            <w:position w:val="0"/>
            <w:sz w:val="22"/>
            <w:sz w:val="22"/>
            <w:sz w:val="22"/>
            <w:vertAlign w:val="baseline"/>
            <w14:shadow w14:blurRad="0" w14:dist="0" w14:dir="0" w14:sx="0" w14:sy="0" w14:kx="0" w14:ky="0" w14:algn="none">
              <w14:srgbClr w14:val="000000"/>
            </w14:shadow>
          </w:rPr>
          <w:t>Figure 1</w:t>
        </w:r>
        <w:r>
          <w:rPr>
            <w:rStyle w:val="IndexLink"/>
          </w:rPr>
          <w:noBreakHyphen/>
          <w:t>1. Location map for Everglades Stormwater Treatment Areas (STAs) south of Lake Okeechobee in south Florida.</w:t>
        </w:r>
        <w:r>
          <w:rPr>
            <w:webHidden/>
          </w:rPr>
          <w:fldChar w:fldCharType="begin"/>
        </w:r>
        <w:r>
          <w:rPr>
            <w:webHidden/>
          </w:rPr>
          <w:instrText xml:space="preserve">PAGEREF _Toc181802641 \h</w:instrText>
        </w:r>
        <w:r>
          <w:rPr>
            <w:webHidden/>
          </w:rPr>
          <w:fldChar w:fldCharType="separate"/>
        </w:r>
        <w:r>
          <w:rPr>
            <w:rStyle w:val="IndexLink"/>
            <w:vanish w:val="false"/>
          </w:rPr>
          <w:tab/>
          <w:t>1-1</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42">
        <w:r>
          <w:rPr>
            <w:rStyle w:val="IndexLink"/>
          </w:rPr>
          <w:t>Figure 1</w:t>
          <w:noBreakHyphen/>
          <w:t>2. Conceptual model for the transport and transformation of phosphorus in the stormwater treatment areas (STAs) that provide the basis for model development (taken from UF-WBL 2019).</w:t>
        </w:r>
        <w:r>
          <w:rPr>
            <w:webHidden/>
          </w:rPr>
          <w:fldChar w:fldCharType="begin"/>
        </w:r>
        <w:r>
          <w:rPr>
            <w:webHidden/>
          </w:rPr>
          <w:instrText xml:space="preserve">PAGEREF _Toc181802642 \h</w:instrText>
        </w:r>
        <w:r>
          <w:rPr>
            <w:webHidden/>
          </w:rPr>
          <w:fldChar w:fldCharType="separate"/>
        </w:r>
        <w:r>
          <w:rPr>
            <w:rStyle w:val="IndexLink"/>
            <w:vanish w:val="false"/>
          </w:rPr>
          <w:tab/>
          <w:t>1-7</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43">
        <w:r>
          <w:rPr>
            <w:rStyle w:val="IndexLink"/>
          </w:rPr>
          <w:t>Figure 2</w:t>
          <w:noBreakHyphen/>
          <w:t>1. Conceptual model of phosphorous biogeochemistry in STA wetlands.</w:t>
        </w:r>
        <w:r>
          <w:rPr>
            <w:webHidden/>
          </w:rPr>
          <w:fldChar w:fldCharType="begin"/>
        </w:r>
        <w:r>
          <w:rPr>
            <w:webHidden/>
          </w:rPr>
          <w:instrText xml:space="preserve">PAGEREF _Toc181802643 \h</w:instrText>
        </w:r>
        <w:r>
          <w:rPr>
            <w:webHidden/>
          </w:rPr>
          <w:fldChar w:fldCharType="separate"/>
        </w:r>
        <w:r>
          <w:rPr>
            <w:rStyle w:val="IndexLink"/>
            <w:vanish w:val="false"/>
          </w:rPr>
          <w:tab/>
          <w:t>2-2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44">
        <w:r>
          <w:rPr>
            <w:rStyle w:val="IndexLink"/>
          </w:rPr>
          <w:t>Figure 2</w:t>
          <w:noBreakHyphen/>
          <w:t>2. Sampling location maps in STA-2 FW1 for (A) Water Column; (B) Macrophytes; (C) Soil P Concentrations; (D) Soil Porewater P Concentrations</w:t>
        </w:r>
        <w:r>
          <w:rPr>
            <w:webHidden/>
          </w:rPr>
          <w:fldChar w:fldCharType="begin"/>
        </w:r>
        <w:r>
          <w:rPr>
            <w:webHidden/>
          </w:rPr>
          <w:instrText xml:space="preserve">PAGEREF _Toc181802644 \h</w:instrText>
        </w:r>
        <w:r>
          <w:rPr>
            <w:webHidden/>
          </w:rPr>
          <w:fldChar w:fldCharType="separate"/>
        </w:r>
        <w:r>
          <w:rPr>
            <w:rStyle w:val="IndexLink"/>
            <w:vanish w:val="false"/>
          </w:rPr>
          <w:tab/>
          <w:t>2-5</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45">
        <w:r>
          <w:rPr>
            <w:rStyle w:val="IndexLink"/>
          </w:rPr>
          <w:t>Figure 2</w:t>
          <w:noBreakHyphen/>
          <w:t>3.  Time series of average depth of STA-2 Flow-Way 1 from 1/1/2005 to 12/2020.  The depth time series was combined with the flow-way area to calculate daily volume changes in the Phase II BGC Model.  The time series was divided into equal parts for later Calibration and Validation of the BGC Model.</w:t>
        </w:r>
        <w:r>
          <w:rPr>
            <w:webHidden/>
          </w:rPr>
          <w:fldChar w:fldCharType="begin"/>
        </w:r>
        <w:r>
          <w:rPr>
            <w:webHidden/>
          </w:rPr>
          <w:instrText xml:space="preserve">PAGEREF _Toc181802645 \h</w:instrText>
        </w:r>
        <w:r>
          <w:rPr>
            <w:webHidden/>
          </w:rPr>
          <w:fldChar w:fldCharType="separate"/>
        </w:r>
        <w:r>
          <w:rPr>
            <w:rStyle w:val="IndexLink"/>
            <w:vanish w:val="false"/>
          </w:rPr>
          <w:tab/>
          <w:t>2-6</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46">
        <w:r>
          <w:rPr>
            <w:rStyle w:val="IndexLink"/>
          </w:rPr>
          <w:t>Figure 2</w:t>
          <w:noBreakHyphen/>
          <w:t>4. Summary of target P concentrations from STA-2 FW1 for the Biogeochemical Model.  (A) Water column variables in the dry season (Nov-Apr).  (B) Water column variables in the wet season (May-Oct).  (C) Soil variables.  (D) Other P variables in Biogeochemical Model.  Note the doubling in magnitude between dry (A) and wet (B) seasons.</w:t>
        </w:r>
        <w:r>
          <w:rPr>
            <w:webHidden/>
          </w:rPr>
          <w:fldChar w:fldCharType="begin"/>
        </w:r>
        <w:r>
          <w:rPr>
            <w:webHidden/>
          </w:rPr>
          <w:instrText xml:space="preserve">PAGEREF _Toc181802646 \h</w:instrText>
        </w:r>
        <w:r>
          <w:rPr>
            <w:webHidden/>
          </w:rPr>
          <w:fldChar w:fldCharType="separate"/>
        </w:r>
        <w:r>
          <w:rPr>
            <w:rStyle w:val="IndexLink"/>
            <w:vanish w:val="false"/>
          </w:rPr>
          <w:tab/>
          <w:t>2-8</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47">
        <w:r>
          <w:rPr>
            <w:rStyle w:val="IndexLink"/>
          </w:rPr>
          <w:t>Figure 2</w:t>
          <w:noBreakHyphen/>
          <w:t>5. (A) Function to model effects of depth on Typha production.  (B)  Function to model effects of Typha shoot biomass on POP</w:t>
        </w:r>
        <w:r>
          <w:rPr>
            <w:rStyle w:val="IndexLink"/>
            <w:vertAlign w:val="subscript"/>
          </w:rPr>
          <w:t>W</w:t>
        </w:r>
        <w:r>
          <w:rPr>
            <w:rStyle w:val="IndexLink"/>
          </w:rPr>
          <w:t xml:space="preserve"> sinking.  (C) Function to model resuspension of P</w:t>
        </w:r>
        <w:r>
          <w:rPr>
            <w:rStyle w:val="IndexLink"/>
            <w:vertAlign w:val="subscript"/>
          </w:rPr>
          <w:t>FLOC</w:t>
        </w:r>
        <w:r>
          <w:rPr>
            <w:rStyle w:val="IndexLink"/>
          </w:rPr>
          <w:t xml:space="preserve"> based on average daily wind speed.  (D)   Function to model relationship between total gross production and DIPW co-precipitation.  See text for details.</w:t>
        </w:r>
        <w:r>
          <w:rPr>
            <w:webHidden/>
          </w:rPr>
          <w:fldChar w:fldCharType="begin"/>
        </w:r>
        <w:r>
          <w:rPr>
            <w:webHidden/>
          </w:rPr>
          <w:instrText xml:space="preserve">PAGEREF _Toc181802647 \h</w:instrText>
        </w:r>
        <w:r>
          <w:rPr>
            <w:webHidden/>
          </w:rPr>
          <w:fldChar w:fldCharType="separate"/>
        </w:r>
        <w:r>
          <w:rPr>
            <w:rStyle w:val="IndexLink"/>
            <w:vanish w:val="false"/>
          </w:rPr>
          <w:tab/>
          <w:t>2-17</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48">
        <w:r>
          <w:rPr>
            <w:rStyle w:val="IndexLink"/>
          </w:rPr>
          <w:t>Figure 2</w:t>
          <w:noBreakHyphen/>
          <w:t>6.  Conceptual Hydrologic Model for the Biogeochemical Model of STA-2 FW1.</w:t>
        </w:r>
        <w:r>
          <w:rPr>
            <w:webHidden/>
          </w:rPr>
          <w:fldChar w:fldCharType="begin"/>
        </w:r>
        <w:r>
          <w:rPr>
            <w:webHidden/>
          </w:rPr>
          <w:instrText xml:space="preserve">PAGEREF _Toc181802648 \h</w:instrText>
        </w:r>
        <w:r>
          <w:rPr>
            <w:webHidden/>
          </w:rPr>
          <w:fldChar w:fldCharType="separate"/>
        </w:r>
        <w:r>
          <w:rPr>
            <w:rStyle w:val="IndexLink"/>
            <w:vanish w:val="false"/>
          </w:rPr>
          <w:tab/>
          <w:t>2-20</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49">
        <w:r>
          <w:rPr>
            <w:rStyle w:val="IndexLink"/>
          </w:rPr>
          <w:t>Figure 2</w:t>
          <w:noBreakHyphen/>
          <w:t>7.  Results of calibration of Hydrologic Model of STA2 FW1 by varying the outflow parameter a</w:t>
        </w:r>
        <w:r>
          <w:rPr>
            <w:rStyle w:val="IndexLink"/>
            <w:vertAlign w:val="subscript"/>
          </w:rPr>
          <w:t>OUT</w:t>
        </w:r>
        <w:r>
          <w:rPr>
            <w:rStyle w:val="IndexLink"/>
          </w:rPr>
          <w:t xml:space="preserve"> from 2000-3500.  The red line marks the average flow-way volume from the reference time series (km</w:t>
        </w:r>
        <w:r>
          <w:rPr>
            <w:rStyle w:val="IndexLink"/>
            <w:vertAlign w:val="superscript"/>
          </w:rPr>
          <w:t>3</w:t>
        </w:r>
        <w:r>
          <w:rPr>
            <w:rStyle w:val="IndexLink"/>
          </w:rPr>
          <w:t>).    The optimal value was 3000 m3 d-1. The Nash-Sutcliffe comparative index values are provided (NSE).  See text for details.</w:t>
        </w:r>
        <w:r>
          <w:rPr>
            <w:webHidden/>
          </w:rPr>
          <w:fldChar w:fldCharType="begin"/>
        </w:r>
        <w:r>
          <w:rPr>
            <w:webHidden/>
          </w:rPr>
          <w:instrText xml:space="preserve">PAGEREF _Toc181802649 \h</w:instrText>
        </w:r>
        <w:r>
          <w:rPr>
            <w:webHidden/>
          </w:rPr>
          <w:fldChar w:fldCharType="separate"/>
        </w:r>
        <w:r>
          <w:rPr>
            <w:rStyle w:val="IndexLink"/>
            <w:vanish w:val="false"/>
          </w:rPr>
          <w:tab/>
          <w:t>2-22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0">
        <w:r>
          <w:rPr>
            <w:rStyle w:val="IndexLink"/>
          </w:rPr>
          <w:t>Figure 2</w:t>
          <w:noBreakHyphen/>
          <w:t>8.  Time series of daily flow-way Q</w:t>
        </w:r>
        <w:r>
          <w:rPr>
            <w:rStyle w:val="IndexLink"/>
            <w:vertAlign w:val="subscript"/>
          </w:rPr>
          <w:t>IN</w:t>
        </w:r>
        <w:r>
          <w:rPr>
            <w:rStyle w:val="IndexLink"/>
          </w:rPr>
          <w:t>, Q</w:t>
        </w:r>
        <w:r>
          <w:rPr>
            <w:rStyle w:val="IndexLink"/>
            <w:vertAlign w:val="subscript"/>
          </w:rPr>
          <w:t>OUT</w:t>
        </w:r>
        <w:r>
          <w:rPr>
            <w:rStyle w:val="IndexLink"/>
          </w:rPr>
          <w:t>, volume, and depth for the target or reference values (black) and model predictions (red) for the Calibration period water years (5/1/2005 to 5/1/13).</w:t>
        </w:r>
        <w:r>
          <w:rPr>
            <w:webHidden/>
          </w:rPr>
          <w:fldChar w:fldCharType="begin"/>
        </w:r>
        <w:r>
          <w:rPr>
            <w:webHidden/>
          </w:rPr>
          <w:instrText xml:space="preserve">PAGEREF _Toc181802650 \h</w:instrText>
        </w:r>
        <w:r>
          <w:rPr>
            <w:webHidden/>
          </w:rPr>
          <w:fldChar w:fldCharType="separate"/>
        </w:r>
        <w:r>
          <w:rPr>
            <w:rStyle w:val="IndexLink"/>
            <w:vanish w:val="false"/>
          </w:rPr>
          <w:tab/>
          <w:t>2-23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1">
        <w:r>
          <w:rPr>
            <w:rStyle w:val="IndexLink"/>
          </w:rPr>
          <w:t>Figure 2</w:t>
          <w:noBreakHyphen/>
          <w:t>9.  Time series of daily flow-way Q</w:t>
        </w:r>
        <w:r>
          <w:rPr>
            <w:rStyle w:val="IndexLink"/>
            <w:vertAlign w:val="subscript"/>
          </w:rPr>
          <w:t>IN</w:t>
        </w:r>
        <w:r>
          <w:rPr>
            <w:rStyle w:val="IndexLink"/>
          </w:rPr>
          <w:t>, Q</w:t>
        </w:r>
        <w:r>
          <w:rPr>
            <w:rStyle w:val="IndexLink"/>
            <w:vertAlign w:val="subscript"/>
          </w:rPr>
          <w:t>OUT</w:t>
        </w:r>
        <w:r>
          <w:rPr>
            <w:rStyle w:val="IndexLink"/>
          </w:rPr>
          <w:t>, volume, and depth for the target or reference values (black) and model predictions (red) for the Validation period water years (5/1/2013 to 5/1/2020).</w:t>
        </w:r>
        <w:r>
          <w:rPr>
            <w:webHidden/>
          </w:rPr>
          <w:fldChar w:fldCharType="begin"/>
        </w:r>
        <w:r>
          <w:rPr>
            <w:webHidden/>
          </w:rPr>
          <w:instrText xml:space="preserve">PAGEREF _Toc181802651 \h</w:instrText>
        </w:r>
        <w:r>
          <w:rPr>
            <w:webHidden/>
          </w:rPr>
          <w:fldChar w:fldCharType="separate"/>
        </w:r>
        <w:r>
          <w:rPr>
            <w:rStyle w:val="IndexLink"/>
            <w:vanish w:val="false"/>
          </w:rPr>
          <w:tab/>
          <w:t>2-24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2">
        <w:r>
          <w:rPr>
            <w:rStyle w:val="IndexLink"/>
          </w:rPr>
          <w:t>Figure 2</w:t>
          <w:noBreakHyphen/>
          <w:t>10.  Scatterplots and linear regressions for the model results (x) and the reference data (y) for the Calibration (left side; 1/1/2005-12/31/2012) and Validation (right side; 1/1/2013-12/31/2020) periods.  Included are the regression coefficient (r</w:t>
        </w:r>
        <w:r>
          <w:rPr>
            <w:rStyle w:val="IndexLink"/>
            <w:vertAlign w:val="superscript"/>
          </w:rPr>
          <w:t>2</w:t>
        </w:r>
        <w:r>
          <w:rPr>
            <w:rStyle w:val="IndexLink"/>
          </w:rPr>
          <w:t>), intercept (y0). and slope (b) for the monthly average flow-way outflow (Q</w:t>
        </w:r>
        <w:r>
          <w:rPr>
            <w:rStyle w:val="IndexLink"/>
            <w:vertAlign w:val="subscript"/>
          </w:rPr>
          <w:t>OUT</w:t>
        </w:r>
        <w:r>
          <w:rPr>
            <w:rStyle w:val="IndexLink"/>
          </w:rPr>
          <w:t>; km</w:t>
        </w:r>
        <w:r>
          <w:rPr>
            <w:rStyle w:val="IndexLink"/>
            <w:vertAlign w:val="superscript"/>
          </w:rPr>
          <w:t>3</w:t>
        </w:r>
        <w:r>
          <w:rPr>
            <w:rStyle w:val="IndexLink"/>
          </w:rPr>
          <w:t xml:space="preserve"> d</w:t>
        </w:r>
        <w:r>
          <w:rPr>
            <w:rStyle w:val="IndexLink"/>
            <w:vertAlign w:val="superscript"/>
          </w:rPr>
          <w:t>-1</w:t>
        </w:r>
        <w:r>
          <w:rPr>
            <w:rStyle w:val="IndexLink"/>
          </w:rPr>
          <w:t>), volume (km</w:t>
        </w:r>
        <w:r>
          <w:rPr>
            <w:rStyle w:val="IndexLink"/>
            <w:vertAlign w:val="superscript"/>
          </w:rPr>
          <w:t>3</w:t>
        </w:r>
        <w:r>
          <w:rPr>
            <w:rStyle w:val="IndexLink"/>
          </w:rPr>
          <w:t>), and depth (m).</w:t>
        </w:r>
        <w:r>
          <w:rPr>
            <w:webHidden/>
          </w:rPr>
          <w:fldChar w:fldCharType="begin"/>
        </w:r>
        <w:r>
          <w:rPr>
            <w:webHidden/>
          </w:rPr>
          <w:instrText xml:space="preserve">PAGEREF _Toc181802652 \h</w:instrText>
        </w:r>
        <w:r>
          <w:rPr>
            <w:webHidden/>
          </w:rPr>
          <w:fldChar w:fldCharType="separate"/>
        </w:r>
        <w:r>
          <w:rPr>
            <w:rStyle w:val="IndexLink"/>
            <w:vanish w:val="false"/>
          </w:rPr>
          <w:tab/>
          <w:t>2-25</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3">
        <w:r>
          <w:rPr>
            <w:rStyle w:val="IndexLink"/>
          </w:rPr>
          <w:t>Figure 2</w:t>
          <w:noBreakHyphen/>
          <w:t>11.  Average annual sources and sinks for the Hydrologic Model of STA-2 FW1.</w:t>
        </w:r>
        <w:r>
          <w:rPr>
            <w:webHidden/>
          </w:rPr>
          <w:fldChar w:fldCharType="begin"/>
        </w:r>
        <w:r>
          <w:rPr>
            <w:webHidden/>
          </w:rPr>
          <w:instrText xml:space="preserve">PAGEREF _Toc181802653 \h</w:instrText>
        </w:r>
        <w:r>
          <w:rPr>
            <w:webHidden/>
          </w:rPr>
          <w:fldChar w:fldCharType="separate"/>
        </w:r>
        <w:r>
          <w:rPr>
            <w:rStyle w:val="IndexLink"/>
            <w:vanish w:val="false"/>
          </w:rPr>
          <w:tab/>
          <w:t>2-26</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4">
        <w:r>
          <w:rPr>
            <w:rStyle w:val="IndexLink"/>
          </w:rPr>
          <w:t>Figure 2</w:t>
          <w:noBreakHyphen/>
          <w:t>12.  Conceptual annual DIPW budget.  Arrows are annually summed rates in g P m</w:t>
        </w:r>
        <w:r>
          <w:rPr>
            <w:rStyle w:val="IndexLink"/>
            <w:vertAlign w:val="superscript"/>
          </w:rPr>
          <w:t>-2</w:t>
        </w:r>
        <w:r>
          <w:rPr>
            <w:rStyle w:val="IndexLink"/>
          </w:rPr>
          <w:t xml:space="preserve"> y</w:t>
        </w:r>
        <w:r>
          <w:rPr>
            <w:rStyle w:val="IndexLink"/>
            <w:vertAlign w:val="superscript"/>
          </w:rPr>
          <w:t>-1</w:t>
        </w:r>
        <w:r>
          <w:rPr>
            <w:rStyle w:val="IndexLink"/>
          </w:rPr>
          <w:t>.</w:t>
        </w:r>
        <w:r>
          <w:rPr>
            <w:webHidden/>
          </w:rPr>
          <w:fldChar w:fldCharType="begin"/>
        </w:r>
        <w:r>
          <w:rPr>
            <w:webHidden/>
          </w:rPr>
          <w:instrText xml:space="preserve">PAGEREF _Toc181802654 \h</w:instrText>
        </w:r>
        <w:r>
          <w:rPr>
            <w:webHidden/>
          </w:rPr>
          <w:fldChar w:fldCharType="separate"/>
        </w:r>
        <w:r>
          <w:rPr>
            <w:rStyle w:val="IndexLink"/>
            <w:vanish w:val="false"/>
          </w:rPr>
          <w:tab/>
          <w:t>2-28</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5">
        <w:r>
          <w:rPr>
            <w:rStyle w:val="IndexLink"/>
          </w:rPr>
          <w:t>Figure 2</w:t>
          <w:noBreakHyphen/>
          <w:t>13.  Time series for net daily water column total phosphorus (TP) sources (black) and sinks (red).  TP sources and sinks were calculated as sums of respective sources and sinks for water column particulate organic phosphorus (POP</w:t>
        </w:r>
        <w:r>
          <w:rPr>
            <w:rStyle w:val="IndexLink"/>
            <w:vertAlign w:val="subscript"/>
          </w:rPr>
          <w:t>W</w:t>
        </w:r>
        <w:r>
          <w:rPr>
            <w:rStyle w:val="IndexLink"/>
          </w:rPr>
          <w:t>), dissolved organic phosphorus (DOP</w:t>
        </w:r>
        <w:r>
          <w:rPr>
            <w:rStyle w:val="IndexLink"/>
            <w:vertAlign w:val="subscript"/>
          </w:rPr>
          <w:t>W</w:t>
        </w:r>
        <w:r>
          <w:rPr>
            <w:rStyle w:val="IndexLink"/>
          </w:rPr>
          <w:t>), dissolved inorganic phosphorus (DIP</w:t>
        </w:r>
        <w:r>
          <w:rPr>
            <w:rStyle w:val="IndexLink"/>
            <w:vertAlign w:val="subscript"/>
          </w:rPr>
          <w:t>W</w:t>
        </w:r>
        <w:r>
          <w:rPr>
            <w:rStyle w:val="IndexLink"/>
          </w:rPr>
          <w:t>), and particulate inorganic phosphorus (PIP</w:t>
        </w:r>
        <w:r>
          <w:rPr>
            <w:rStyle w:val="IndexLink"/>
            <w:vertAlign w:val="subscript"/>
          </w:rPr>
          <w:t>W</w:t>
        </w:r>
        <w:r>
          <w:rPr>
            <w:rStyle w:val="IndexLink"/>
          </w:rPr>
          <w:t>).</w:t>
        </w:r>
        <w:r>
          <w:rPr>
            <w:webHidden/>
          </w:rPr>
          <w:fldChar w:fldCharType="begin"/>
        </w:r>
        <w:r>
          <w:rPr>
            <w:webHidden/>
          </w:rPr>
          <w:instrText xml:space="preserve">PAGEREF _Toc181802655 \h</w:instrText>
        </w:r>
        <w:r>
          <w:rPr>
            <w:webHidden/>
          </w:rPr>
          <w:fldChar w:fldCharType="separate"/>
        </w:r>
        <w:r>
          <w:rPr>
            <w:rStyle w:val="IndexLink"/>
            <w:vanish w:val="false"/>
          </w:rPr>
          <w:tab/>
          <w:t>2-30</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6">
        <w:r>
          <w:rPr>
            <w:rStyle w:val="IndexLink"/>
          </w:rPr>
          <w:t>Figure 2</w:t>
          <w:noBreakHyphen/>
          <w:t>14.  Average annual DIP</w:t>
        </w:r>
        <w:r>
          <w:rPr>
            <w:rStyle w:val="IndexLink"/>
            <w:vertAlign w:val="subscript"/>
          </w:rPr>
          <w:t>W</w:t>
        </w:r>
        <w:r>
          <w:rPr>
            <w:rStyle w:val="IndexLink"/>
          </w:rPr>
          <w:t xml:space="preserve"> budget generated using the updated Biogeochemical Model.  Arrows are annually summed rates in g P m</w:t>
        </w:r>
        <w:r>
          <w:rPr>
            <w:rStyle w:val="IndexLink"/>
            <w:vertAlign w:val="superscript"/>
          </w:rPr>
          <w:t>-2</w:t>
        </w:r>
        <w:r>
          <w:rPr>
            <w:rStyle w:val="IndexLink"/>
          </w:rPr>
          <w:t xml:space="preserve"> y</w:t>
        </w:r>
        <w:r>
          <w:rPr>
            <w:rStyle w:val="IndexLink"/>
            <w:vertAlign w:val="superscript"/>
          </w:rPr>
          <w:t>-1</w:t>
        </w:r>
        <w:r>
          <w:rPr>
            <w:rStyle w:val="IndexLink"/>
          </w:rPr>
          <w:t>.</w:t>
        </w:r>
        <w:r>
          <w:rPr>
            <w:webHidden/>
          </w:rPr>
          <w:fldChar w:fldCharType="begin"/>
        </w:r>
        <w:r>
          <w:rPr>
            <w:webHidden/>
          </w:rPr>
          <w:instrText xml:space="preserve">PAGEREF _Toc181802656 \h</w:instrText>
        </w:r>
        <w:r>
          <w:rPr>
            <w:webHidden/>
          </w:rPr>
          <w:fldChar w:fldCharType="separate"/>
        </w:r>
        <w:r>
          <w:rPr>
            <w:rStyle w:val="IndexLink"/>
            <w:vanish w:val="false"/>
          </w:rPr>
          <w:tab/>
          <w:t>2-32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7">
        <w:r>
          <w:rPr>
            <w:rStyle w:val="IndexLink"/>
          </w:rPr>
          <w:t>Figure 2</w:t>
          <w:noBreakHyphen/>
          <w:t>15.  Time series of daily P loads to Biogeochemical Model of STA-2 FW1.</w:t>
        </w:r>
        <w:r>
          <w:rPr>
            <w:webHidden/>
          </w:rPr>
          <w:fldChar w:fldCharType="begin"/>
        </w:r>
        <w:r>
          <w:rPr>
            <w:webHidden/>
          </w:rPr>
          <w:instrText xml:space="preserve">PAGEREF _Toc181802657 \h</w:instrText>
        </w:r>
        <w:r>
          <w:rPr>
            <w:webHidden/>
          </w:rPr>
          <w:fldChar w:fldCharType="separate"/>
        </w:r>
        <w:r>
          <w:rPr>
            <w:rStyle w:val="IndexLink"/>
            <w:vanish w:val="false"/>
          </w:rPr>
          <w:tab/>
          <w:t>2-33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8">
        <w:r>
          <w:rPr>
            <w:rStyle w:val="IndexLink"/>
          </w:rPr>
          <w:t>Figure 2</w:t>
          <w:noBreakHyphen/>
          <w:t>16. Calibration results.  (A-E) k</w:t>
        </w:r>
        <w:r>
          <w:rPr>
            <w:rStyle w:val="IndexLink"/>
            <w:vertAlign w:val="subscript"/>
          </w:rPr>
          <w:t>DOPSWX</w:t>
        </w:r>
        <w:r>
          <w:rPr>
            <w:rStyle w:val="IndexLink"/>
          </w:rPr>
          <w:t xml:space="preserve"> (m</w:t>
        </w:r>
        <w:r>
          <w:rPr>
            <w:rStyle w:val="IndexLink"/>
            <w:vertAlign w:val="superscript"/>
          </w:rPr>
          <w:t>-1</w:t>
        </w:r>
        <w:r>
          <w:rPr>
            <w:rStyle w:val="IndexLink"/>
          </w:rPr>
          <w:t>).  (F-J).  k</w:t>
        </w:r>
        <w:r>
          <w:rPr>
            <w:rStyle w:val="IndexLink"/>
            <w:vertAlign w:val="subscript"/>
          </w:rPr>
          <w:t>DIPSWX</w:t>
        </w:r>
        <w:r>
          <w:rPr>
            <w:rStyle w:val="IndexLink"/>
          </w:rPr>
          <w:t xml:space="preserve"> (m</w:t>
        </w:r>
        <w:r>
          <w:rPr>
            <w:rStyle w:val="IndexLink"/>
            <w:vertAlign w:val="superscript"/>
          </w:rPr>
          <w:t>-1</w:t>
        </w:r>
        <w:r>
          <w:rPr>
            <w:rStyle w:val="IndexLink"/>
          </w:rPr>
          <w:t>).  (K-N) a</w:t>
        </w:r>
        <w:r>
          <w:rPr>
            <w:rStyle w:val="IndexLink"/>
            <w:vertAlign w:val="subscript"/>
          </w:rPr>
          <w:t>PRC</w:t>
        </w:r>
        <w:r>
          <w:rPr>
            <w:rStyle w:val="IndexLink"/>
          </w:rPr>
          <w:t xml:space="preserve"> (g P g C</w:t>
        </w:r>
        <w:r>
          <w:rPr>
            <w:rStyle w:val="IndexLink"/>
            <w:vertAlign w:val="superscript"/>
          </w:rPr>
          <w:t>-1</w:t>
        </w:r>
        <w:r>
          <w:rPr>
            <w:rStyle w:val="IndexLink"/>
          </w:rPr>
          <w:t>).</w:t>
        </w:r>
        <w:r>
          <w:rPr>
            <w:webHidden/>
          </w:rPr>
          <w:fldChar w:fldCharType="begin"/>
        </w:r>
        <w:r>
          <w:rPr>
            <w:webHidden/>
          </w:rPr>
          <w:instrText xml:space="preserve">PAGEREF _Toc181802658 \h</w:instrText>
        </w:r>
        <w:r>
          <w:rPr>
            <w:webHidden/>
          </w:rPr>
          <w:fldChar w:fldCharType="separate"/>
        </w:r>
        <w:r>
          <w:rPr>
            <w:rStyle w:val="IndexLink"/>
            <w:vanish w:val="false"/>
          </w:rPr>
          <w:tab/>
          <w:t>2-37</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59">
        <w:r>
          <w:rPr>
            <w:rStyle w:val="IndexLink"/>
          </w:rPr>
          <w:t>Figure 2</w:t>
          <w:noBreakHyphen/>
          <w:t>17.  (A) Linear relationship to model effect of total gross production (g C m</w:t>
        </w:r>
        <w:r>
          <w:rPr>
            <w:rStyle w:val="IndexLink"/>
            <w:vertAlign w:val="superscript"/>
          </w:rPr>
          <w:t>-3</w:t>
        </w:r>
        <w:r>
          <w:rPr>
            <w:rStyle w:val="IndexLink"/>
          </w:rPr>
          <w:t xml:space="preserve"> d</w:t>
        </w:r>
        <w:r>
          <w:rPr>
            <w:rStyle w:val="IndexLink"/>
            <w:vertAlign w:val="superscript"/>
          </w:rPr>
          <w:t>-1</w:t>
        </w:r>
        <w:r>
          <w:rPr>
            <w:rStyle w:val="IndexLink"/>
          </w:rPr>
          <w:t>) on DIP</w:t>
        </w:r>
        <w:r>
          <w:rPr>
            <w:rStyle w:val="IndexLink"/>
            <w:vertAlign w:val="subscript"/>
          </w:rPr>
          <w:t>W</w:t>
        </w:r>
        <w:r>
          <w:rPr>
            <w:rStyle w:val="IndexLink"/>
          </w:rPr>
          <w:t xml:space="preserve"> co-precipitation (g P m</w:t>
        </w:r>
        <w:r>
          <w:rPr>
            <w:rStyle w:val="IndexLink"/>
            <w:vertAlign w:val="superscript"/>
          </w:rPr>
          <w:t>-3</w:t>
        </w:r>
        <w:r>
          <w:rPr>
            <w:rStyle w:val="IndexLink"/>
          </w:rPr>
          <w:t xml:space="preserve"> d</w:t>
        </w:r>
        <w:r>
          <w:rPr>
            <w:rStyle w:val="IndexLink"/>
            <w:vertAlign w:val="superscript"/>
          </w:rPr>
          <w:t>-1</w:t>
        </w:r>
        <w:r>
          <w:rPr>
            <w:rStyle w:val="IndexLink"/>
          </w:rPr>
          <w:t>).  (B-D) Comparative bar charts for calibration of the updated Biogeochemical Model.  The red line on each plot denotes the model target.</w:t>
        </w:r>
        <w:r>
          <w:rPr>
            <w:webHidden/>
          </w:rPr>
          <w:fldChar w:fldCharType="begin"/>
        </w:r>
        <w:r>
          <w:rPr>
            <w:webHidden/>
          </w:rPr>
          <w:instrText xml:space="preserve">PAGEREF _Toc181802659 \h</w:instrText>
        </w:r>
        <w:r>
          <w:rPr>
            <w:webHidden/>
          </w:rPr>
          <w:fldChar w:fldCharType="separate"/>
        </w:r>
        <w:r>
          <w:rPr>
            <w:rStyle w:val="IndexLink"/>
            <w:vanish w:val="false"/>
          </w:rPr>
          <w:tab/>
          <w:t>2-38</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0">
        <w:r>
          <w:rPr>
            <w:rStyle w:val="IndexLink"/>
          </w:rPr>
          <w:t>Figure 2</w:t>
          <w:noBreakHyphen/>
          <w:t>18. Calibration results.  (A-E) k</w:t>
        </w:r>
        <w:r>
          <w:rPr>
            <w:rStyle w:val="IndexLink"/>
            <w:vertAlign w:val="subscript"/>
          </w:rPr>
          <w:t>DOPSWX</w:t>
        </w:r>
        <w:r>
          <w:rPr>
            <w:rStyle w:val="IndexLink"/>
          </w:rPr>
          <w:t xml:space="preserve"> (m</w:t>
        </w:r>
        <w:r>
          <w:rPr>
            <w:rStyle w:val="IndexLink"/>
            <w:vertAlign w:val="superscript"/>
          </w:rPr>
          <w:t>-1</w:t>
        </w:r>
        <w:r>
          <w:rPr>
            <w:rStyle w:val="IndexLink"/>
          </w:rPr>
          <w:t>).  (F-J).  k</w:t>
        </w:r>
        <w:r>
          <w:rPr>
            <w:rStyle w:val="IndexLink"/>
            <w:vertAlign w:val="subscript"/>
          </w:rPr>
          <w:t>DIPSWX</w:t>
        </w:r>
        <w:r>
          <w:rPr>
            <w:rStyle w:val="IndexLink"/>
          </w:rPr>
          <w:t xml:space="preserve"> (m</w:t>
        </w:r>
        <w:r>
          <w:rPr>
            <w:rStyle w:val="IndexLink"/>
            <w:vertAlign w:val="superscript"/>
          </w:rPr>
          <w:t>-1</w:t>
        </w:r>
        <w:r>
          <w:rPr>
            <w:rStyle w:val="IndexLink"/>
          </w:rPr>
          <w:t>).  (K-N) a</w:t>
        </w:r>
        <w:r>
          <w:rPr>
            <w:rStyle w:val="IndexLink"/>
            <w:vertAlign w:val="subscript"/>
          </w:rPr>
          <w:t>PRC</w:t>
        </w:r>
        <w:r>
          <w:rPr>
            <w:rStyle w:val="IndexLink"/>
          </w:rPr>
          <w:t xml:space="preserve"> (g P g C</w:t>
        </w:r>
        <w:r>
          <w:rPr>
            <w:rStyle w:val="IndexLink"/>
            <w:vertAlign w:val="superscript"/>
          </w:rPr>
          <w:t>-1</w:t>
        </w:r>
        <w:r>
          <w:rPr>
            <w:rStyle w:val="IndexLink"/>
          </w:rPr>
          <w:t>).</w:t>
        </w:r>
        <w:r>
          <w:rPr>
            <w:webHidden/>
          </w:rPr>
          <w:fldChar w:fldCharType="begin"/>
        </w:r>
        <w:r>
          <w:rPr>
            <w:webHidden/>
          </w:rPr>
          <w:instrText xml:space="preserve">PAGEREF _Toc181802660 \h</w:instrText>
        </w:r>
        <w:r>
          <w:rPr>
            <w:webHidden/>
          </w:rPr>
          <w:fldChar w:fldCharType="separate"/>
        </w:r>
        <w:r>
          <w:rPr>
            <w:rStyle w:val="IndexLink"/>
            <w:vanish w:val="false"/>
          </w:rPr>
          <w:tab/>
          <w:t>2-39</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1">
        <w:r>
          <w:rPr>
            <w:rStyle w:val="IndexLink"/>
          </w:rPr>
          <w:t>Figure 2</w:t>
          <w:noBreakHyphen/>
          <w:t>19.  Time series of average monthly flow-way volumes (km</w:t>
        </w:r>
        <w:r>
          <w:rPr>
            <w:rStyle w:val="IndexLink"/>
            <w:vertAlign w:val="superscript"/>
          </w:rPr>
          <w:t>3</w:t>
        </w:r>
        <w:r>
          <w:rPr>
            <w:rStyle w:val="IndexLink"/>
          </w:rPr>
          <w:t>) predicted by the hydrologic component of the Biogeochemical Model of STA-2 FW1 for five different inflow (Q</w:t>
        </w:r>
        <w:r>
          <w:rPr>
            <w:rStyle w:val="IndexLink"/>
            <w:vertAlign w:val="subscript"/>
          </w:rPr>
          <w:t>0</w:t>
        </w:r>
        <w:r>
          <w:rPr>
            <w:rStyle w:val="IndexLink"/>
          </w:rPr>
          <w:t>) simulations.  The Q</w:t>
        </w:r>
        <w:r>
          <w:rPr>
            <w:rStyle w:val="IndexLink"/>
            <w:vertAlign w:val="subscript"/>
          </w:rPr>
          <w:t>0</w:t>
        </w:r>
        <w:r>
          <w:rPr>
            <w:rStyle w:val="IndexLink"/>
          </w:rPr>
          <w:t xml:space="preserve"> series tested inflows that were -0.25X, -0.50X, base model, +1.5X, and +2.0.</w:t>
        </w:r>
        <w:r>
          <w:rPr>
            <w:webHidden/>
          </w:rPr>
          <w:fldChar w:fldCharType="begin"/>
        </w:r>
        <w:r>
          <w:rPr>
            <w:webHidden/>
          </w:rPr>
          <w:instrText xml:space="preserve">PAGEREF _Toc181802661 \h</w:instrText>
        </w:r>
        <w:r>
          <w:rPr>
            <w:webHidden/>
          </w:rPr>
          <w:fldChar w:fldCharType="separate"/>
        </w:r>
        <w:r>
          <w:rPr>
            <w:rStyle w:val="IndexLink"/>
            <w:vanish w:val="false"/>
          </w:rPr>
          <w:tab/>
          <w:t>2-41</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2">
        <w:r>
          <w:rPr>
            <w:rStyle w:val="IndexLink"/>
          </w:rPr>
          <w:t>Figure 2</w:t>
          <w:noBreakHyphen/>
          <w:t>20.  Daily total phosphorus loads (Q</w:t>
        </w:r>
        <w:r>
          <w:rPr>
            <w:rStyle w:val="IndexLink"/>
            <w:vertAlign w:val="subscript"/>
          </w:rPr>
          <w:t>TP</w:t>
        </w:r>
        <w:r>
          <w:rPr>
            <w:rStyle w:val="IndexLink"/>
          </w:rPr>
          <w:t>; g P m</w:t>
        </w:r>
        <w:r>
          <w:rPr>
            <w:rStyle w:val="IndexLink"/>
            <w:vertAlign w:val="superscript"/>
          </w:rPr>
          <w:t>-2</w:t>
        </w:r>
        <w:r>
          <w:rPr>
            <w:rStyle w:val="IndexLink"/>
          </w:rPr>
          <w:t xml:space="preserve"> d</w:t>
        </w:r>
        <w:r>
          <w:rPr>
            <w:rStyle w:val="IndexLink"/>
            <w:vertAlign w:val="superscript"/>
          </w:rPr>
          <w:t>-1</w:t>
        </w:r>
        <w:r>
          <w:rPr>
            <w:rStyle w:val="IndexLink"/>
          </w:rPr>
          <w:t>; black; left axis) and water column TP (TP</w:t>
        </w:r>
        <w:r>
          <w:rPr>
            <w:rStyle w:val="IndexLink"/>
            <w:vertAlign w:val="subscript"/>
          </w:rPr>
          <w:t>W</w:t>
        </w:r>
        <w:r>
          <w:rPr>
            <w:rStyle w:val="IndexLink"/>
          </w:rPr>
          <w:t>; g P m</w:t>
        </w:r>
        <w:r>
          <w:rPr>
            <w:rStyle w:val="IndexLink"/>
            <w:vertAlign w:val="superscript"/>
          </w:rPr>
          <w:t>-3</w:t>
        </w:r>
        <w:r>
          <w:rPr>
            <w:rStyle w:val="IndexLink"/>
          </w:rPr>
          <w:t>; red; right axis) from the series to test the effects of variable inflow (Q</w:t>
        </w:r>
        <w:r>
          <w:rPr>
            <w:rStyle w:val="IndexLink"/>
            <w:vertAlign w:val="subscript"/>
          </w:rPr>
          <w:t>0</w:t>
        </w:r>
        <w:r>
          <w:rPr>
            <w:rStyle w:val="IndexLink"/>
          </w:rPr>
          <w:t>) on the Biogeochemical Model of STA2 FW1.  (A) -0.25X base model Q</w:t>
        </w:r>
        <w:r>
          <w:rPr>
            <w:rStyle w:val="IndexLink"/>
            <w:vertAlign w:val="subscript"/>
          </w:rPr>
          <w:t>0</w:t>
        </w:r>
        <w:r>
          <w:rPr>
            <w:rStyle w:val="IndexLink"/>
          </w:rPr>
          <w:t>.  (B) -0.50X base model Q</w:t>
        </w:r>
        <w:r>
          <w:rPr>
            <w:rStyle w:val="IndexLink"/>
            <w:vertAlign w:val="subscript"/>
          </w:rPr>
          <w:t>0</w:t>
        </w:r>
        <w:r>
          <w:rPr>
            <w:rStyle w:val="IndexLink"/>
          </w:rPr>
          <w:t>.  (C) Base model Q</w:t>
        </w:r>
        <w:r>
          <w:rPr>
            <w:rStyle w:val="IndexLink"/>
            <w:vertAlign w:val="subscript"/>
          </w:rPr>
          <w:t>0</w:t>
        </w:r>
        <w:r>
          <w:rPr>
            <w:rStyle w:val="IndexLink"/>
          </w:rPr>
          <w:t>.  (D) +1.5X base model Q</w:t>
        </w:r>
        <w:r>
          <w:rPr>
            <w:rStyle w:val="IndexLink"/>
            <w:vertAlign w:val="subscript"/>
          </w:rPr>
          <w:t>0</w:t>
        </w:r>
        <w:r>
          <w:rPr>
            <w:rStyle w:val="IndexLink"/>
          </w:rPr>
          <w:t>.  (E) +2.0X base model Q</w:t>
        </w:r>
        <w:r>
          <w:rPr>
            <w:rStyle w:val="IndexLink"/>
            <w:vertAlign w:val="subscript"/>
          </w:rPr>
          <w:t>0</w:t>
        </w:r>
        <w:r>
          <w:rPr>
            <w:rStyle w:val="IndexLink"/>
          </w:rPr>
          <w:t>.  Note increase in y-axis range in D and E.</w:t>
        </w:r>
        <w:r>
          <w:rPr>
            <w:webHidden/>
          </w:rPr>
          <w:fldChar w:fldCharType="begin"/>
        </w:r>
        <w:r>
          <w:rPr>
            <w:webHidden/>
          </w:rPr>
          <w:instrText xml:space="preserve">PAGEREF _Toc181802662 \h</w:instrText>
        </w:r>
        <w:r>
          <w:rPr>
            <w:webHidden/>
          </w:rPr>
          <w:fldChar w:fldCharType="separate"/>
        </w:r>
        <w:r>
          <w:rPr>
            <w:rStyle w:val="IndexLink"/>
            <w:vanish w:val="false"/>
          </w:rPr>
          <w:tab/>
          <w:t>2-42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3">
        <w:r>
          <w:rPr>
            <w:rStyle w:val="IndexLink"/>
          </w:rPr>
          <w:t>Figure 2</w:t>
          <w:noBreakHyphen/>
          <w:t>21.  Scatter plots of annual TP loading (Q</w:t>
        </w:r>
        <w:r>
          <w:rPr>
            <w:rStyle w:val="IndexLink"/>
            <w:vertAlign w:val="subscript"/>
          </w:rPr>
          <w:t>TP</w:t>
        </w:r>
        <w:r>
          <w:rPr>
            <w:rStyle w:val="IndexLink"/>
          </w:rPr>
          <w:t>; g P m</w:t>
        </w:r>
        <w:r>
          <w:rPr>
            <w:rStyle w:val="IndexLink"/>
            <w:vertAlign w:val="superscript"/>
          </w:rPr>
          <w:t>-2</w:t>
        </w:r>
        <w:r>
          <w:rPr>
            <w:rStyle w:val="IndexLink"/>
          </w:rPr>
          <w:t xml:space="preserve"> y</w:t>
        </w:r>
        <w:r>
          <w:rPr>
            <w:rStyle w:val="IndexLink"/>
            <w:vertAlign w:val="superscript"/>
          </w:rPr>
          <w:t>-1</w:t>
        </w:r>
        <w:r>
          <w:rPr>
            <w:rStyle w:val="IndexLink"/>
          </w:rPr>
          <w:t>) vs average water column TP concentration (TP</w:t>
        </w:r>
        <w:r>
          <w:rPr>
            <w:rStyle w:val="IndexLink"/>
            <w:vertAlign w:val="subscript"/>
          </w:rPr>
          <w:t>W</w:t>
        </w:r>
        <w:r>
          <w:rPr>
            <w:rStyle w:val="IndexLink"/>
          </w:rPr>
          <w:t>; g P m</w:t>
        </w:r>
        <w:r>
          <w:rPr>
            <w:rStyle w:val="IndexLink"/>
            <w:vertAlign w:val="superscript"/>
          </w:rPr>
          <w:t>-3</w:t>
        </w:r>
        <w:r>
          <w:rPr>
            <w:rStyle w:val="IndexLink"/>
          </w:rPr>
          <w:t>) resulting from the Q</w:t>
        </w:r>
        <w:r>
          <w:rPr>
            <w:rStyle w:val="IndexLink"/>
            <w:vertAlign w:val="subscript"/>
          </w:rPr>
          <w:t>0</w:t>
        </w:r>
        <w:r>
          <w:rPr>
            <w:rStyle w:val="IndexLink"/>
          </w:rPr>
          <w:t xml:space="preserve"> series to alter TP loading to the model flow-way.  (A) -0.25X.  (B) -0.50X.  (C) Base model.  (D) +1.5X.  (E) +2.0X. (F) Q</w:t>
        </w:r>
        <w:r>
          <w:rPr>
            <w:rStyle w:val="IndexLink"/>
            <w:vertAlign w:val="subscript"/>
          </w:rPr>
          <w:t>TP</w:t>
        </w:r>
        <w:r>
          <w:rPr>
            <w:rStyle w:val="IndexLink"/>
          </w:rPr>
          <w:t xml:space="preserve"> vs TP</w:t>
        </w:r>
        <w:r>
          <w:rPr>
            <w:rStyle w:val="IndexLink"/>
            <w:vertAlign w:val="subscript"/>
          </w:rPr>
          <w:t>W</w:t>
        </w:r>
        <w:r>
          <w:rPr>
            <w:rStyle w:val="IndexLink"/>
          </w:rPr>
          <w:t xml:space="preserve"> averages over all water years for each Q</w:t>
        </w:r>
        <w:r>
          <w:rPr>
            <w:rStyle w:val="IndexLink"/>
            <w:vertAlign w:val="subscript"/>
          </w:rPr>
          <w:t>0</w:t>
        </w:r>
        <w:r>
          <w:rPr>
            <w:rStyle w:val="IndexLink"/>
          </w:rPr>
          <w:t xml:space="preserve"> simulation.</w:t>
        </w:r>
        <w:r>
          <w:rPr>
            <w:webHidden/>
          </w:rPr>
          <w:fldChar w:fldCharType="begin"/>
        </w:r>
        <w:r>
          <w:rPr>
            <w:webHidden/>
          </w:rPr>
          <w:instrText xml:space="preserve">PAGEREF _Toc181802663 \h</w:instrText>
        </w:r>
        <w:r>
          <w:rPr>
            <w:webHidden/>
          </w:rPr>
          <w:fldChar w:fldCharType="separate"/>
        </w:r>
        <w:r>
          <w:rPr>
            <w:rStyle w:val="IndexLink"/>
            <w:vanish w:val="false"/>
          </w:rPr>
          <w:tab/>
          <w:t>2-43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4">
        <w:r>
          <w:rPr>
            <w:rStyle w:val="IndexLink"/>
          </w:rPr>
          <w:t>Figure 2</w:t>
          <w:noBreakHyphen/>
          <w:t>28.  Scatter plots and linear regressions between total annual TP loading (QTP</w:t>
        </w:r>
        <w:r>
          <w:rPr>
            <w:rStyle w:val="IndexLink"/>
            <w:vertAlign w:val="subscript"/>
          </w:rPr>
          <w:t>IN</w:t>
        </w:r>
        <w:r>
          <w:rPr>
            <w:rStyle w:val="IndexLink"/>
          </w:rPr>
          <w:t>; g P m-2 y</w:t>
        </w:r>
        <w:r>
          <w:rPr>
            <w:rStyle w:val="IndexLink"/>
            <w:vertAlign w:val="superscript"/>
          </w:rPr>
          <w:t>-1</w:t>
        </w:r>
        <w:r>
          <w:rPr>
            <w:rStyle w:val="IndexLink"/>
          </w:rPr>
          <w:t>) and both the TP concentration of BGC Model water column (TPW; left axis; open circles; solid line) and the outflow ([TP]</w:t>
        </w:r>
        <w:r>
          <w:rPr>
            <w:rStyle w:val="IndexLink"/>
            <w:vertAlign w:val="subscript"/>
          </w:rPr>
          <w:t>OUT</w:t>
        </w:r>
        <w:r>
          <w:rPr>
            <w:rStyle w:val="IndexLink"/>
          </w:rPr>
          <w:t>; right axis; solid squares; dashed line.  (A) Results when k</w:t>
        </w:r>
        <w:r>
          <w:rPr>
            <w:rStyle w:val="IndexLink"/>
            <w:vertAlign w:val="subscript"/>
          </w:rPr>
          <w:t>DOPSWX</w:t>
        </w:r>
        <w:r>
          <w:rPr>
            <w:rStyle w:val="IndexLink"/>
          </w:rPr>
          <w:t xml:space="preserve"> was 0.001 d</w:t>
        </w:r>
        <w:r>
          <w:rPr>
            <w:rStyle w:val="IndexLink"/>
            <w:vertAlign w:val="superscript"/>
          </w:rPr>
          <w:t>-1</w:t>
        </w:r>
        <w:r>
          <w:rPr>
            <w:rStyle w:val="IndexLink"/>
          </w:rPr>
          <w:t>.  (B) Results when k</w:t>
        </w:r>
        <w:r>
          <w:rPr>
            <w:rStyle w:val="IndexLink"/>
            <w:vertAlign w:val="subscript"/>
          </w:rPr>
          <w:t>DOPSWX</w:t>
        </w:r>
        <w:r>
          <w:rPr>
            <w:rStyle w:val="IndexLink"/>
          </w:rPr>
          <w:t xml:space="preserve"> was 0.003 d</w:t>
        </w:r>
        <w:r>
          <w:rPr>
            <w:rStyle w:val="IndexLink"/>
            <w:vertAlign w:val="superscript"/>
          </w:rPr>
          <w:t>-1</w:t>
        </w:r>
        <w:r>
          <w:rPr>
            <w:rStyle w:val="IndexLink"/>
          </w:rPr>
          <w:t>.  (C) Results when k</w:t>
        </w:r>
        <w:r>
          <w:rPr>
            <w:rStyle w:val="IndexLink"/>
            <w:vertAlign w:val="subscript"/>
          </w:rPr>
          <w:t>DOPSWX</w:t>
        </w:r>
        <w:r>
          <w:rPr>
            <w:rStyle w:val="IndexLink"/>
          </w:rPr>
          <w:t xml:space="preserve"> was 0.005 d</w:t>
        </w:r>
        <w:r>
          <w:rPr>
            <w:rStyle w:val="IndexLink"/>
            <w:vertAlign w:val="superscript"/>
          </w:rPr>
          <w:t>-1</w:t>
        </w:r>
        <w:r>
          <w:rPr>
            <w:rStyle w:val="IndexLink"/>
          </w:rPr>
          <w:t>.  Included are the regression coefficient and parameter values.  The most optimal scenario is highlighted in red.</w:t>
        </w:r>
        <w:r>
          <w:rPr>
            <w:webHidden/>
          </w:rPr>
          <w:fldChar w:fldCharType="begin"/>
        </w:r>
        <w:r>
          <w:rPr>
            <w:webHidden/>
          </w:rPr>
          <w:instrText xml:space="preserve">PAGEREF _Toc181802664 \h</w:instrText>
        </w:r>
        <w:r>
          <w:rPr>
            <w:webHidden/>
          </w:rPr>
          <w:fldChar w:fldCharType="separate"/>
        </w:r>
        <w:r>
          <w:rPr>
            <w:rStyle w:val="IndexLink"/>
            <w:vanish w:val="false"/>
          </w:rPr>
          <w:tab/>
          <w:t>2-54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5">
        <w:r>
          <w:rPr>
            <w:rStyle w:val="IndexLink"/>
          </w:rPr>
          <w:t>Figure 3</w:t>
          <w:noBreakHyphen/>
          <w:t>1.  Location of STA-2  FW1 in relation to the Everglades Agricultural Area and Water Conservation Areas. (From UF-WBL 2019).</w:t>
        </w:r>
        <w:r>
          <w:rPr>
            <w:webHidden/>
          </w:rPr>
          <w:fldChar w:fldCharType="begin"/>
        </w:r>
        <w:r>
          <w:rPr>
            <w:webHidden/>
          </w:rPr>
          <w:instrText xml:space="preserve">PAGEREF _Toc181802665 \h</w:instrText>
        </w:r>
        <w:r>
          <w:rPr>
            <w:webHidden/>
          </w:rPr>
          <w:fldChar w:fldCharType="separate"/>
        </w:r>
        <w:r>
          <w:rPr>
            <w:rStyle w:val="IndexLink"/>
            <w:vanish w:val="false"/>
          </w:rPr>
          <w:tab/>
          <w:t>3-2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6">
        <w:r>
          <w:rPr>
            <w:rStyle w:val="IndexLink"/>
          </w:rPr>
          <w:t>Figure 3</w:t>
          <w:noBreakHyphen/>
          <w:t>2.  Illustration of the simple compartmental representation of FW1 in STA-2</w:t>
        </w:r>
        <w:r>
          <w:rPr>
            <w:webHidden/>
          </w:rPr>
          <w:fldChar w:fldCharType="begin"/>
        </w:r>
        <w:r>
          <w:rPr>
            <w:webHidden/>
          </w:rPr>
          <w:instrText xml:space="preserve">PAGEREF _Toc181802666 \h</w:instrText>
        </w:r>
        <w:r>
          <w:rPr>
            <w:webHidden/>
          </w:rPr>
          <w:fldChar w:fldCharType="separate"/>
        </w:r>
        <w:r>
          <w:rPr>
            <w:rStyle w:val="IndexLink"/>
            <w:vanish w:val="false"/>
          </w:rPr>
          <w:tab/>
          <w:t>3-2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7">
        <w:r>
          <w:rPr>
            <w:rStyle w:val="IndexLink"/>
          </w:rPr>
          <w:t>Figure 3</w:t>
          <w:noBreakHyphen/>
          <w:t>3.  Allocation of the BGC (CELLC 2024) FW1 modeled volumes for each FW1 segment modeled by the CASM-STA.</w:t>
        </w:r>
        <w:r>
          <w:rPr>
            <w:webHidden/>
          </w:rPr>
          <w:fldChar w:fldCharType="begin"/>
        </w:r>
        <w:r>
          <w:rPr>
            <w:webHidden/>
          </w:rPr>
          <w:instrText xml:space="preserve">PAGEREF _Toc181802667 \h</w:instrText>
        </w:r>
        <w:r>
          <w:rPr>
            <w:webHidden/>
          </w:rPr>
          <w:fldChar w:fldCharType="separate"/>
        </w:r>
        <w:r>
          <w:rPr>
            <w:rStyle w:val="IndexLink"/>
            <w:vanish w:val="false"/>
          </w:rPr>
          <w:tab/>
          <w:t>3-1</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8">
        <w:r>
          <w:rPr>
            <w:rStyle w:val="IndexLink"/>
          </w:rPr>
          <w:t>Figure 3</w:t>
          <w:noBreakHyphen/>
          <w:t>4.  Regression of BGC model and allocated segment A volumes (km</w:t>
        </w:r>
        <w:r>
          <w:rPr>
            <w:rStyle w:val="IndexLink"/>
            <w:vertAlign w:val="superscript"/>
          </w:rPr>
          <w:t>-3</w:t>
        </w:r>
        <w:r>
          <w:rPr>
            <w:rStyle w:val="IndexLink"/>
          </w:rPr>
          <w:t>) for the 2005 – 2012 calibration (left panel) and 2013 – 2020 validation (right panel) years.</w:t>
        </w:r>
        <w:r>
          <w:rPr>
            <w:webHidden/>
          </w:rPr>
          <w:fldChar w:fldCharType="begin"/>
        </w:r>
        <w:r>
          <w:rPr>
            <w:webHidden/>
          </w:rPr>
          <w:instrText xml:space="preserve">PAGEREF _Toc181802668 \h</w:instrText>
        </w:r>
        <w:r>
          <w:rPr>
            <w:webHidden/>
          </w:rPr>
          <w:fldChar w:fldCharType="separate"/>
        </w:r>
        <w:r>
          <w:rPr>
            <w:rStyle w:val="IndexLink"/>
            <w:vanish w:val="false"/>
          </w:rPr>
          <w:tab/>
          <w:t>3-1</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69">
        <w:r>
          <w:rPr>
            <w:rStyle w:val="IndexLink"/>
          </w:rPr>
          <w:t>Figure 3</w:t>
          <w:noBreakHyphen/>
          <w:t>5.  Regression of BGC model and allocated segment B volumes (km</w:t>
        </w:r>
        <w:r>
          <w:rPr>
            <w:rStyle w:val="IndexLink"/>
            <w:vertAlign w:val="superscript"/>
          </w:rPr>
          <w:t>-3</w:t>
        </w:r>
        <w:r>
          <w:rPr>
            <w:rStyle w:val="IndexLink"/>
          </w:rPr>
          <w:t>) for the 2005 – 2012 calibration (left panel) and 2013 – 2020 validation (right panel) years.</w:t>
        </w:r>
        <w:r>
          <w:rPr>
            <w:webHidden/>
          </w:rPr>
          <w:fldChar w:fldCharType="begin"/>
        </w:r>
        <w:r>
          <w:rPr>
            <w:webHidden/>
          </w:rPr>
          <w:instrText xml:space="preserve">PAGEREF _Toc181802669 \h</w:instrText>
        </w:r>
        <w:r>
          <w:rPr>
            <w:webHidden/>
          </w:rPr>
          <w:fldChar w:fldCharType="separate"/>
        </w:r>
        <w:r>
          <w:rPr>
            <w:rStyle w:val="IndexLink"/>
            <w:vanish w:val="false"/>
          </w:rPr>
          <w:tab/>
          <w:t>3-2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0">
        <w:r>
          <w:rPr>
            <w:rStyle w:val="IndexLink"/>
          </w:rPr>
          <w:t>Figure 3</w:t>
          <w:noBreakHyphen/>
          <w:t>6.  Regression of BGC model and allocated segment C volumes (km</w:t>
        </w:r>
        <w:r>
          <w:rPr>
            <w:rStyle w:val="IndexLink"/>
            <w:vertAlign w:val="superscript"/>
          </w:rPr>
          <w:t>-3</w:t>
        </w:r>
        <w:r>
          <w:rPr>
            <w:rStyle w:val="IndexLink"/>
          </w:rPr>
          <w:t>) for the 2005 – 2012 calibration (left panel) and 2013 – 2020 validation (right panel) years.</w:t>
        </w:r>
        <w:r>
          <w:rPr>
            <w:webHidden/>
          </w:rPr>
          <w:fldChar w:fldCharType="begin"/>
        </w:r>
        <w:r>
          <w:rPr>
            <w:webHidden/>
          </w:rPr>
          <w:instrText xml:space="preserve">PAGEREF _Toc181802670 \h</w:instrText>
        </w:r>
        <w:r>
          <w:rPr>
            <w:webHidden/>
          </w:rPr>
          <w:fldChar w:fldCharType="separate"/>
        </w:r>
        <w:r>
          <w:rPr>
            <w:rStyle w:val="IndexLink"/>
            <w:vanish w:val="false"/>
          </w:rPr>
          <w:tab/>
          <w:t>3-2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1">
        <w:r>
          <w:rPr>
            <w:rStyle w:val="IndexLink"/>
          </w:rPr>
          <w:t>Figure 3</w:t>
          <w:noBreakHyphen/>
          <w:t>7.  Daily transport coefficients (1/day) from segment A to B computed for the calibration years (2005 – 2012, left panel) and validation years (2013 – 2020, right panel).</w:t>
        </w:r>
        <w:r>
          <w:rPr>
            <w:webHidden/>
          </w:rPr>
          <w:fldChar w:fldCharType="begin"/>
        </w:r>
        <w:r>
          <w:rPr>
            <w:webHidden/>
          </w:rPr>
          <w:instrText xml:space="preserve">PAGEREF _Toc181802671 \h</w:instrText>
        </w:r>
        <w:r>
          <w:rPr>
            <w:webHidden/>
          </w:rPr>
          <w:fldChar w:fldCharType="separate"/>
        </w:r>
        <w:r>
          <w:rPr>
            <w:rStyle w:val="IndexLink"/>
            <w:vanish w:val="false"/>
          </w:rPr>
          <w:tab/>
          <w:t>3-3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2">
        <w:r>
          <w:rPr>
            <w:rStyle w:val="IndexLink"/>
          </w:rPr>
          <w:t>Figure 3</w:t>
          <w:noBreakHyphen/>
          <w:t>8.  Daily transport coefficients (1/day) from segment A to B computed for the calibration years (2005 – 2012, left panel) and validation years (2013 – 2020, right panel).</w:t>
        </w:r>
        <w:r>
          <w:rPr>
            <w:webHidden/>
          </w:rPr>
          <w:fldChar w:fldCharType="begin"/>
        </w:r>
        <w:r>
          <w:rPr>
            <w:webHidden/>
          </w:rPr>
          <w:instrText xml:space="preserve">PAGEREF _Toc181802672 \h</w:instrText>
        </w:r>
        <w:r>
          <w:rPr>
            <w:webHidden/>
          </w:rPr>
          <w:fldChar w:fldCharType="separate"/>
        </w:r>
        <w:r>
          <w:rPr>
            <w:rStyle w:val="IndexLink"/>
            <w:vanish w:val="false"/>
          </w:rPr>
          <w:tab/>
          <w:t>3-3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3">
        <w:r>
          <w:rPr>
            <w:rStyle w:val="IndexLink"/>
          </w:rPr>
          <w:t>Figure 3</w:t>
          <w:noBreakHyphen/>
          <w:t>9.  Daily transport coefficients (1/day) from segment C out of FW1 computed for the calibration years (2005 – 2012, left panel) and validation years (2013 – 2020, right panel).</w:t>
        </w:r>
        <w:r>
          <w:rPr>
            <w:webHidden/>
          </w:rPr>
          <w:fldChar w:fldCharType="begin"/>
        </w:r>
        <w:r>
          <w:rPr>
            <w:webHidden/>
          </w:rPr>
          <w:instrText xml:space="preserve">PAGEREF _Toc181802673 \h</w:instrText>
        </w:r>
        <w:r>
          <w:rPr>
            <w:webHidden/>
          </w:rPr>
          <w:fldChar w:fldCharType="separate"/>
        </w:r>
        <w:r>
          <w:rPr>
            <w:rStyle w:val="IndexLink"/>
            <w:vanish w:val="false"/>
          </w:rPr>
          <w:tab/>
          <w:t>3-4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4">
        <w:r>
          <w:rPr>
            <w:rStyle w:val="IndexLink"/>
          </w:rPr>
          <w:t>Figure 3</w:t>
          <w:noBreakHyphen/>
          <w:t>10.  CASM-STA food web structure informed by SFWMD studies (e.g., Barton et al. 2020, 2021; Evans et al. 2019).</w:t>
        </w:r>
        <w:r>
          <w:rPr>
            <w:webHidden/>
          </w:rPr>
          <w:fldChar w:fldCharType="begin"/>
        </w:r>
        <w:r>
          <w:rPr>
            <w:webHidden/>
          </w:rPr>
          <w:instrText xml:space="preserve">PAGEREF _Toc181802674 \h</w:instrText>
        </w:r>
        <w:r>
          <w:rPr>
            <w:webHidden/>
          </w:rPr>
          <w:fldChar w:fldCharType="separate"/>
        </w:r>
        <w:r>
          <w:rPr>
            <w:rStyle w:val="IndexLink"/>
            <w:vanish w:val="false"/>
          </w:rPr>
          <w:tab/>
          <w:t>3-7</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5">
        <w:r>
          <w:rPr>
            <w:rStyle w:val="IndexLink"/>
          </w:rPr>
          <w:t>Figure 3</w:t>
          <w:noBreakHyphen/>
          <w:t>11.  Regression analysis of total suspended solids versus fish weight based on data gleaned from Jimenez-Montealegre et al. (2002).</w:t>
        </w:r>
        <w:r>
          <w:rPr>
            <w:webHidden/>
          </w:rPr>
          <w:fldChar w:fldCharType="begin"/>
        </w:r>
        <w:r>
          <w:rPr>
            <w:webHidden/>
          </w:rPr>
          <w:instrText xml:space="preserve">PAGEREF _Toc181802675 \h</w:instrText>
        </w:r>
        <w:r>
          <w:rPr>
            <w:webHidden/>
          </w:rPr>
          <w:fldChar w:fldCharType="separate"/>
        </w:r>
        <w:r>
          <w:rPr>
            <w:rStyle w:val="IndexLink"/>
            <w:vanish w:val="false"/>
          </w:rPr>
          <w:tab/>
          <w:t>3-9</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6">
        <w:r>
          <w:rPr>
            <w:rStyle w:val="IndexLink"/>
          </w:rPr>
          <w:t>Figure 3</w:t>
          <w:noBreakHyphen/>
          <w:t>12.  Conceptual biogeochemical (BGC) model of an STA wetland (CELLC 2024).</w:t>
        </w:r>
        <w:r>
          <w:rPr>
            <w:webHidden/>
          </w:rPr>
          <w:fldChar w:fldCharType="begin"/>
        </w:r>
        <w:r>
          <w:rPr>
            <w:webHidden/>
          </w:rPr>
          <w:instrText xml:space="preserve">PAGEREF _Toc181802676 \h</w:instrText>
        </w:r>
        <w:r>
          <w:rPr>
            <w:webHidden/>
          </w:rPr>
          <w:fldChar w:fldCharType="separate"/>
        </w:r>
        <w:r>
          <w:rPr>
            <w:rStyle w:val="IndexLink"/>
            <w:vanish w:val="false"/>
          </w:rPr>
          <w:tab/>
          <w:t>3-15</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7">
        <w:r>
          <w:rPr>
            <w:rStyle w:val="IndexLink"/>
          </w:rPr>
          <w:t>Figure 3</w:t>
          <w:noBreakHyphen/>
          <w:t>13.  Integration of the historical CASM and the biogeochemical (BGC) model of an STA wetland to produce the CASM-STA.</w:t>
        </w:r>
        <w:r>
          <w:rPr>
            <w:webHidden/>
          </w:rPr>
          <w:fldChar w:fldCharType="begin"/>
        </w:r>
        <w:r>
          <w:rPr>
            <w:webHidden/>
          </w:rPr>
          <w:instrText xml:space="preserve">PAGEREF _Toc181802677 \h</w:instrText>
        </w:r>
        <w:r>
          <w:rPr>
            <w:webHidden/>
          </w:rPr>
          <w:fldChar w:fldCharType="separate"/>
        </w:r>
        <w:r>
          <w:rPr>
            <w:rStyle w:val="IndexLink"/>
            <w:vanish w:val="false"/>
          </w:rPr>
          <w:tab/>
          <w:t>3-19</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8">
        <w:r>
          <w:rPr>
            <w:rStyle w:val="IndexLink"/>
          </w:rPr>
          <w:t>Figure 4</w:t>
          <w:noBreakHyphen/>
          <w:t>1.  Relationships between annual TP loading (g P/m</w:t>
        </w:r>
        <w:r>
          <w:rPr>
            <w:rStyle w:val="IndexLink"/>
            <w:vertAlign w:val="superscript"/>
          </w:rPr>
          <w:t>2</w:t>
        </w:r>
        <w:r>
          <w:rPr>
            <w:rStyle w:val="IndexLink"/>
          </w:rPr>
          <w:t>/y) to segment A and average daily flow-weighted TP concentration (g P/m</w:t>
        </w:r>
        <w:r>
          <w:rPr>
            <w:rStyle w:val="IndexLink"/>
            <w:vertAlign w:val="superscript"/>
          </w:rPr>
          <w:t>3</w:t>
        </w:r>
        <w:r>
          <w:rPr>
            <w:rStyle w:val="IndexLink"/>
          </w:rPr>
          <w:t>) in the outflow from segment C, (a) mean outflow P concentration, (b) minimum outflow P concentration, and (c) maximum P concentration.</w:t>
        </w:r>
        <w:r>
          <w:rPr>
            <w:webHidden/>
          </w:rPr>
          <w:fldChar w:fldCharType="begin"/>
        </w:r>
        <w:r>
          <w:rPr>
            <w:webHidden/>
          </w:rPr>
          <w:instrText xml:space="preserve">PAGEREF _Toc181802678 \h</w:instrText>
        </w:r>
        <w:r>
          <w:rPr>
            <w:webHidden/>
          </w:rPr>
          <w:fldChar w:fldCharType="separate"/>
        </w:r>
        <w:r>
          <w:rPr>
            <w:rStyle w:val="IndexLink"/>
            <w:vanish w:val="false"/>
          </w:rPr>
          <w:tab/>
          <w:t>4-5</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1802679">
        <w:r>
          <w:rPr>
            <w:rStyle w:val="IndexLink"/>
          </w:rPr>
          <w:t>Figure 4</w:t>
          <w:noBreakHyphen/>
          <w:t>2.  Daily TP loadings (g P/m2/d) to segment A in the CASM-STA.</w:t>
        </w:r>
        <w:r>
          <w:rPr>
            <w:webHidden/>
          </w:rPr>
          <w:fldChar w:fldCharType="begin"/>
        </w:r>
        <w:r>
          <w:rPr>
            <w:webHidden/>
          </w:rPr>
          <w:instrText xml:space="preserve">PAGEREF _Toc181802679 \h</w:instrText>
        </w:r>
        <w:r>
          <w:rPr>
            <w:webHidden/>
          </w:rPr>
          <w:fldChar w:fldCharType="separate"/>
        </w:r>
        <w:r>
          <w:rPr>
            <w:rStyle w:val="IndexLink"/>
            <w:vanish w:val="false"/>
          </w:rPr>
          <w:tab/>
          <w:t>4-6</w:t>
        </w:r>
        <w:r>
          <w:rPr>
            <w:webHidden/>
          </w:rPr>
          <w:fldChar w:fldCharType="end"/>
        </w:r>
      </w:hyperlink>
      <w:r>
        <w:rPr>
          <w:rStyle w:val="IndexLink"/>
          <w:vanish w:val="false"/>
        </w:rPr>
        <w:fldChar w:fldCharType="end"/>
      </w:r>
    </w:p>
    <w:p>
      <w:pPr>
        <w:pStyle w:val="Normal"/>
        <w:spacing w:lineRule="auto" w:line="240"/>
        <w:ind w:hanging="403"/>
        <w:rPr>
          <w:bCs w:val="false"/>
          <w:color w:themeColor="text1" w:val="000000"/>
          <w:sz w:val="16"/>
          <w:szCs w:val="16"/>
        </w:rPr>
      </w:pPr>
      <w:r>
        <w:rPr>
          <w:bCs w:val="false"/>
          <w:color w:themeColor="text1" w:val="000000"/>
          <w:sz w:val="16"/>
          <w:szCs w:val="16"/>
        </w:rPr>
      </w:r>
    </w:p>
    <w:p>
      <w:pPr>
        <w:pStyle w:val="TOCHeadingsAfter6ptLinespacing15lines"/>
        <w:spacing w:lineRule="auto" w:line="240" w:before="0" w:after="60"/>
        <w:rPr>
          <w:color w:themeColor="text1" w:val="000000"/>
        </w:rPr>
      </w:pPr>
      <w:r>
        <w:rPr>
          <w:color w:themeColor="text1" w:val="000000"/>
        </w:rPr>
        <w:t>LIST OF TABLES</w:t>
      </w:r>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r>
        <w:fldChar w:fldCharType="begin"/>
      </w:r>
      <w:r>
        <w:rPr>
          <w:rStyle w:val="IndexLink"/>
        </w:rPr>
        <w:instrText xml:space="preserve"> TOC \c "Table" \h </w:instrText>
      </w:r>
      <w:r>
        <w:rPr>
          <w:rStyle w:val="IndexLink"/>
        </w:rPr>
        <w:fldChar w:fldCharType="separate"/>
      </w:r>
      <w:hyperlink w:anchor="_Toc182250910">
        <w:r>
          <w:rPr>
            <w:rStyle w:val="IndexLink"/>
          </w:rPr>
          <w:t>Table 2</w:t>
          <w:noBreakHyphen/>
          <w:t>1. Carbon pools in the STA Biogeochemical Model.</w:t>
        </w:r>
        <w:r>
          <w:rPr>
            <w:webHidden/>
          </w:rPr>
          <w:fldChar w:fldCharType="begin"/>
        </w:r>
        <w:r>
          <w:rPr>
            <w:webHidden/>
          </w:rPr>
          <w:instrText xml:space="preserve">PAGEREF _Toc182250910 \h</w:instrText>
        </w:r>
        <w:r>
          <w:rPr>
            <w:webHidden/>
          </w:rPr>
          <w:fldChar w:fldCharType="separate"/>
        </w:r>
        <w:r>
          <w:rPr>
            <w:rStyle w:val="IndexLink"/>
            <w:vanish w:val="false"/>
          </w:rPr>
          <w:tab/>
          <w:t>2-1</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11">
        <w:r>
          <w:rPr>
            <w:rStyle w:val="IndexLink"/>
          </w:rPr>
          <w:t>Table 2</w:t>
          <w:noBreakHyphen/>
          <w:t>2. Phosphorus pools in the STA Biogeochemical Model.</w:t>
        </w:r>
        <w:r>
          <w:rPr>
            <w:webHidden/>
          </w:rPr>
          <w:fldChar w:fldCharType="begin"/>
        </w:r>
        <w:r>
          <w:rPr>
            <w:webHidden/>
          </w:rPr>
          <w:instrText xml:space="preserve">PAGEREF _Toc182250911 \h</w:instrText>
        </w:r>
        <w:r>
          <w:rPr>
            <w:webHidden/>
          </w:rPr>
          <w:fldChar w:fldCharType="separate"/>
        </w:r>
        <w:r>
          <w:rPr>
            <w:rStyle w:val="IndexLink"/>
            <w:vanish w:val="false"/>
          </w:rPr>
          <w:tab/>
          <w:t>2-3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12">
        <w:r>
          <w:rPr>
            <w:rStyle w:val="IndexLink"/>
          </w:rPr>
          <w:t>Table 2</w:t>
          <w:noBreakHyphen/>
          <w:t>3. List of Processes in the STA Biogeochemical Model.</w:t>
        </w:r>
        <w:r>
          <w:rPr>
            <w:webHidden/>
          </w:rPr>
          <w:fldChar w:fldCharType="begin"/>
        </w:r>
        <w:r>
          <w:rPr>
            <w:webHidden/>
          </w:rPr>
          <w:instrText xml:space="preserve">PAGEREF _Toc182250912 \h</w:instrText>
        </w:r>
        <w:r>
          <w:rPr>
            <w:webHidden/>
          </w:rPr>
          <w:fldChar w:fldCharType="separate"/>
        </w:r>
        <w:r>
          <w:rPr>
            <w:rStyle w:val="IndexLink"/>
            <w:vanish w:val="false"/>
          </w:rPr>
          <w:tab/>
          <w:t>2-4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13">
        <w:r>
          <w:rPr>
            <w:rStyle w:val="IndexLink"/>
          </w:rPr>
          <w:t>Table 2</w:t>
          <w:noBreakHyphen/>
          <w:t>4. Model targets derived from Phase II data integration and analysis of STA-2 FW1.</w:t>
        </w:r>
        <w:r>
          <w:rPr>
            <w:webHidden/>
          </w:rPr>
          <w:fldChar w:fldCharType="begin"/>
        </w:r>
        <w:r>
          <w:rPr>
            <w:webHidden/>
          </w:rPr>
          <w:instrText xml:space="preserve">PAGEREF _Toc182250913 \h</w:instrText>
        </w:r>
        <w:r>
          <w:rPr>
            <w:webHidden/>
          </w:rPr>
          <w:fldChar w:fldCharType="separate"/>
        </w:r>
        <w:r>
          <w:rPr>
            <w:rStyle w:val="IndexLink"/>
            <w:vanish w:val="false"/>
          </w:rPr>
          <w:tab/>
          <w:t>2-9</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14">
        <w:r>
          <w:rPr>
            <w:rStyle w:val="IndexLink"/>
          </w:rPr>
          <w:t>Table 2</w:t>
          <w:noBreakHyphen/>
          <w:t>5. Comparisons between pore-water dissolved organic P (DOP) and inorganic P (DIP) from STA2 FW1 (Two different methods were used to determine the pore-water concentrations (Extract vs Peeper).  All concentrations in g P m</w:t>
        </w:r>
        <w:r>
          <w:rPr>
            <w:rStyle w:val="IndexLink"/>
            <w:vertAlign w:val="superscript"/>
          </w:rPr>
          <w:t>-2</w:t>
        </w:r>
        <w:r>
          <w:rPr>
            <w:rStyle w:val="IndexLink"/>
          </w:rPr>
          <w:t>.</w:t>
        </w:r>
        <w:r>
          <w:rPr>
            <w:webHidden/>
          </w:rPr>
          <w:fldChar w:fldCharType="begin"/>
        </w:r>
        <w:r>
          <w:rPr>
            <w:webHidden/>
          </w:rPr>
          <w:instrText xml:space="preserve">PAGEREF _Toc182250914 \h</w:instrText>
        </w:r>
        <w:r>
          <w:rPr>
            <w:webHidden/>
          </w:rPr>
          <w:fldChar w:fldCharType="separate"/>
        </w:r>
        <w:r>
          <w:rPr>
            <w:rStyle w:val="IndexLink"/>
            <w:vanish w:val="false"/>
          </w:rPr>
          <w:tab/>
          <w:t>2-10</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15">
        <w:r>
          <w:rPr>
            <w:rStyle w:val="IndexLink"/>
          </w:rPr>
          <w:t>Table 2</w:t>
          <w:noBreakHyphen/>
          <w:t>6. List of difference-based source-sink equations for each of the 15 carbon (C) and phosphorus (P) pools of the Biogeochemical Model of STA-2 FW1.  See text for descriptions and units and Table 2-7 for parameter values.</w:t>
        </w:r>
        <w:r>
          <w:rPr>
            <w:webHidden/>
          </w:rPr>
          <w:fldChar w:fldCharType="begin"/>
        </w:r>
        <w:r>
          <w:rPr>
            <w:webHidden/>
          </w:rPr>
          <w:instrText xml:space="preserve">PAGEREF _Toc182250915 \h</w:instrText>
        </w:r>
        <w:r>
          <w:rPr>
            <w:webHidden/>
          </w:rPr>
          <w:fldChar w:fldCharType="separate"/>
        </w:r>
        <w:r>
          <w:rPr>
            <w:rStyle w:val="IndexLink"/>
            <w:vanish w:val="false"/>
          </w:rPr>
          <w:tab/>
          <w:t>2-12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16">
        <w:r>
          <w:rPr>
            <w:rStyle w:val="IndexLink"/>
          </w:rPr>
          <w:t>Table 2</w:t>
          <w:noBreakHyphen/>
          <w:t>6 continued. List of difference-based source-sink equations for each of the 15 carbon (C) and phosphorus (P) pools of the Biogeochemical Model of STA-2 FW1.  See text for descriptions and units and Table 2-7 for parameter values.</w:t>
        </w:r>
        <w:r>
          <w:rPr>
            <w:webHidden/>
          </w:rPr>
          <w:fldChar w:fldCharType="begin"/>
        </w:r>
        <w:r>
          <w:rPr>
            <w:webHidden/>
          </w:rPr>
          <w:instrText xml:space="preserve">PAGEREF _Toc182250916 \h</w:instrText>
        </w:r>
        <w:r>
          <w:rPr>
            <w:webHidden/>
          </w:rPr>
          <w:fldChar w:fldCharType="separate"/>
        </w:r>
        <w:r>
          <w:rPr>
            <w:rStyle w:val="IndexLink"/>
            <w:vanish w:val="false"/>
          </w:rPr>
          <w:tab/>
          <w:t>2-13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17">
        <w:r>
          <w:rPr>
            <w:rStyle w:val="IndexLink"/>
          </w:rPr>
          <w:t>Table 2</w:t>
          <w:noBreakHyphen/>
          <w:t>7. List of initial concentrations and parameters for the Biogeochemical Model of STA-2 FW1</w:t>
        </w:r>
        <w:r>
          <w:rPr>
            <w:webHidden/>
          </w:rPr>
          <w:fldChar w:fldCharType="begin"/>
        </w:r>
        <w:r>
          <w:rPr>
            <w:webHidden/>
          </w:rPr>
          <w:instrText xml:space="preserve">PAGEREF _Toc182250917 \h</w:instrText>
        </w:r>
        <w:r>
          <w:rPr>
            <w:webHidden/>
          </w:rPr>
          <w:fldChar w:fldCharType="separate"/>
        </w:r>
        <w:r>
          <w:rPr>
            <w:rStyle w:val="IndexLink"/>
            <w:vanish w:val="false"/>
          </w:rPr>
          <w:tab/>
          <w:t>2-14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18">
        <w:r>
          <w:rPr>
            <w:rStyle w:val="IndexLink"/>
          </w:rPr>
          <w:t>Table 2</w:t>
          <w:noBreakHyphen/>
          <w:t>8. Descriptive statistics for average monthly target volumes of STA-2 FW1 (VFW1; km</w:t>
        </w:r>
        <w:r>
          <w:rPr>
            <w:rStyle w:val="IndexLink"/>
            <w:vertAlign w:val="superscript"/>
          </w:rPr>
          <w:t>3</w:t>
        </w:r>
        <w:r>
          <w:rPr>
            <w:rStyle w:val="IndexLink"/>
          </w:rPr>
          <w:t>) for the calibration (CAL; 1/1/2005 to 12/31/2012) and validation (VAL; 1/1/2013 to 12/31/2020) periods.</w:t>
        </w:r>
        <w:r>
          <w:rPr>
            <w:webHidden/>
          </w:rPr>
          <w:fldChar w:fldCharType="begin"/>
        </w:r>
        <w:r>
          <w:rPr>
            <w:webHidden/>
          </w:rPr>
          <w:instrText xml:space="preserve">PAGEREF _Toc182250918 \h</w:instrText>
        </w:r>
        <w:r>
          <w:rPr>
            <w:webHidden/>
          </w:rPr>
          <w:fldChar w:fldCharType="separate"/>
        </w:r>
        <w:r>
          <w:rPr>
            <w:rStyle w:val="IndexLink"/>
            <w:vanish w:val="false"/>
          </w:rPr>
          <w:tab/>
          <w:t>2-22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19">
        <w:r>
          <w:rPr>
            <w:rStyle w:val="IndexLink"/>
          </w:rPr>
          <w:t>Table 2</w:t>
          <w:noBreakHyphen/>
          <w:t>9. Descriptive statistics for the reference data (left side) and model results (right side) for the Calibration (1/1/2005-12/31/2012) and Validation (1/1/2013-12/31/2020) periods.  Included are the minimum (MIN), maximum (MAX), average (AVG), and standard deviation (SD) for the flow-way daily outflow (QOUT; km</w:t>
        </w:r>
        <w:r>
          <w:rPr>
            <w:rStyle w:val="IndexLink"/>
            <w:vertAlign w:val="superscript"/>
          </w:rPr>
          <w:t>3</w:t>
        </w:r>
        <w:r>
          <w:rPr>
            <w:rStyle w:val="IndexLink"/>
          </w:rPr>
          <w:t xml:space="preserve"> d</w:t>
        </w:r>
        <w:r>
          <w:rPr>
            <w:rStyle w:val="IndexLink"/>
            <w:vertAlign w:val="superscript"/>
          </w:rPr>
          <w:t>-1</w:t>
        </w:r>
        <w:r>
          <w:rPr>
            <w:rStyle w:val="IndexLink"/>
          </w:rPr>
          <w:t>), volume (km</w:t>
        </w:r>
        <w:r>
          <w:rPr>
            <w:rStyle w:val="IndexLink"/>
            <w:vertAlign w:val="superscript"/>
          </w:rPr>
          <w:t>3</w:t>
        </w:r>
        <w:r>
          <w:rPr>
            <w:rStyle w:val="IndexLink"/>
          </w:rPr>
          <w:t>), and depth (m) for the two time periods.</w:t>
        </w:r>
        <w:r>
          <w:rPr>
            <w:webHidden/>
          </w:rPr>
          <w:fldChar w:fldCharType="begin"/>
        </w:r>
        <w:r>
          <w:rPr>
            <w:webHidden/>
          </w:rPr>
          <w:instrText xml:space="preserve">PAGEREF _Toc182250919 \h</w:instrText>
        </w:r>
        <w:r>
          <w:rPr>
            <w:webHidden/>
          </w:rPr>
          <w:fldChar w:fldCharType="separate"/>
        </w:r>
        <w:r>
          <w:rPr>
            <w:rStyle w:val="IndexLink"/>
            <w:vanish w:val="false"/>
          </w:rPr>
          <w:tab/>
          <w:t>2-25</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0">
        <w:r>
          <w:rPr>
            <w:rStyle w:val="IndexLink"/>
          </w:rPr>
          <w:t>Table 2</w:t>
          <w:noBreakHyphen/>
          <w:t>10. Annual values for water column TP (TP</w:t>
        </w:r>
        <w:r>
          <w:rPr>
            <w:rStyle w:val="IndexLink"/>
            <w:vertAlign w:val="subscript"/>
          </w:rPr>
          <w:t>W</w:t>
        </w:r>
        <w:r>
          <w:rPr>
            <w:rStyle w:val="IndexLink"/>
          </w:rPr>
          <w:t>; g P m</w:t>
        </w:r>
        <w:r>
          <w:rPr>
            <w:rStyle w:val="IndexLink"/>
            <w:vertAlign w:val="superscript"/>
          </w:rPr>
          <w:t>-3</w:t>
        </w:r>
        <w:r>
          <w:rPr>
            <w:rStyle w:val="IndexLink"/>
          </w:rPr>
          <w:t>) and net sources and net sinks (g P m</w:t>
        </w:r>
        <w:r>
          <w:rPr>
            <w:rStyle w:val="IndexLink"/>
            <w:vertAlign w:val="superscript"/>
          </w:rPr>
          <w:t>-3</w:t>
        </w:r>
        <w:r>
          <w:rPr>
            <w:rStyle w:val="IndexLink"/>
          </w:rPr>
          <w:t xml:space="preserve"> d</w:t>
        </w:r>
        <w:r>
          <w:rPr>
            <w:rStyle w:val="IndexLink"/>
            <w:vertAlign w:val="superscript"/>
          </w:rPr>
          <w:t>-1</w:t>
        </w:r>
        <w:r>
          <w:rPr>
            <w:rStyle w:val="IndexLink"/>
          </w:rPr>
          <w:t>) for water column particulate organic phosphorus (POP</w:t>
        </w:r>
        <w:r>
          <w:rPr>
            <w:rStyle w:val="IndexLink"/>
            <w:vertAlign w:val="subscript"/>
          </w:rPr>
          <w:t>W</w:t>
        </w:r>
        <w:r>
          <w:rPr>
            <w:rStyle w:val="IndexLink"/>
          </w:rPr>
          <w:t>), dissolved organic phosphorus (DOP</w:t>
        </w:r>
        <w:r>
          <w:rPr>
            <w:rStyle w:val="IndexLink"/>
            <w:vertAlign w:val="subscript"/>
          </w:rPr>
          <w:t>W</w:t>
        </w:r>
        <w:r>
          <w:rPr>
            <w:rStyle w:val="IndexLink"/>
          </w:rPr>
          <w:t>), dissolved inorganic phosphorus (DIP</w:t>
        </w:r>
        <w:r>
          <w:rPr>
            <w:rStyle w:val="IndexLink"/>
            <w:vertAlign w:val="subscript"/>
          </w:rPr>
          <w:t>W</w:t>
        </w:r>
        <w:r>
          <w:rPr>
            <w:rStyle w:val="IndexLink"/>
          </w:rPr>
          <w:t>), particulate inorganic phosphorus (PIP</w:t>
        </w:r>
        <w:r>
          <w:rPr>
            <w:rStyle w:val="IndexLink"/>
            <w:vertAlign w:val="subscript"/>
          </w:rPr>
          <w:t>W</w:t>
        </w:r>
        <w:r>
          <w:rPr>
            <w:rStyle w:val="IndexLink"/>
          </w:rPr>
          <w:t>). and TP</w:t>
        </w:r>
        <w:r>
          <w:rPr>
            <w:rStyle w:val="IndexLink"/>
            <w:vertAlign w:val="subscript"/>
          </w:rPr>
          <w:t>W</w:t>
        </w:r>
        <w:r>
          <w:rPr>
            <w:rStyle w:val="IndexLink"/>
          </w:rPr>
          <w:t>.</w:t>
        </w:r>
        <w:r>
          <w:rPr>
            <w:webHidden/>
          </w:rPr>
          <w:fldChar w:fldCharType="begin"/>
        </w:r>
        <w:r>
          <w:rPr>
            <w:webHidden/>
          </w:rPr>
          <w:instrText xml:space="preserve">PAGEREF _Toc182250920 \h</w:instrText>
        </w:r>
        <w:r>
          <w:rPr>
            <w:webHidden/>
          </w:rPr>
          <w:fldChar w:fldCharType="separate"/>
        </w:r>
        <w:r>
          <w:rPr>
            <w:rStyle w:val="IndexLink"/>
            <w:vanish w:val="false"/>
          </w:rPr>
          <w:tab/>
          <w:t>2-31</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1">
        <w:r>
          <w:rPr>
            <w:rStyle w:val="IndexLink"/>
          </w:rPr>
          <w:t>Table 2</w:t>
          <w:noBreakHyphen/>
          <w:t>11. The 23 parameters selected for calibration of the STA-2 FW1 Biogeochemical Model.</w:t>
        </w:r>
        <w:r>
          <w:rPr>
            <w:webHidden/>
          </w:rPr>
          <w:fldChar w:fldCharType="begin"/>
        </w:r>
        <w:r>
          <w:rPr>
            <w:webHidden/>
          </w:rPr>
          <w:instrText xml:space="preserve">PAGEREF _Toc182250921 \h</w:instrText>
        </w:r>
        <w:r>
          <w:rPr>
            <w:webHidden/>
          </w:rPr>
          <w:fldChar w:fldCharType="separate"/>
        </w:r>
        <w:r>
          <w:rPr>
            <w:rStyle w:val="IndexLink"/>
            <w:vanish w:val="false"/>
          </w:rPr>
          <w:tab/>
          <w:t>2-33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2">
        <w:r>
          <w:rPr>
            <w:rStyle w:val="IndexLink"/>
          </w:rPr>
          <w:t>Table 2</w:t>
          <w:noBreakHyphen/>
          <w:t>12. Results of 69 individual model calibration simulations for the effects of altered magnitudes of 23 different parameters listed in Table 2-4. Extensions on end of each parameter name denote low (_L), base (_B), or high (_H) value from Table 2-4. Results ranked from highest to lowest average water column TP (g P m</w:t>
        </w:r>
        <w:r>
          <w:rPr>
            <w:rStyle w:val="IndexLink"/>
            <w:vertAlign w:val="superscript"/>
          </w:rPr>
          <w:t>-3</w:t>
        </w:r>
        <w:r>
          <w:rPr>
            <w:rStyle w:val="IndexLink"/>
          </w:rPr>
          <w:t>).</w:t>
        </w:r>
        <w:r>
          <w:rPr>
            <w:webHidden/>
          </w:rPr>
          <w:fldChar w:fldCharType="begin"/>
        </w:r>
        <w:r>
          <w:rPr>
            <w:webHidden/>
          </w:rPr>
          <w:instrText xml:space="preserve">PAGEREF _Toc182250922 \h</w:instrText>
        </w:r>
        <w:r>
          <w:rPr>
            <w:webHidden/>
          </w:rPr>
          <w:fldChar w:fldCharType="separate"/>
        </w:r>
        <w:r>
          <w:rPr>
            <w:rStyle w:val="IndexLink"/>
            <w:vanish w:val="false"/>
          </w:rPr>
          <w:tab/>
          <w:t>2-34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3">
        <w:r>
          <w:rPr>
            <w:rStyle w:val="IndexLink"/>
          </w:rPr>
          <w:t>Table 2</w:t>
          <w:noBreakHyphen/>
          <w:t>13. The key parameters and their symbols, definitions, units, and value.</w:t>
        </w:r>
        <w:r>
          <w:rPr>
            <w:webHidden/>
          </w:rPr>
          <w:fldChar w:fldCharType="begin"/>
        </w:r>
        <w:r>
          <w:rPr>
            <w:webHidden/>
          </w:rPr>
          <w:instrText xml:space="preserve">PAGEREF _Toc182250923 \h</w:instrText>
        </w:r>
        <w:r>
          <w:rPr>
            <w:webHidden/>
          </w:rPr>
          <w:fldChar w:fldCharType="separate"/>
        </w:r>
        <w:r>
          <w:rPr>
            <w:rStyle w:val="IndexLink"/>
            <w:vanish w:val="false"/>
          </w:rPr>
          <w:tab/>
          <w:t>2-34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4">
        <w:r>
          <w:rPr>
            <w:rStyle w:val="IndexLink"/>
          </w:rPr>
          <w:t>Table 2</w:t>
          <w:noBreakHyphen/>
          <w:t>14. The parameters and ranges of values for series to calibrate DOP, DIP, and PIP in the soil and water of the Biogeochemical Model of STA FW1.</w:t>
        </w:r>
        <w:r>
          <w:rPr>
            <w:webHidden/>
          </w:rPr>
          <w:fldChar w:fldCharType="begin"/>
        </w:r>
        <w:r>
          <w:rPr>
            <w:webHidden/>
          </w:rPr>
          <w:instrText xml:space="preserve">PAGEREF _Toc182250924 \h</w:instrText>
        </w:r>
        <w:r>
          <w:rPr>
            <w:webHidden/>
          </w:rPr>
          <w:fldChar w:fldCharType="separate"/>
        </w:r>
        <w:r>
          <w:rPr>
            <w:rStyle w:val="IndexLink"/>
            <w:vanish w:val="false"/>
          </w:rPr>
          <w:tab/>
          <w:t>2-35</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5">
        <w:r>
          <w:rPr>
            <w:rStyle w:val="IndexLink"/>
          </w:rPr>
          <w:t>Table 2</w:t>
          <w:noBreakHyphen/>
          <w:t>15. Summary of sensitivity tests for the Biogeochemical Model of STA-2 FW1. Provided are the test description, parameter, units, and range of test values for each parameter.</w:t>
        </w:r>
        <w:r>
          <w:rPr>
            <w:webHidden/>
          </w:rPr>
          <w:fldChar w:fldCharType="begin"/>
        </w:r>
        <w:r>
          <w:rPr>
            <w:webHidden/>
          </w:rPr>
          <w:instrText xml:space="preserve">PAGEREF _Toc182250925 \h</w:instrText>
        </w:r>
        <w:r>
          <w:rPr>
            <w:webHidden/>
          </w:rPr>
          <w:fldChar w:fldCharType="separate"/>
        </w:r>
        <w:r>
          <w:rPr>
            <w:rStyle w:val="IndexLink"/>
            <w:vanish w:val="false"/>
          </w:rPr>
          <w:tab/>
          <w:t>2-40</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6">
        <w:r>
          <w:rPr>
            <w:rStyle w:val="IndexLink"/>
          </w:rPr>
          <w:t>Table 2</w:t>
          <w:noBreakHyphen/>
          <w:t>16. Summary of average model flow-way volume (V</w:t>
        </w:r>
        <w:r>
          <w:rPr>
            <w:rStyle w:val="IndexLink"/>
            <w:vertAlign w:val="subscript"/>
          </w:rPr>
          <w:t>MOD</w:t>
        </w:r>
        <w:r>
          <w:rPr>
            <w:rStyle w:val="IndexLink"/>
          </w:rPr>
          <w:t>; km</w:t>
        </w:r>
        <w:r>
          <w:rPr>
            <w:rStyle w:val="IndexLink"/>
            <w:vertAlign w:val="superscript"/>
          </w:rPr>
          <w:t>3</w:t>
        </w:r>
        <w:r>
          <w:rPr>
            <w:rStyle w:val="IndexLink"/>
          </w:rPr>
          <w:t>) and depth (h</w:t>
        </w:r>
        <w:r>
          <w:rPr>
            <w:rStyle w:val="IndexLink"/>
            <w:vertAlign w:val="subscript"/>
          </w:rPr>
          <w:t>MOD</w:t>
        </w:r>
        <w:r>
          <w:rPr>
            <w:rStyle w:val="IndexLink"/>
          </w:rPr>
          <w:t>; m</w:t>
        </w:r>
        <w:r>
          <w:rPr>
            <w:rStyle w:val="IndexLink"/>
            <w:vertAlign w:val="superscript"/>
          </w:rPr>
          <w:t>3</w:t>
        </w:r>
        <w:r>
          <w:rPr>
            <w:rStyle w:val="IndexLink"/>
          </w:rPr>
          <w:t>) for each of the five simulations to vary inflow (Q</w:t>
        </w:r>
        <w:r>
          <w:rPr>
            <w:rStyle w:val="IndexLink"/>
            <w:vertAlign w:val="subscript"/>
          </w:rPr>
          <w:t>0</w:t>
        </w:r>
        <w:r>
          <w:rPr>
            <w:rStyle w:val="IndexLink"/>
          </w:rPr>
          <w:t>).</w:t>
        </w:r>
        <w:r>
          <w:rPr>
            <w:webHidden/>
          </w:rPr>
          <w:fldChar w:fldCharType="begin"/>
        </w:r>
        <w:r>
          <w:rPr>
            <w:webHidden/>
          </w:rPr>
          <w:instrText xml:space="preserve">PAGEREF _Toc182250926 \h</w:instrText>
        </w:r>
        <w:r>
          <w:rPr>
            <w:webHidden/>
          </w:rPr>
          <w:fldChar w:fldCharType="separate"/>
        </w:r>
        <w:r>
          <w:rPr>
            <w:rStyle w:val="IndexLink"/>
            <w:vanish w:val="false"/>
          </w:rPr>
          <w:tab/>
          <w:t>2-41</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7">
        <w:r>
          <w:rPr>
            <w:rStyle w:val="IndexLink"/>
          </w:rPr>
          <w:t>Table 3</w:t>
          <w:noBreakHyphen/>
          <w:t>1. Transport rates (1/d) derived from BGC and EMP models for 2005 - 2012.</w:t>
        </w:r>
        <w:r>
          <w:rPr>
            <w:webHidden/>
          </w:rPr>
          <w:fldChar w:fldCharType="begin"/>
        </w:r>
        <w:r>
          <w:rPr>
            <w:webHidden/>
          </w:rPr>
          <w:instrText xml:space="preserve">PAGEREF _Toc182250927 \h</w:instrText>
        </w:r>
        <w:r>
          <w:rPr>
            <w:webHidden/>
          </w:rPr>
          <w:fldChar w:fldCharType="separate"/>
        </w:r>
        <w:r>
          <w:rPr>
            <w:rStyle w:val="IndexLink"/>
            <w:vanish w:val="false"/>
          </w:rPr>
          <w:tab/>
          <w:t>3-4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8">
        <w:r>
          <w:rPr>
            <w:rStyle w:val="IndexLink"/>
          </w:rPr>
          <w:t>Table 3</w:t>
          <w:noBreakHyphen/>
          <w:t>2. Transport rates (1/d) derived from BGC and EMP models for 2013 - 2020.</w:t>
        </w:r>
        <w:r>
          <w:rPr>
            <w:webHidden/>
          </w:rPr>
          <w:fldChar w:fldCharType="begin"/>
        </w:r>
        <w:r>
          <w:rPr>
            <w:webHidden/>
          </w:rPr>
          <w:instrText xml:space="preserve">PAGEREF _Toc182250928 \h</w:instrText>
        </w:r>
        <w:r>
          <w:rPr>
            <w:webHidden/>
          </w:rPr>
          <w:fldChar w:fldCharType="separate"/>
        </w:r>
        <w:r>
          <w:rPr>
            <w:rStyle w:val="IndexLink"/>
            <w:vanish w:val="false"/>
          </w:rPr>
          <w:tab/>
          <w:t>3-5</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29">
        <w:r>
          <w:rPr>
            <w:rStyle w:val="IndexLink"/>
          </w:rPr>
          <w:t>Table 3</w:t>
          <w:noBreakHyphen/>
          <w:t>3. Length-weight parameters for fish and grass shrimp included in the CASM-STA food web.</w:t>
        </w:r>
        <w:r>
          <w:rPr>
            <w:webHidden/>
          </w:rPr>
          <w:fldChar w:fldCharType="begin"/>
        </w:r>
        <w:r>
          <w:rPr>
            <w:webHidden/>
          </w:rPr>
          <w:instrText xml:space="preserve">PAGEREF _Toc182250929 \h</w:instrText>
        </w:r>
        <w:r>
          <w:rPr>
            <w:webHidden/>
          </w:rPr>
          <w:fldChar w:fldCharType="separate"/>
        </w:r>
        <w:r>
          <w:rPr>
            <w:rStyle w:val="IndexLink"/>
            <w:vanish w:val="false"/>
          </w:rPr>
          <w:tab/>
          <w:t>3-7</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0">
        <w:r>
          <w:rPr>
            <w:rStyle w:val="IndexLink"/>
          </w:rPr>
          <w:t>Table 3</w:t>
          <w:noBreakHyphen/>
          <w:t>4. Bioenergetics parameters for fish species and grass shrimp included in the CASM-STA food web: consumption and respiration.</w:t>
        </w:r>
        <w:r>
          <w:rPr>
            <w:webHidden/>
          </w:rPr>
          <w:fldChar w:fldCharType="begin"/>
        </w:r>
        <w:r>
          <w:rPr>
            <w:webHidden/>
          </w:rPr>
          <w:instrText xml:space="preserve">PAGEREF _Toc182250930 \h</w:instrText>
        </w:r>
        <w:r>
          <w:rPr>
            <w:webHidden/>
          </w:rPr>
          <w:fldChar w:fldCharType="separate"/>
        </w:r>
        <w:r>
          <w:rPr>
            <w:rStyle w:val="IndexLink"/>
            <w:vanish w:val="false"/>
          </w:rPr>
          <w:tab/>
          <w:t>3-8</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1">
        <w:r>
          <w:rPr>
            <w:rStyle w:val="IndexLink"/>
          </w:rPr>
          <w:t>Table 3</w:t>
          <w:noBreakHyphen/>
          <w:t>5. Bioenergetics parameters for fish species and grass shrimp included in the Phase II CASM-STA food web: egestion and excretion.</w:t>
        </w:r>
        <w:r>
          <w:rPr>
            <w:webHidden/>
          </w:rPr>
          <w:fldChar w:fldCharType="begin"/>
        </w:r>
        <w:r>
          <w:rPr>
            <w:webHidden/>
          </w:rPr>
          <w:instrText xml:space="preserve">PAGEREF _Toc182250931 \h</w:instrText>
        </w:r>
        <w:r>
          <w:rPr>
            <w:webHidden/>
          </w:rPr>
          <w:fldChar w:fldCharType="separate"/>
        </w:r>
        <w:r>
          <w:rPr>
            <w:rStyle w:val="IndexLink"/>
            <w:vanish w:val="false"/>
          </w:rPr>
          <w:tab/>
          <w:t>3-8</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2">
        <w:r>
          <w:rPr>
            <w:rStyle w:val="IndexLink"/>
          </w:rPr>
          <w:t>Table 3</w:t>
          <w:noBreakHyphen/>
          <w:t>6. Governing equation for CASM-STA aquatic plants   (phytoplankton,  periphyton,  SAV, EAV).</w:t>
        </w:r>
        <w:r>
          <w:rPr>
            <w:webHidden/>
          </w:rPr>
          <w:fldChar w:fldCharType="begin"/>
        </w:r>
        <w:r>
          <w:rPr>
            <w:webHidden/>
          </w:rPr>
          <w:instrText xml:space="preserve">PAGEREF _Toc182250932 \h</w:instrText>
        </w:r>
        <w:r>
          <w:rPr>
            <w:webHidden/>
          </w:rPr>
          <w:fldChar w:fldCharType="separate"/>
        </w:r>
        <w:r>
          <w:rPr>
            <w:rStyle w:val="IndexLink"/>
            <w:vanish w:val="false"/>
          </w:rPr>
          <w:tab/>
          <w:t>3-10</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3">
        <w:r>
          <w:rPr>
            <w:rStyle w:val="IndexLink"/>
          </w:rPr>
          <w:t>Table 3</w:t>
          <w:noBreakHyphen/>
          <w:t>7. Governing equation for CASM-STA consumers (zooplankton, benthic invertebrates, fish).</w:t>
        </w:r>
        <w:r>
          <w:rPr>
            <w:webHidden/>
          </w:rPr>
          <w:fldChar w:fldCharType="begin"/>
        </w:r>
        <w:r>
          <w:rPr>
            <w:webHidden/>
          </w:rPr>
          <w:instrText xml:space="preserve">PAGEREF _Toc182250933 \h</w:instrText>
        </w:r>
        <w:r>
          <w:rPr>
            <w:webHidden/>
          </w:rPr>
          <w:fldChar w:fldCharType="separate"/>
        </w:r>
        <w:r>
          <w:rPr>
            <w:rStyle w:val="IndexLink"/>
            <w:vanish w:val="false"/>
          </w:rPr>
          <w:tab/>
          <w:t>3-12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4">
        <w:r>
          <w:rPr>
            <w:rStyle w:val="IndexLink"/>
          </w:rPr>
          <w:t>Table 3</w:t>
          <w:noBreakHyphen/>
          <w:t>8. Cross-comparison of CASM and Biogeochemical Model state variables and modeled consumer populations.</w:t>
        </w:r>
        <w:r>
          <w:rPr>
            <w:webHidden/>
          </w:rPr>
          <w:fldChar w:fldCharType="begin"/>
        </w:r>
        <w:r>
          <w:rPr>
            <w:webHidden/>
          </w:rPr>
          <w:instrText xml:space="preserve">PAGEREF _Toc182250934 \h</w:instrText>
        </w:r>
        <w:r>
          <w:rPr>
            <w:webHidden/>
          </w:rPr>
          <w:fldChar w:fldCharType="separate"/>
        </w:r>
        <w:r>
          <w:rPr>
            <w:rStyle w:val="IndexLink"/>
            <w:vanish w:val="false"/>
          </w:rPr>
          <w:tab/>
          <w:t>3-13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5">
        <w:r>
          <w:rPr>
            <w:rStyle w:val="IndexLink"/>
          </w:rPr>
          <w:t>Table 3</w:t>
          <w:noBreakHyphen/>
          <w:t>9. List of CASM-STA bioenergetics-based parameters for aquatic plants.</w:t>
        </w:r>
        <w:r>
          <w:rPr>
            <w:webHidden/>
          </w:rPr>
          <w:fldChar w:fldCharType="begin"/>
        </w:r>
        <w:r>
          <w:rPr>
            <w:webHidden/>
          </w:rPr>
          <w:instrText xml:space="preserve">PAGEREF _Toc182250935 \h</w:instrText>
        </w:r>
        <w:r>
          <w:rPr>
            <w:webHidden/>
          </w:rPr>
          <w:fldChar w:fldCharType="separate"/>
        </w:r>
        <w:r>
          <w:rPr>
            <w:rStyle w:val="IndexLink"/>
            <w:vanish w:val="false"/>
          </w:rPr>
          <w:tab/>
          <w:t>3-14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6">
        <w:r>
          <w:rPr>
            <w:rStyle w:val="IndexLink"/>
          </w:rPr>
          <w:t>Table 3</w:t>
          <w:noBreakHyphen/>
          <w:t>10. List of CASM-STA bioenergetics-based parameters for aquatic consumer populations.</w:t>
        </w:r>
        <w:r>
          <w:rPr>
            <w:webHidden/>
          </w:rPr>
          <w:fldChar w:fldCharType="begin"/>
        </w:r>
        <w:r>
          <w:rPr>
            <w:webHidden/>
          </w:rPr>
          <w:instrText xml:space="preserve">PAGEREF _Toc182250936 \h</w:instrText>
        </w:r>
        <w:r>
          <w:rPr>
            <w:webHidden/>
          </w:rPr>
          <w:fldChar w:fldCharType="separate"/>
        </w:r>
        <w:r>
          <w:rPr>
            <w:rStyle w:val="IndexLink"/>
            <w:vanish w:val="false"/>
          </w:rPr>
          <w:tab/>
          <w:t>3-14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7">
        <w:r>
          <w:rPr>
            <w:rStyle w:val="IndexLink"/>
          </w:rPr>
          <w:t>Table 3</w:t>
          <w:noBreakHyphen/>
          <w:t>11. Equations for floc, litter and soils phosphorus state variables (g P m</w:t>
        </w:r>
        <w:r>
          <w:rPr>
            <w:rStyle w:val="IndexLink"/>
            <w:vertAlign w:val="superscript"/>
          </w:rPr>
          <w:t>-2</w:t>
        </w:r>
        <w:r>
          <w:rPr>
            <w:rStyle w:val="IndexLink"/>
          </w:rPr>
          <w:t>) added in developing the CASM-STA.</w:t>
        </w:r>
        <w:r>
          <w:rPr>
            <w:webHidden/>
          </w:rPr>
          <w:fldChar w:fldCharType="begin"/>
        </w:r>
        <w:r>
          <w:rPr>
            <w:webHidden/>
          </w:rPr>
          <w:instrText xml:space="preserve">PAGEREF _Toc182250937 \h</w:instrText>
        </w:r>
        <w:r>
          <w:rPr>
            <w:webHidden/>
          </w:rPr>
          <w:fldChar w:fldCharType="separate"/>
        </w:r>
        <w:r>
          <w:rPr>
            <w:rStyle w:val="IndexLink"/>
            <w:vanish w:val="false"/>
          </w:rPr>
          <w:tab/>
          <w:t>3-16</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8">
        <w:r>
          <w:rPr>
            <w:rStyle w:val="IndexLink"/>
          </w:rPr>
          <w:t>Table 3</w:t>
          <w:noBreakHyphen/>
          <w:t>12. Equations for water column phosphorus state variables (g P m</w:t>
        </w:r>
        <w:r>
          <w:rPr>
            <w:rStyle w:val="IndexLink"/>
            <w:vertAlign w:val="superscript"/>
          </w:rPr>
          <w:t>-2</w:t>
        </w:r>
        <w:r>
          <w:rPr>
            <w:rStyle w:val="IndexLink"/>
          </w:rPr>
          <w:t>) added in developing the CASM-STA.</w:t>
        </w:r>
        <w:r>
          <w:rPr>
            <w:webHidden/>
          </w:rPr>
          <w:fldChar w:fldCharType="begin"/>
        </w:r>
        <w:r>
          <w:rPr>
            <w:webHidden/>
          </w:rPr>
          <w:instrText xml:space="preserve">PAGEREF _Toc182250938 \h</w:instrText>
        </w:r>
        <w:r>
          <w:rPr>
            <w:webHidden/>
          </w:rPr>
          <w:fldChar w:fldCharType="separate"/>
        </w:r>
        <w:r>
          <w:rPr>
            <w:rStyle w:val="IndexLink"/>
            <w:vanish w:val="false"/>
          </w:rPr>
          <w:tab/>
          <w:t>3-16</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39">
        <w:r>
          <w:rPr>
            <w:rStyle w:val="IndexLink"/>
          </w:rPr>
          <w:t>Table 3</w:t>
          <w:noBreakHyphen/>
          <w:t>13. Cross-comparison of shared BGC and CASM-STA parameters.</w:t>
        </w:r>
        <w:r>
          <w:rPr>
            <w:webHidden/>
          </w:rPr>
          <w:fldChar w:fldCharType="begin"/>
        </w:r>
        <w:r>
          <w:rPr>
            <w:webHidden/>
          </w:rPr>
          <w:instrText xml:space="preserve">PAGEREF _Toc182250939 \h</w:instrText>
        </w:r>
        <w:r>
          <w:rPr>
            <w:webHidden/>
          </w:rPr>
          <w:fldChar w:fldCharType="separate"/>
        </w:r>
        <w:r>
          <w:rPr>
            <w:rStyle w:val="IndexLink"/>
            <w:vanish w:val="false"/>
          </w:rPr>
          <w:tab/>
          <w:t>3-17</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0">
        <w:r>
          <w:rPr>
            <w:rStyle w:val="IndexLink"/>
          </w:rPr>
          <w:t>Table 3</w:t>
          <w:noBreakHyphen/>
          <w:t>14. Cross-comparison of shared BGC and CASM-STA parameters.</w:t>
        </w:r>
        <w:r>
          <w:rPr>
            <w:webHidden/>
          </w:rPr>
          <w:fldChar w:fldCharType="begin"/>
        </w:r>
        <w:r>
          <w:rPr>
            <w:webHidden/>
          </w:rPr>
          <w:instrText xml:space="preserve">PAGEREF _Toc182250940 \h</w:instrText>
        </w:r>
        <w:r>
          <w:rPr>
            <w:webHidden/>
          </w:rPr>
          <w:fldChar w:fldCharType="separate"/>
        </w:r>
        <w:r>
          <w:rPr>
            <w:rStyle w:val="IndexLink"/>
            <w:vanish w:val="false"/>
          </w:rPr>
          <w:tab/>
          <w:t>3-19</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1">
        <w:r>
          <w:rPr>
            <w:rStyle w:val="IndexLink"/>
          </w:rPr>
          <w:t>Table 3</w:t>
          <w:noBreakHyphen/>
          <w:t>15. CASM-STA calibrated internal P cycling parameters (d</w:t>
        </w:r>
        <w:r>
          <w:rPr>
            <w:rStyle w:val="IndexLink"/>
            <w:vertAlign w:val="superscript"/>
          </w:rPr>
          <w:t>-1</w:t>
        </w:r>
        <w:r>
          <w:rPr>
            <w:rStyle w:val="IndexLink"/>
          </w:rPr>
          <w:t>) compared to values from the calibrated BGC (CELLC 2024).</w:t>
        </w:r>
        <w:r>
          <w:rPr>
            <w:webHidden/>
          </w:rPr>
          <w:fldChar w:fldCharType="begin"/>
        </w:r>
        <w:r>
          <w:rPr>
            <w:webHidden/>
          </w:rPr>
          <w:instrText xml:space="preserve">PAGEREF _Toc182250941 \h</w:instrText>
        </w:r>
        <w:r>
          <w:rPr>
            <w:webHidden/>
          </w:rPr>
          <w:fldChar w:fldCharType="separate"/>
        </w:r>
        <w:r>
          <w:rPr>
            <w:rStyle w:val="IndexLink"/>
            <w:vanish w:val="false"/>
          </w:rPr>
          <w:tab/>
          <w:t>3-20</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2">
        <w:r>
          <w:rPr>
            <w:rStyle w:val="IndexLink"/>
          </w:rPr>
          <w:t>Table 3</w:t>
          <w:noBreakHyphen/>
          <w:t>16. Parameters/process rates that vary in relation to CASM-STA food web dynamics used in internal cycling among sediment and water column P state variables.</w:t>
        </w:r>
        <w:r>
          <w:rPr>
            <w:webHidden/>
          </w:rPr>
          <w:fldChar w:fldCharType="begin"/>
        </w:r>
        <w:r>
          <w:rPr>
            <w:webHidden/>
          </w:rPr>
          <w:instrText xml:space="preserve">PAGEREF _Toc182250942 \h</w:instrText>
        </w:r>
        <w:r>
          <w:rPr>
            <w:webHidden/>
          </w:rPr>
          <w:fldChar w:fldCharType="separate"/>
        </w:r>
        <w:r>
          <w:rPr>
            <w:rStyle w:val="IndexLink"/>
            <w:vanish w:val="false"/>
          </w:rPr>
          <w:tab/>
          <w:t>3-21</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3">
        <w:r>
          <w:rPr>
            <w:rStyle w:val="IndexLink"/>
          </w:rPr>
          <w:t>Table 3</w:t>
          <w:noBreakHyphen/>
          <w:t>17. Measured and modeled biomass (g C/m</w:t>
        </w:r>
        <w:r>
          <w:rPr>
            <w:rStyle w:val="IndexLink"/>
            <w:vertAlign w:val="superscript"/>
          </w:rPr>
          <w:t>2</w:t>
        </w:r>
        <w:r>
          <w:rPr>
            <w:rStyle w:val="IndexLink"/>
          </w:rPr>
          <w:t>) of STA-2 fish, grass shrimp, benthic infauna, and zooplankton included in the CASM-STA.</w:t>
        </w:r>
        <w:r>
          <w:rPr>
            <w:webHidden/>
          </w:rPr>
          <w:fldChar w:fldCharType="begin"/>
        </w:r>
        <w:r>
          <w:rPr>
            <w:webHidden/>
          </w:rPr>
          <w:instrText xml:space="preserve">PAGEREF _Toc182250943 \h</w:instrText>
        </w:r>
        <w:r>
          <w:rPr>
            <w:webHidden/>
          </w:rPr>
          <w:fldChar w:fldCharType="separate"/>
        </w:r>
        <w:r>
          <w:rPr>
            <w:rStyle w:val="IndexLink"/>
            <w:vanish w:val="false"/>
          </w:rPr>
          <w:tab/>
          <w:t>3-22</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4">
        <w:r>
          <w:rPr>
            <w:rStyle w:val="IndexLink"/>
          </w:rPr>
          <w:t>Table 3</w:t>
          <w:noBreakHyphen/>
          <w:t>18. Comparison of FW1 soil P pool target values and results from the Phase III CASM-STA model calibration (g P/m</w:t>
        </w:r>
        <w:r>
          <w:rPr>
            <w:rStyle w:val="IndexLink"/>
            <w:vertAlign w:val="superscript"/>
          </w:rPr>
          <w:t>2</w:t>
        </w:r>
        <w:r>
          <w:rPr>
            <w:rStyle w:val="IndexLink"/>
          </w:rPr>
          <w:t>).</w:t>
        </w:r>
        <w:r>
          <w:rPr>
            <w:webHidden/>
          </w:rPr>
          <w:fldChar w:fldCharType="begin"/>
        </w:r>
        <w:r>
          <w:rPr>
            <w:webHidden/>
          </w:rPr>
          <w:instrText xml:space="preserve">PAGEREF _Toc182250944 \h</w:instrText>
        </w:r>
        <w:r>
          <w:rPr>
            <w:webHidden/>
          </w:rPr>
          <w:fldChar w:fldCharType="separate"/>
        </w:r>
        <w:r>
          <w:rPr>
            <w:rStyle w:val="IndexLink"/>
            <w:vanish w:val="false"/>
          </w:rPr>
          <w:tab/>
          <w:t>3-23</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5">
        <w:r>
          <w:rPr>
            <w:rStyle w:val="IndexLink"/>
          </w:rPr>
          <w:t>Table 3</w:t>
          <w:noBreakHyphen/>
          <w:t>19. Comparison of FW1 water column P pool target values and results from the Phase III CASM-STA model calibration (g P/m</w:t>
        </w:r>
        <w:r>
          <w:rPr>
            <w:rStyle w:val="IndexLink"/>
            <w:vertAlign w:val="superscript"/>
          </w:rPr>
          <w:t>3</w:t>
        </w:r>
        <w:r>
          <w:rPr>
            <w:rStyle w:val="IndexLink"/>
          </w:rPr>
          <w:t>).</w:t>
        </w:r>
        <w:r>
          <w:rPr>
            <w:webHidden/>
          </w:rPr>
          <w:fldChar w:fldCharType="begin"/>
        </w:r>
        <w:r>
          <w:rPr>
            <w:webHidden/>
          </w:rPr>
          <w:instrText xml:space="preserve">PAGEREF _Toc182250945 \h</w:instrText>
        </w:r>
        <w:r>
          <w:rPr>
            <w:webHidden/>
          </w:rPr>
          <w:fldChar w:fldCharType="separate"/>
        </w:r>
        <w:r>
          <w:rPr>
            <w:rStyle w:val="IndexLink"/>
            <w:vanish w:val="false"/>
          </w:rPr>
          <w:tab/>
          <w:t>3-24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6">
        <w:r>
          <w:rPr>
            <w:rStyle w:val="IndexLink"/>
          </w:rPr>
          <w:t>Table 3</w:t>
          <w:noBreakHyphen/>
          <w:t>20. Comparison of FW1 biological P pool target values and results from the Phase III CASM-STA model calibration (g P/m</w:t>
        </w:r>
        <w:r>
          <w:rPr>
            <w:rStyle w:val="IndexLink"/>
            <w:vertAlign w:val="superscript"/>
          </w:rPr>
          <w:t>2</w:t>
        </w:r>
        <w:r>
          <w:rPr>
            <w:rStyle w:val="IndexLink"/>
          </w:rPr>
          <w:t>).</w:t>
        </w:r>
        <w:r>
          <w:rPr>
            <w:webHidden/>
          </w:rPr>
          <w:fldChar w:fldCharType="begin"/>
        </w:r>
        <w:r>
          <w:rPr>
            <w:webHidden/>
          </w:rPr>
          <w:instrText xml:space="preserve">PAGEREF _Toc182250946 \h</w:instrText>
        </w:r>
        <w:r>
          <w:rPr>
            <w:webHidden/>
          </w:rPr>
          <w:fldChar w:fldCharType="separate"/>
        </w:r>
        <w:r>
          <w:rPr>
            <w:rStyle w:val="IndexLink"/>
            <w:vanish w:val="false"/>
          </w:rPr>
          <w:tab/>
          <w:t>3-24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7">
        <w:r>
          <w:rPr>
            <w:rStyle w:val="IndexLink"/>
          </w:rPr>
          <w:t>Table 3</w:t>
          <w:noBreakHyphen/>
          <w:t>21. Mass-balance evaluation for Phase III CASM-STA sediment pools.</w:t>
        </w:r>
        <w:r>
          <w:rPr>
            <w:webHidden/>
          </w:rPr>
          <w:fldChar w:fldCharType="begin"/>
        </w:r>
        <w:r>
          <w:rPr>
            <w:webHidden/>
          </w:rPr>
          <w:instrText xml:space="preserve">PAGEREF _Toc182250947 \h</w:instrText>
        </w:r>
        <w:r>
          <w:rPr>
            <w:webHidden/>
          </w:rPr>
          <w:fldChar w:fldCharType="separate"/>
        </w:r>
        <w:r>
          <w:rPr>
            <w:rStyle w:val="IndexLink"/>
            <w:vanish w:val="false"/>
          </w:rPr>
          <w:tab/>
          <w:t>3-27</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8">
        <w:r>
          <w:rPr>
            <w:rStyle w:val="IndexLink"/>
          </w:rPr>
          <w:t>Table 3</w:t>
          <w:noBreakHyphen/>
          <w:t>22. Mass-balance evaluation for Phase III CASM-STA biota and TPw pools.</w:t>
        </w:r>
        <w:r>
          <w:rPr>
            <w:webHidden/>
          </w:rPr>
          <w:fldChar w:fldCharType="begin"/>
        </w:r>
        <w:r>
          <w:rPr>
            <w:webHidden/>
          </w:rPr>
          <w:instrText xml:space="preserve">PAGEREF _Toc182250948 \h</w:instrText>
        </w:r>
        <w:r>
          <w:rPr>
            <w:webHidden/>
          </w:rPr>
          <w:fldChar w:fldCharType="separate"/>
        </w:r>
        <w:r>
          <w:rPr>
            <w:rStyle w:val="IndexLink"/>
            <w:vanish w:val="false"/>
          </w:rPr>
          <w:tab/>
          <w:t>3-27</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49">
        <w:r>
          <w:rPr>
            <w:rStyle w:val="IndexLink"/>
          </w:rPr>
          <w:t>Table 4</w:t>
          <w:noBreakHyphen/>
          <w:t>1. Flow-weighted mean (FWM) concentrations and mass flux of TP in and TP out in FW1 and corresponding retention efficiencies.</w:t>
        </w:r>
        <w:r>
          <w:rPr>
            <w:webHidden/>
          </w:rPr>
          <w:fldChar w:fldCharType="begin"/>
        </w:r>
        <w:r>
          <w:rPr>
            <w:webHidden/>
          </w:rPr>
          <w:instrText xml:space="preserve">PAGEREF _Toc182250949 \h</w:instrText>
        </w:r>
        <w:r>
          <w:rPr>
            <w:webHidden/>
          </w:rPr>
          <w:fldChar w:fldCharType="separate"/>
        </w:r>
        <w:r>
          <w:rPr>
            <w:rStyle w:val="IndexLink"/>
            <w:vanish w:val="false"/>
          </w:rPr>
          <w:tab/>
          <w:t>4-4</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50">
        <w:r>
          <w:rPr>
            <w:rStyle w:val="IndexLink"/>
          </w:rPr>
          <w:t>Table 4</w:t>
          <w:noBreakHyphen/>
          <w:t>2.  Comparison of CASM-STA modeled excretion based on original parameter (U) estimate and estimates derived from Barton et al. (2023)</w:t>
        </w:r>
        <w:r>
          <w:rPr>
            <w:webHidden/>
          </w:rPr>
          <w:fldChar w:fldCharType="begin"/>
        </w:r>
        <w:r>
          <w:rPr>
            <w:webHidden/>
          </w:rPr>
          <w:instrText xml:space="preserve">PAGEREF _Toc182250950 \h</w:instrText>
        </w:r>
        <w:r>
          <w:rPr>
            <w:webHidden/>
          </w:rPr>
          <w:fldChar w:fldCharType="separate"/>
        </w:r>
        <w:r>
          <w:rPr>
            <w:rStyle w:val="IndexLink"/>
            <w:vanish w:val="false"/>
          </w:rPr>
          <w:tab/>
          <w:t>4-7</w:t>
        </w:r>
        <w:r>
          <w:rPr>
            <w:webHidden/>
          </w:rPr>
          <w:fldChar w:fldCharType="end"/>
        </w:r>
      </w:hyperlink>
    </w:p>
    <w:p>
      <w:pPr>
        <w:pStyle w:val="TableofFigures"/>
        <w:tabs>
          <w:tab w:val="clear" w:pos="720"/>
          <w:tab w:val="right" w:pos="9350" w:leader="dot"/>
        </w:tabs>
        <w:spacing w:lineRule="auto" w:line="240" w:before="120" w:after="0"/>
        <w:rPr>
          <w:rFonts w:ascii="Calibri" w:hAnsi="Calibri" w:eastAsia="宋体" w:cs="Arial" w:asciiTheme="minorHAnsi" w:cstheme="minorBidi" w:eastAsiaTheme="minorEastAsia" w:hAnsiTheme="minorHAnsi"/>
          <w:kern w:val="2"/>
          <w:sz w:val="24"/>
          <w:szCs w:val="24"/>
          <w14:ligatures w14:val="standardContextual"/>
        </w:rPr>
      </w:pPr>
      <w:hyperlink w:anchor="_Toc182250951">
        <w:r>
          <w:rPr>
            <w:rStyle w:val="IndexLink"/>
          </w:rPr>
          <w:t>Table 4</w:t>
          <w:noBreakHyphen/>
          <w:t>3.  Comparison of CASM-STA modeled excretion, bioturbation, remineralization, and co-precipitation for segment C for 2005 – 2020.</w:t>
        </w:r>
        <w:r>
          <w:rPr>
            <w:webHidden/>
          </w:rPr>
          <w:fldChar w:fldCharType="begin"/>
        </w:r>
        <w:r>
          <w:rPr>
            <w:webHidden/>
          </w:rPr>
          <w:instrText xml:space="preserve">PAGEREF _Toc182250951 \h</w:instrText>
        </w:r>
        <w:r>
          <w:rPr>
            <w:webHidden/>
          </w:rPr>
          <w:fldChar w:fldCharType="separate"/>
        </w:r>
        <w:r>
          <w:rPr>
            <w:rStyle w:val="IndexLink"/>
            <w:vanish w:val="false"/>
          </w:rPr>
          <w:tab/>
          <w:t>4-8</w:t>
        </w:r>
        <w:r>
          <w:rPr>
            <w:webHidden/>
          </w:rPr>
          <w:fldChar w:fldCharType="end"/>
        </w:r>
      </w:hyperlink>
      <w:r>
        <w:rPr>
          <w:rStyle w:val="IndexLink"/>
          <w:vanish w:val="false"/>
        </w:rPr>
        <w:fldChar w:fldCharType="end"/>
      </w:r>
    </w:p>
    <w:p>
      <w:pPr>
        <w:pStyle w:val="Normal"/>
        <w:tabs>
          <w:tab w:val="clear" w:pos="720"/>
          <w:tab w:val="right" w:pos="9360" w:leader="dot"/>
        </w:tabs>
        <w:spacing w:lineRule="auto" w:line="240" w:before="120" w:after="0"/>
        <w:ind w:hanging="403" w:left="403"/>
        <w:rPr>
          <w:color w:themeColor="text1" w:val="000000"/>
        </w:rPr>
      </w:pPr>
      <w:r>
        <w:rPr>
          <w:color w:themeColor="text1" w:val="000000"/>
        </w:rPr>
      </w:r>
      <w:r>
        <w:br w:type="page"/>
      </w:r>
    </w:p>
    <w:p>
      <w:pPr>
        <w:pStyle w:val="TOCHeadingsAfter6ptLinespacing15lines"/>
        <w:spacing w:before="0" w:after="120"/>
        <w:rPr>
          <w:color w:themeColor="text1" w:val="000000"/>
        </w:rPr>
      </w:pPr>
      <w:bookmarkStart w:id="0" w:name="_Ref120215285"/>
      <w:bookmarkEnd w:id="0"/>
      <w:r>
        <w:rPr>
          <w:color w:themeColor="text1" w:val="000000"/>
        </w:rPr>
        <w:t>APPENDICES</w:t>
      </w:r>
    </w:p>
    <w:p>
      <w:pPr>
        <w:pStyle w:val="Normal"/>
        <w:ind w:hanging="1350" w:left="1350"/>
        <w:rPr>
          <w:color w:themeColor="text1" w:val="000000"/>
        </w:rPr>
      </w:pPr>
      <w:bookmarkStart w:id="1" w:name="_Hlk5370603"/>
      <w:bookmarkStart w:id="2" w:name="_Hlk5190098"/>
      <w:r>
        <w:rPr>
          <w:color w:themeColor="text1" w:val="000000"/>
        </w:rPr>
        <w:t>Appendix A - SFWMD ESA CELLC STA BGC Model 9100 Code</w:t>
      </w:r>
      <w:bookmarkEnd w:id="1"/>
      <w:bookmarkEnd w:id="2"/>
    </w:p>
    <w:p>
      <w:pPr>
        <w:pStyle w:val="Normal"/>
        <w:rPr>
          <w:color w:themeColor="text1" w:val="000000"/>
        </w:rPr>
      </w:pPr>
      <w:r>
        <w:rPr>
          <w:color w:themeColor="text1" w:val="000000"/>
        </w:rPr>
      </w:r>
      <w:r>
        <w:br w:type="page"/>
      </w:r>
    </w:p>
    <w:p>
      <w:pPr>
        <w:pStyle w:val="TOCHeadingsAfter6ptLinespacing15lines"/>
        <w:spacing w:before="0" w:after="120"/>
        <w:rPr>
          <w:color w:themeColor="text1" w:val="000000"/>
        </w:rPr>
      </w:pPr>
      <w:r>
        <w:rPr>
          <w:color w:themeColor="text1" w:val="000000"/>
        </w:rPr>
        <w:t>Executive SUMMARY</w:t>
      </w:r>
    </w:p>
    <w:p>
      <w:pPr>
        <w:pStyle w:val="Normal"/>
        <w:rPr>
          <w:color w:themeColor="text1" w:val="000000"/>
        </w:rPr>
      </w:pPr>
      <w:r>
        <w:rPr>
          <w:color w:themeColor="text1" w:val="000000"/>
        </w:rPr>
        <w:t>The Everglades Stormwater Treatment Areas (STAs) are freshwater wetlands constructed south of Lake Okeechobee to reduce TP concentrations in stormwater discharged to the Everglades Protection Area.  Since operation started in 1994, the STAs have reduced incoming total phosphorus (TP) loads by about 77%. The dominant habitat types are broadly classified as either emergent aquatic vegetation (EAV) or submerged aquatic vegetation (SAV). While the SAV community composition has multiple species, cattail (</w:t>
      </w:r>
      <w:r>
        <w:rPr>
          <w:i/>
          <w:color w:themeColor="text1" w:val="000000"/>
        </w:rPr>
        <w:t>Typha</w:t>
      </w:r>
      <w:r>
        <w:rPr>
          <w:color w:themeColor="text1" w:val="000000"/>
        </w:rPr>
        <w:t xml:space="preserve"> domingensis) is the dominant macrophyte in the EAV habitat. </w:t>
      </w:r>
    </w:p>
    <w:p>
      <w:pPr>
        <w:pStyle w:val="Normal"/>
        <w:rPr>
          <w:color w:themeColor="text1" w:val="000000"/>
        </w:rPr>
      </w:pPr>
      <w:r>
        <w:rPr>
          <w:color w:themeColor="text1" w:val="000000"/>
        </w:rPr>
        <w:t xml:space="preserve">Over twenty different studies of varying scope and complexity were conducted over roughly the past 25 years to evaluate hydrodynamics, vegetation, fauna, internal recycling, sediment accrual, P loading and net removal. While each of these studies provided insight into treatment wetland performance, they required integration to improve understanding of TP reduction in the STAs. A modeling framework was necessary to incorporate the vast amount of scientific information and better connect external TP loading to STA wetland biogeochemical concentrations and processes. </w:t>
      </w:r>
    </w:p>
    <w:p>
      <w:pPr>
        <w:pStyle w:val="Normal"/>
        <w:rPr>
          <w:color w:themeColor="text1" w:val="000000"/>
        </w:rPr>
      </w:pPr>
      <w:bookmarkStart w:id="3" w:name="_Hlk170314089"/>
      <w:r>
        <w:rPr>
          <w:color w:themeColor="text1" w:val="000000"/>
        </w:rPr>
        <w:t xml:space="preserve">This three phase project was conducted to improve simulation modeling of phosphorus (P) cycling in the STAs. Phase I focused on model conceptualization and the acquisition and analyses of available data for depth, inflow, P loads, water chemistry, soils, macrophytes, and periphyton.  These efforts led to first generation models in Phase II. Phase III focused on modifications and refinements to the models.  Two parallel, inter-related modeling approaches were conceptualized and developed.  The first approach was a Biogeochemical Model to combine the fundamental understanding of the wetland habitats and the available empirical data into a mechanistic modeling framework to quantify P cycling within the STAs. The second was an application of the Comprehensive Aquatic Systems Model (CASM) to include food webs relevant to the STAs along with the biogeochemical processes to quantify the role of higher trophic levels on P cycling. </w:t>
      </w:r>
      <w:bookmarkEnd w:id="3"/>
    </w:p>
    <w:p>
      <w:pPr>
        <w:pStyle w:val="Normal"/>
        <w:rPr>
          <w:color w:themeColor="text1" w:val="000000"/>
        </w:rPr>
      </w:pPr>
      <w:r>
        <w:rPr>
          <w:color w:themeColor="text1" w:val="000000"/>
        </w:rPr>
        <w:t xml:space="preserve">The overall goal of the first modeling approach was to develop a simulation model of P biogeochemistry in STA wetlands (Biogeochemistry or BGC Model). The model was built upon the long-term data and information base from STA-2 FW1. This 744-hectare (1838.5 acres) cattail dominated flow-way had a comprehensive empirical database and removes about 86% of the incoming TP annually. The model was conceptualized to include TP loads, changes in depth and internal processing of TP over a 16-year period (1/1/2005 to 12/31/2020).  It evolved from conceptualization (Phase I) into a first-generation mathematical model to simulate changes in P concentrations among the water, periphyton, SAV, </w:t>
      </w:r>
      <w:r>
        <w:rPr>
          <w:i/>
          <w:iCs/>
          <w:color w:themeColor="text1" w:val="000000"/>
        </w:rPr>
        <w:t>Typha</w:t>
      </w:r>
      <w:r>
        <w:rPr>
          <w:color w:themeColor="text1" w:val="000000"/>
        </w:rPr>
        <w:t xml:space="preserve">, and soils (Phase II). A Hydrologic Model and equation syntax to ensure mass balance were added so the model P concentrations could be calibrated, validated, tested, and trusted (Phase III). </w:t>
      </w:r>
    </w:p>
    <w:p>
      <w:pPr>
        <w:pStyle w:val="Normal"/>
        <w:rPr>
          <w:color w:themeColor="text1" w:val="000000"/>
        </w:rPr>
      </w:pPr>
      <w:r>
        <w:rPr>
          <w:color w:themeColor="text1" w:val="000000"/>
        </w:rPr>
        <w:t>There were inflows and outflows for the water column P constituents including phytoplankton (P</w:t>
      </w:r>
      <w:r>
        <w:rPr>
          <w:color w:themeColor="text1" w:val="000000"/>
          <w:vertAlign w:val="subscript"/>
        </w:rPr>
        <w:t>PHYTO</w:t>
      </w:r>
      <w:r>
        <w:rPr>
          <w:color w:themeColor="text1" w:val="000000"/>
        </w:rPr>
        <w:t>; g P m</w:t>
      </w:r>
      <w:r>
        <w:rPr>
          <w:color w:themeColor="text1" w:val="000000"/>
          <w:vertAlign w:val="superscript"/>
        </w:rPr>
        <w:t>-3</w:t>
      </w:r>
      <w:r>
        <w:rPr>
          <w:color w:themeColor="text1" w:val="000000"/>
        </w:rPr>
        <w:t>), particulate organic P (POP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dissolved organic P (DOP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dissolved inorganic P (DIPW; g P m</w:t>
      </w:r>
      <w:r>
        <w:rPr>
          <w:color w:themeColor="text1" w:val="000000"/>
          <w:vertAlign w:val="superscript"/>
        </w:rPr>
        <w:t>-3</w:t>
      </w:r>
      <w:r>
        <w:rPr>
          <w:color w:themeColor="text1" w:val="000000"/>
        </w:rPr>
        <w:t>), and particulate inorganic P (PIP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Periphyton (P</w:t>
      </w:r>
      <w:r>
        <w:rPr>
          <w:color w:themeColor="text1" w:val="000000"/>
          <w:vertAlign w:val="subscript"/>
        </w:rPr>
        <w:t>PPERI</w:t>
      </w:r>
      <w:r>
        <w:rPr>
          <w:color w:themeColor="text1" w:val="000000"/>
        </w:rPr>
        <w:t>; g P m</w:t>
      </w:r>
      <w:r>
        <w:rPr>
          <w:color w:themeColor="text1" w:val="000000"/>
          <w:vertAlign w:val="superscript"/>
        </w:rPr>
        <w:t>-2</w:t>
      </w:r>
      <w:r>
        <w:rPr>
          <w:color w:themeColor="text1" w:val="000000"/>
        </w:rPr>
        <w:t>) was the key primary producer and sink for DIP</w:t>
      </w:r>
      <w:r>
        <w:rPr>
          <w:color w:themeColor="text1" w:val="000000"/>
          <w:vertAlign w:val="subscript"/>
        </w:rPr>
        <w:t>W</w:t>
      </w:r>
      <w:r>
        <w:rPr>
          <w:color w:themeColor="text1" w:val="000000"/>
        </w:rPr>
        <w:t>. While SAV had only shoots (P</w:t>
      </w:r>
      <w:r>
        <w:rPr>
          <w:color w:themeColor="text1" w:val="000000"/>
          <w:vertAlign w:val="subscript"/>
        </w:rPr>
        <w:t>SAV</w:t>
      </w:r>
      <w:r>
        <w:rPr>
          <w:color w:themeColor="text1" w:val="000000"/>
        </w:rPr>
        <w:t>; g P m</w:t>
      </w:r>
      <w:r>
        <w:rPr>
          <w:color w:themeColor="text1" w:val="000000"/>
          <w:vertAlign w:val="superscript"/>
        </w:rPr>
        <w:t>-2</w:t>
      </w:r>
      <w:r>
        <w:rPr>
          <w:color w:themeColor="text1" w:val="000000"/>
        </w:rPr>
        <w:t xml:space="preserve">), the P content of </w:t>
      </w:r>
      <w:r>
        <w:rPr>
          <w:i/>
          <w:iCs/>
          <w:color w:themeColor="text1" w:val="000000"/>
        </w:rPr>
        <w:t>Typha domingensis</w:t>
      </w:r>
      <w:r>
        <w:rPr>
          <w:color w:themeColor="text1" w:val="000000"/>
        </w:rPr>
        <w:t xml:space="preserve"> was divided into the shoots (P</w:t>
      </w:r>
      <w:r>
        <w:rPr>
          <w:color w:themeColor="text1" w:val="000000"/>
          <w:vertAlign w:val="subscript"/>
        </w:rPr>
        <w:t>EAVSH</w:t>
      </w:r>
      <w:r>
        <w:rPr>
          <w:color w:themeColor="text1" w:val="000000"/>
        </w:rPr>
        <w:t>; g P m</w:t>
      </w:r>
      <w:r>
        <w:rPr>
          <w:color w:themeColor="text1" w:val="000000"/>
          <w:vertAlign w:val="superscript"/>
        </w:rPr>
        <w:t>-2</w:t>
      </w:r>
      <w:r>
        <w:rPr>
          <w:color w:themeColor="text1" w:val="000000"/>
        </w:rPr>
        <w:t>) and root-rhizomes (P</w:t>
      </w:r>
      <w:r>
        <w:rPr>
          <w:color w:themeColor="text1" w:val="000000"/>
          <w:vertAlign w:val="subscript"/>
        </w:rPr>
        <w:t>EAVRR</w:t>
      </w:r>
      <w:r>
        <w:rPr>
          <w:color w:themeColor="text1" w:val="000000"/>
        </w:rPr>
        <w:t>; g P m</w:t>
      </w:r>
      <w:r>
        <w:rPr>
          <w:color w:themeColor="text1" w:val="000000"/>
          <w:vertAlign w:val="superscript"/>
        </w:rPr>
        <w:t>-2</w:t>
      </w:r>
      <w:r>
        <w:rPr>
          <w:color w:themeColor="text1" w:val="000000"/>
        </w:rPr>
        <w:t>). Variables for litter (P</w:t>
      </w:r>
      <w:r>
        <w:rPr>
          <w:color w:themeColor="text1" w:val="000000"/>
          <w:vertAlign w:val="subscript"/>
        </w:rPr>
        <w:t>LITTER</w:t>
      </w:r>
      <w:r>
        <w:rPr>
          <w:color w:themeColor="text1" w:val="000000"/>
        </w:rPr>
        <w:t>) and floc (P</w:t>
      </w:r>
      <w:r>
        <w:rPr>
          <w:color w:themeColor="text1" w:val="000000"/>
          <w:vertAlign w:val="subscript"/>
        </w:rPr>
        <w:t>FLOC</w:t>
      </w:r>
      <w:r>
        <w:rPr>
          <w:color w:themeColor="text1" w:val="000000"/>
        </w:rPr>
        <w:t>; g P m</w:t>
      </w:r>
      <w:r>
        <w:rPr>
          <w:color w:themeColor="text1" w:val="000000"/>
          <w:vertAlign w:val="superscript"/>
        </w:rPr>
        <w:t>-2</w:t>
      </w:r>
      <w:r>
        <w:rPr>
          <w:color w:themeColor="text1" w:val="000000"/>
        </w:rPr>
        <w:t>) were located at the soil-water interface. Similar to the water column, the four P constituents in the soil were particulate organic P (POP</w:t>
      </w:r>
      <w:r>
        <w:rPr>
          <w:color w:themeColor="text1" w:val="000000"/>
          <w:vertAlign w:val="subscript"/>
        </w:rPr>
        <w:t>S</w:t>
      </w:r>
      <w:r>
        <w:rPr>
          <w:color w:themeColor="text1" w:val="000000"/>
        </w:rPr>
        <w:t>; g P m</w:t>
      </w:r>
      <w:r>
        <w:rPr>
          <w:color w:themeColor="text1" w:val="000000"/>
          <w:vertAlign w:val="superscript"/>
        </w:rPr>
        <w:t>-2</w:t>
      </w:r>
      <w:r>
        <w:rPr>
          <w:color w:themeColor="text1" w:val="000000"/>
        </w:rPr>
        <w:t>), dissolved organic P (DOP</w:t>
      </w:r>
      <w:r>
        <w:rPr>
          <w:color w:themeColor="text1" w:val="000000"/>
          <w:vertAlign w:val="subscript"/>
        </w:rPr>
        <w:t>S</w:t>
      </w:r>
      <w:r>
        <w:rPr>
          <w:color w:themeColor="text1" w:val="000000"/>
        </w:rPr>
        <w:t>; g P m</w:t>
      </w:r>
      <w:r>
        <w:rPr>
          <w:color w:themeColor="text1" w:val="000000"/>
          <w:vertAlign w:val="superscript"/>
        </w:rPr>
        <w:t>-2</w:t>
      </w:r>
      <w:r>
        <w:rPr>
          <w:color w:themeColor="text1" w:val="000000"/>
        </w:rPr>
        <w:t>), dissolved inorganic P (DIP</w:t>
      </w:r>
      <w:r>
        <w:rPr>
          <w:color w:themeColor="text1" w:val="000000"/>
          <w:vertAlign w:val="subscript"/>
        </w:rPr>
        <w:t>S</w:t>
      </w:r>
      <w:r>
        <w:rPr>
          <w:color w:themeColor="text1" w:val="000000"/>
        </w:rPr>
        <w:t>; g P m</w:t>
      </w:r>
      <w:r>
        <w:rPr>
          <w:color w:themeColor="text1" w:val="000000"/>
          <w:vertAlign w:val="superscript"/>
        </w:rPr>
        <w:t>-2</w:t>
      </w:r>
      <w:r>
        <w:rPr>
          <w:color w:themeColor="text1" w:val="000000"/>
        </w:rPr>
        <w:t>), and particulate inorganic P (PIP</w:t>
      </w:r>
      <w:r>
        <w:rPr>
          <w:color w:themeColor="text1" w:val="000000"/>
          <w:vertAlign w:val="subscript"/>
        </w:rPr>
        <w:t>S</w:t>
      </w:r>
      <w:r>
        <w:rPr>
          <w:color w:themeColor="text1" w:val="000000"/>
        </w:rPr>
        <w:t>; g P m</w:t>
      </w:r>
      <w:r>
        <w:rPr>
          <w:color w:themeColor="text1" w:val="000000"/>
          <w:vertAlign w:val="superscript"/>
        </w:rPr>
        <w:t>-2</w:t>
      </w:r>
      <w:r>
        <w:rPr>
          <w:color w:themeColor="text1" w:val="000000"/>
        </w:rPr>
        <w:t xml:space="preserve">). The water column and soil compartments were connected by vertical processes. </w:t>
      </w:r>
    </w:p>
    <w:p>
      <w:pPr>
        <w:pStyle w:val="Normal"/>
        <w:rPr>
          <w:color w:themeColor="text1" w:val="000000"/>
        </w:rPr>
      </w:pPr>
      <w:r>
        <w:rPr>
          <w:color w:themeColor="text1" w:val="000000"/>
        </w:rPr>
        <w:t>The Phase III BGC Model underwent extensive testing through calibration of parameters, validation of predicted P concentrations for multiple variables, sensitivity analysis of model result, and final evaluation. The Hydrologic Model accurately and reliably predicted flow-way outflow, volume, and depth. P</w:t>
      </w:r>
      <w:r>
        <w:rPr>
          <w:color w:themeColor="text1" w:val="000000"/>
          <w:vertAlign w:val="subscript"/>
        </w:rPr>
        <w:t>EAVSH</w:t>
      </w:r>
      <w:r>
        <w:rPr>
          <w:color w:themeColor="text1" w:val="000000"/>
        </w:rPr>
        <w:t>, P</w:t>
      </w:r>
      <w:r>
        <w:rPr>
          <w:color w:themeColor="text1" w:val="000000"/>
          <w:vertAlign w:val="subscript"/>
        </w:rPr>
        <w:t>LITTER</w:t>
      </w:r>
      <w:r>
        <w:rPr>
          <w:color w:themeColor="text1" w:val="000000"/>
        </w:rPr>
        <w:t>, P</w:t>
      </w:r>
      <w:r>
        <w:rPr>
          <w:color w:themeColor="text1" w:val="000000"/>
          <w:vertAlign w:val="subscript"/>
        </w:rPr>
        <w:t>FLOC</w:t>
      </w:r>
      <w:r>
        <w:rPr>
          <w:color w:themeColor="text1" w:val="000000"/>
        </w:rPr>
        <w:t>, and POP</w:t>
      </w:r>
      <w:r>
        <w:rPr>
          <w:color w:themeColor="text1" w:val="000000"/>
          <w:vertAlign w:val="subscript"/>
        </w:rPr>
        <w:t>S</w:t>
      </w:r>
      <w:r>
        <w:rPr>
          <w:color w:themeColor="text1" w:val="000000"/>
        </w:rPr>
        <w:t xml:space="preserve"> ranged from 0.5-4.0 g P m</w:t>
      </w:r>
      <w:r>
        <w:rPr>
          <w:color w:themeColor="text1" w:val="000000"/>
          <w:vertAlign w:val="superscript"/>
        </w:rPr>
        <w:t>-2</w:t>
      </w:r>
      <w:r>
        <w:rPr>
          <w:color w:themeColor="text1" w:val="000000"/>
        </w:rPr>
        <w:t xml:space="preserve"> over the fifteen water years (5/1/2005 to 4/30/2020). P</w:t>
      </w:r>
      <w:r>
        <w:rPr>
          <w:color w:themeColor="text1" w:val="000000"/>
          <w:vertAlign w:val="subscript"/>
        </w:rPr>
        <w:t>PERI</w:t>
      </w:r>
      <w:r>
        <w:rPr>
          <w:color w:themeColor="text1" w:val="000000"/>
        </w:rPr>
        <w:t>, P</w:t>
      </w:r>
      <w:r>
        <w:rPr>
          <w:color w:themeColor="text1" w:val="000000"/>
          <w:vertAlign w:val="subscript"/>
        </w:rPr>
        <w:t>EAVRR</w:t>
      </w:r>
      <w:r>
        <w:rPr>
          <w:color w:themeColor="text1" w:val="000000"/>
        </w:rPr>
        <w:t>, P</w:t>
      </w:r>
      <w:r>
        <w:rPr>
          <w:color w:themeColor="text1" w:val="000000"/>
          <w:vertAlign w:val="subscript"/>
        </w:rPr>
        <w:t>SAV</w:t>
      </w:r>
      <w:r>
        <w:rPr>
          <w:color w:themeColor="text1" w:val="000000"/>
        </w:rPr>
        <w:t>, DOP</w:t>
      </w:r>
      <w:r>
        <w:rPr>
          <w:color w:themeColor="text1" w:val="000000"/>
          <w:vertAlign w:val="subscript"/>
        </w:rPr>
        <w:t>S</w:t>
      </w:r>
      <w:r>
        <w:rPr>
          <w:color w:themeColor="text1" w:val="000000"/>
        </w:rPr>
        <w:t>, DIP</w:t>
      </w:r>
      <w:r>
        <w:rPr>
          <w:color w:themeColor="text1" w:val="000000"/>
          <w:vertAlign w:val="subscript"/>
        </w:rPr>
        <w:t>S</w:t>
      </w:r>
      <w:r>
        <w:rPr>
          <w:color w:themeColor="text1" w:val="000000"/>
        </w:rPr>
        <w:t>, and PIP</w:t>
      </w:r>
      <w:r>
        <w:rPr>
          <w:color w:themeColor="text1" w:val="000000"/>
          <w:vertAlign w:val="subscript"/>
        </w:rPr>
        <w:t>S</w:t>
      </w:r>
      <w:r>
        <w:rPr>
          <w:color w:themeColor="text1" w:val="000000"/>
        </w:rPr>
        <w:t xml:space="preserve"> ranged from 0.01-0.75 g P m</w:t>
      </w:r>
      <w:r>
        <w:rPr>
          <w:color w:themeColor="text1" w:val="000000"/>
          <w:vertAlign w:val="superscript"/>
        </w:rPr>
        <w:t>-2</w:t>
      </w:r>
      <w:r>
        <w:rPr>
          <w:color w:themeColor="text1" w:val="000000"/>
        </w:rPr>
        <w:t>. Finally, P</w:t>
      </w:r>
      <w:r>
        <w:rPr>
          <w:color w:themeColor="text1" w:val="000000"/>
          <w:vertAlign w:val="subscript"/>
        </w:rPr>
        <w:t>PHYTO</w:t>
      </w:r>
      <w:r>
        <w:rPr>
          <w:color w:themeColor="text1" w:val="000000"/>
        </w:rPr>
        <w:t>, POP</w:t>
      </w:r>
      <w:r>
        <w:rPr>
          <w:color w:themeColor="text1" w:val="000000"/>
          <w:vertAlign w:val="subscript"/>
        </w:rPr>
        <w:t>W</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PIP</w:t>
      </w:r>
      <w:r>
        <w:rPr>
          <w:color w:themeColor="text1" w:val="000000"/>
          <w:vertAlign w:val="subscript"/>
        </w:rPr>
        <w:t>W</w:t>
      </w:r>
      <w:r>
        <w:rPr>
          <w:color w:themeColor="text1" w:val="000000"/>
        </w:rPr>
        <w:t>, and TP</w:t>
      </w:r>
      <w:r>
        <w:rPr>
          <w:color w:themeColor="text1" w:val="000000"/>
          <w:vertAlign w:val="subscript"/>
        </w:rPr>
        <w:t>W</w:t>
      </w:r>
      <w:r>
        <w:rPr>
          <w:color w:themeColor="text1" w:val="000000"/>
        </w:rPr>
        <w:t xml:space="preserve"> ranged from near zero to approximately 0.25 g P m</w:t>
      </w:r>
      <w:r>
        <w:rPr>
          <w:color w:themeColor="text1" w:val="000000"/>
          <w:vertAlign w:val="superscript"/>
        </w:rPr>
        <w:t>-3</w:t>
      </w:r>
      <w:r>
        <w:rPr>
          <w:color w:themeColor="text1" w:val="000000"/>
        </w:rPr>
        <w:t xml:space="preserve">. </w:t>
      </w:r>
    </w:p>
    <w:p>
      <w:pPr>
        <w:pStyle w:val="Normal"/>
        <w:rPr>
          <w:color w:themeColor="text1" w:val="000000"/>
        </w:rPr>
      </w:pPr>
      <w:r>
        <w:rPr>
          <w:color w:themeColor="text1" w:val="000000"/>
        </w:rPr>
        <w:t>The BGC Model provided a platform to assess relationships between external TP loading (Q</w:t>
      </w:r>
      <w:r>
        <w:rPr>
          <w:color w:themeColor="text1" w:val="000000"/>
          <w:vertAlign w:val="subscript"/>
        </w:rPr>
        <w:t>TP</w:t>
      </w:r>
      <w:r>
        <w:rPr>
          <w:color w:themeColor="text1" w:val="000000"/>
        </w:rPr>
        <w:t>) and the TP concentrations in the water column and outflow (TP</w:t>
      </w:r>
      <w:r>
        <w:rPr>
          <w:color w:themeColor="text1" w:val="000000"/>
          <w:vertAlign w:val="subscript"/>
        </w:rPr>
        <w:t>W</w:t>
      </w:r>
      <w:r>
        <w:rPr>
          <w:color w:themeColor="text1" w:val="000000"/>
        </w:rPr>
        <w:t xml:space="preserve"> and [TP]</w:t>
      </w:r>
      <w:r>
        <w:rPr>
          <w:color w:themeColor="text1" w:val="000000"/>
          <w:vertAlign w:val="subscript"/>
        </w:rPr>
        <w:t>OUT</w:t>
      </w:r>
      <w:r>
        <w:rPr>
          <w:color w:themeColor="text1" w:val="000000"/>
        </w:rPr>
        <w:t>). The model flow-way removed only 58-63% of the annual TP load from WY2007-WY2012. When the depth increased during the second half of the simulation period, the flow-way removed up to 84-89% of the Q</w:t>
      </w:r>
      <w:r>
        <w:rPr>
          <w:color w:themeColor="text1" w:val="000000"/>
          <w:vertAlign w:val="subscript"/>
        </w:rPr>
        <w:t>TP</w:t>
      </w:r>
      <w:r>
        <w:rPr>
          <w:color w:themeColor="text1" w:val="000000"/>
        </w:rPr>
        <w:t>.  Overall, average annual water column TP</w:t>
      </w:r>
      <w:r>
        <w:rPr>
          <w:color w:themeColor="text1" w:val="000000"/>
          <w:vertAlign w:val="subscript"/>
        </w:rPr>
        <w:t>W</w:t>
      </w:r>
      <w:r>
        <w:rPr>
          <w:color w:themeColor="text1" w:val="000000"/>
        </w:rPr>
        <w:t xml:space="preserve"> was greatest (~0.1 g P m</w:t>
      </w:r>
      <w:r>
        <w:rPr>
          <w:color w:themeColor="text1" w:val="000000"/>
          <w:vertAlign w:val="superscript"/>
        </w:rPr>
        <w:t>-3</w:t>
      </w:r>
      <w:r>
        <w:rPr>
          <w:color w:themeColor="text1" w:val="000000"/>
        </w:rPr>
        <w:t>) when net annual removal was least.  While water years with the greatest inflow and TP loading (WY2015 and WY2018) exhibited the lowest TP removal (58% and 63%), years with lower average annual HLR of 0.02-0.04 m d-1 and QTP loads (&lt;0.6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such as WY2006 and WY2019 had the lowest water column TP (~0.05 g P m</w:t>
      </w:r>
      <w:r>
        <w:rPr>
          <w:color w:themeColor="text1" w:val="000000"/>
          <w:vertAlign w:val="superscript"/>
        </w:rPr>
        <w:t>-3</w:t>
      </w:r>
      <w:r>
        <w:rPr>
          <w:color w:themeColor="text1" w:val="000000"/>
        </w:rPr>
        <w:t xml:space="preserve">).  The model development process, base model results, and a fully functional, easy to use desktop simulation model were the key research products. The BGC Model is a quantitative tool to help optimize TP removal by the STAs.  </w:t>
      </w:r>
    </w:p>
    <w:p>
      <w:pPr>
        <w:pStyle w:val="Normal"/>
        <w:spacing w:lineRule="auto" w:line="240" w:before="0" w:after="0"/>
        <w:rPr>
          <w:color w:themeColor="text1" w:val="000000"/>
        </w:rPr>
      </w:pPr>
      <w:r>
        <w:rPr>
          <w:color w:themeColor="text1" w:val="000000"/>
        </w:rPr>
      </w:r>
    </w:p>
    <w:p>
      <w:pPr>
        <w:sectPr>
          <w:footerReference w:type="even" r:id="rId9"/>
          <w:footerReference w:type="default" r:id="rId10"/>
          <w:footerReference w:type="first" r:id="rId11"/>
          <w:type w:val="nextPage"/>
          <w:pgSz w:w="12240" w:h="15840"/>
          <w:pgMar w:left="1440" w:right="1440" w:gutter="0" w:header="0" w:top="1440" w:footer="576" w:bottom="1440"/>
          <w:pgNumType w:start="1" w:fmt="decimal"/>
          <w:formProt w:val="false"/>
          <w:textDirection w:val="lrTb"/>
          <w:docGrid w:type="default" w:linePitch="299" w:charSpace="0"/>
        </w:sectPr>
        <w:pStyle w:val="Normal"/>
        <w:spacing w:lineRule="auto" w:line="240" w:before="0" w:after="0"/>
        <w:rPr>
          <w:color w:themeColor="text1" w:val="000000"/>
        </w:rPr>
      </w:pPr>
      <w:r>
        <w:rPr>
          <w:color w:themeColor="text1" w:val="000000"/>
        </w:rPr>
      </w:r>
    </w:p>
    <w:p>
      <w:pPr>
        <w:pStyle w:val="Heading1"/>
        <w:rPr/>
      </w:pPr>
      <w:bookmarkStart w:id="4" w:name="_Ref120215285"/>
      <w:bookmarkStart w:id="5" w:name="_Toc182252492"/>
      <w:bookmarkEnd w:id="4"/>
      <w:r>
        <w:rPr/>
        <w:t>Introduction</w:t>
      </w:r>
      <w:bookmarkEnd w:id="5"/>
    </w:p>
    <w:p>
      <w:pPr>
        <w:pStyle w:val="Normal"/>
        <w:rPr>
          <w:color w:themeColor="text1" w:val="000000"/>
        </w:rPr>
      </w:pPr>
      <w:bookmarkStart w:id="6" w:name="_Toc362969991"/>
      <w:bookmarkStart w:id="7" w:name="_Toc349423769"/>
      <w:bookmarkStart w:id="8" w:name="_Toc362970117"/>
      <w:bookmarkStart w:id="9" w:name="_Toc362859739"/>
      <w:bookmarkEnd w:id="6"/>
      <w:bookmarkEnd w:id="7"/>
      <w:bookmarkEnd w:id="8"/>
      <w:bookmarkEnd w:id="9"/>
      <w:r>
        <w:rPr>
          <w:color w:themeColor="text1" w:val="000000"/>
        </w:rPr>
        <w:t>This project was conducted to improve simulation modeling of phosphorus (P) cycling in the STAs. Two parallel, inter-related modeling approaches were conceptualized and developed in the first two project phases and refined in the third phase of the project. The first approach was a Biogeochemical Model to combine the fundamental understanding of the wetland habitats and the available empirical data into a mechanistic modeling framework to quantify P cycling within the STAs. The second was an application of the Comprehensive Aquatic Systems Model (CASM) to include food webs relevant to the STAs along with the biogeochemical processes to quantify the role of higher trophic levels on P cycling.</w:t>
      </w:r>
    </w:p>
    <w:p>
      <w:pPr>
        <w:pStyle w:val="Heading2"/>
        <w:rPr/>
      </w:pPr>
      <w:bookmarkStart w:id="10" w:name="_Toc182252493"/>
      <w:r>
        <w:rPr/>
        <w:t>Descriptions of the STAs</w:t>
      </w:r>
      <w:bookmarkEnd w:id="10"/>
    </w:p>
    <w:p>
      <w:pPr>
        <w:pStyle w:val="Normal"/>
        <w:rPr>
          <w:color w:themeColor="text1" w:val="000000"/>
        </w:rPr>
      </w:pPr>
      <w:bookmarkStart w:id="13" w:name="_Toc4501722"/>
      <w:bookmarkEnd w:id="13"/>
      <w:r>
        <mc:AlternateContent>
          <mc:Choice Requires="wps">
            <w:drawing>
              <wp:anchor behindDoc="0" distT="40640" distB="67310" distL="109220" distR="132715" simplePos="0" locked="0" layoutInCell="0" allowOverlap="1" relativeHeight="23" wp14:anchorId="311A89E4">
                <wp:simplePos x="0" y="0"/>
                <wp:positionH relativeFrom="margin">
                  <wp:align>center</wp:align>
                </wp:positionH>
                <wp:positionV relativeFrom="paragraph">
                  <wp:posOffset>1586865</wp:posOffset>
                </wp:positionV>
                <wp:extent cx="6033770" cy="4526280"/>
                <wp:effectExtent l="5080" t="5080" r="5080" b="5080"/>
                <wp:wrapSquare wrapText="bothSides"/>
                <wp:docPr id="9" name="Text Box 2"/>
                <a:graphic xmlns:a="http://schemas.openxmlformats.org/drawingml/2006/main">
                  <a:graphicData uri="http://schemas.microsoft.com/office/word/2010/wordprocessingShape">
                    <wps:wsp>
                      <wps:cNvSpPr/>
                      <wps:spPr>
                        <a:xfrm>
                          <a:off x="0" y="0"/>
                          <a:ext cx="6033600" cy="4526280"/>
                        </a:xfrm>
                        <a:prstGeom prst="rect">
                          <a:avLst/>
                        </a:prstGeom>
                        <a:solidFill>
                          <a:srgbClr val="ffffff"/>
                        </a:solidFill>
                        <a:ln w="9525">
                          <a:solidFill>
                            <a:srgbClr val="000000"/>
                          </a:solidFill>
                          <a:miter/>
                        </a:ln>
                      </wps:spPr>
                      <wps:style>
                        <a:lnRef idx="0"/>
                        <a:fillRef idx="0"/>
                        <a:effectRef idx="0"/>
                        <a:fontRef idx="minor"/>
                      </wps:style>
                      <wps:txbx>
                        <w:txbxContent>
                          <w:p>
                            <w:pPr>
                              <w:pStyle w:val="Caption"/>
                              <w:rPr/>
                            </w:pPr>
                            <w:r>
                              <w:rPr/>
                              <w:drawing>
                                <wp:inline distT="0" distB="0" distL="0" distR="0">
                                  <wp:extent cx="5847715" cy="3832860"/>
                                  <wp:effectExtent l="0" t="0" r="0" b="0"/>
                                  <wp:docPr id="1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847715" cy="3832860"/>
                                          </a:xfrm>
                                          <a:prstGeom prst="rect">
                                            <a:avLst/>
                                          </a:prstGeom>
                                        </pic:spPr>
                                      </pic:pic>
                                    </a:graphicData>
                                  </a:graphic>
                                </wp:inline>
                              </w:drawing>
                            </w:r>
                          </w:p>
                          <w:p>
                            <w:pPr>
                              <w:pStyle w:val="Caption"/>
                              <w:widowControl/>
                              <w:bidi w:val="0"/>
                              <w:spacing w:lineRule="auto" w:line="276" w:before="0" w:after="60"/>
                              <w:jc w:val="center"/>
                              <w:rPr/>
                            </w:pPr>
                            <w:bookmarkStart w:id="11" w:name="_Toc181802641"/>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w:t>
                            </w:r>
                            <w:r>
                              <w:rPr/>
                              <w:fldChar w:fldCharType="end"/>
                            </w:r>
                            <w:r>
                              <w:rPr/>
                              <w:t>. Location map for Everglades Stormwater Treatment Areas (STAs) south of Lake Okeechobee in south Florida.</w:t>
                            </w:r>
                            <w:bookmarkEnd w:id="11"/>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3.55pt;margin-top:124.95pt;width:475.05pt;height:356.35pt;mso-wrap-style:square;v-text-anchor:top;mso-position-horizontal:center;mso-position-horizontal-relative:margin" wp14:anchorId="311A89E4">
                <v:fill o:detectmouseclick="t" type="solid" color2="black"/>
                <v:stroke color="black" weight="9360" joinstyle="miter" endcap="flat"/>
                <v:textbox>
                  <w:txbxContent>
                    <w:p>
                      <w:pPr>
                        <w:pStyle w:val="Caption"/>
                        <w:rPr/>
                      </w:pPr>
                      <w:r>
                        <w:rPr/>
                        <w:drawing>
                          <wp:inline distT="0" distB="0" distL="0" distR="0">
                            <wp:extent cx="5847715" cy="3832860"/>
                            <wp:effectExtent l="0" t="0" r="0" b="0"/>
                            <wp:docPr id="1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847715" cy="3832860"/>
                                    </a:xfrm>
                                    <a:prstGeom prst="rect">
                                      <a:avLst/>
                                    </a:prstGeom>
                                  </pic:spPr>
                                </pic:pic>
                              </a:graphicData>
                            </a:graphic>
                          </wp:inline>
                        </w:drawing>
                      </w:r>
                    </w:p>
                    <w:p>
                      <w:pPr>
                        <w:pStyle w:val="Caption"/>
                        <w:widowControl/>
                        <w:bidi w:val="0"/>
                        <w:spacing w:lineRule="auto" w:line="276" w:before="0" w:after="60"/>
                        <w:jc w:val="center"/>
                        <w:rPr/>
                      </w:pPr>
                      <w:bookmarkStart w:id="12" w:name="_Toc181802641"/>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w:t>
                      </w:r>
                      <w:r>
                        <w:rPr/>
                        <w:fldChar w:fldCharType="end"/>
                      </w:r>
                      <w:r>
                        <w:rPr/>
                        <w:t>. Location map for Everglades Stormwater Treatment Areas (STAs) south of Lake Okeechobee in south Florida.</w:t>
                      </w:r>
                      <w:bookmarkEnd w:id="12"/>
                    </w:p>
                  </w:txbxContent>
                </v:textbox>
                <w10:wrap type="square"/>
              </v:rect>
            </w:pict>
          </mc:Fallback>
        </mc:AlternateContent>
      </w:r>
      <w:r>
        <w:rPr>
          <w:color w:themeColor="text1" w:val="000000"/>
        </w:rPr>
        <w:t>The Everglades Stormwater Treatment Areas (STAs) are freshwater wetlands constructed south of Lake Okeechobee to reduce TP concentrations in stormwater discharged to the Everglades Protection Area (Figure 1-1). The STAs were built primarily on former agricultural areas which produced citrus, sugar cane, peanuts, vegetables, sod, and trees (Dombrowski 2019). Since operation started in 1994, the STAs have reduced incoming TP loads by about 77 percent resulting in an average outflow TP concentration of 31 µg L</w:t>
      </w:r>
      <w:r>
        <w:rPr>
          <w:color w:themeColor="text1" w:val="000000"/>
          <w:vertAlign w:val="superscript"/>
        </w:rPr>
        <w:t>-1</w:t>
      </w:r>
      <w:r>
        <w:rPr>
          <w:color w:themeColor="text1" w:val="000000"/>
        </w:rPr>
        <w:t xml:space="preserve"> (1 µg L</w:t>
      </w:r>
      <w:r>
        <w:rPr>
          <w:color w:themeColor="text1" w:val="000000"/>
          <w:vertAlign w:val="superscript"/>
        </w:rPr>
        <w:t>-1</w:t>
      </w:r>
      <w:r>
        <w:rPr>
          <w:color w:themeColor="text1" w:val="000000"/>
        </w:rPr>
        <w:t xml:space="preserve"> = 1 part per billion or ppb; Chimney 2021). </w:t>
      </w:r>
    </w:p>
    <w:p>
      <w:pPr>
        <w:pStyle w:val="Normal"/>
        <w:rPr>
          <w:color w:themeColor="text1" w:val="000000"/>
        </w:rPr>
      </w:pPr>
      <w:r>
        <w:rPr>
          <w:color w:themeColor="text1" w:val="000000"/>
        </w:rPr>
        <w:t xml:space="preserve">The first prototype STA was completed in 1994 (Chimney 2019). Presently, there are five Everglades STAs: STA-1E, STA-1W, STA-2, STA-3/4, and STA-5/6 comprising ~62,000 acres (~25,000 hectares or ha) of treatment area currently permitted to operate. The total area includes expanded treatment areas for STA-1W, STA-2, STA-5/6. Two flow equalization basins (FEBs): FEBs A-1 and L-8, are operated to attenuate peak flows and improve inflow delivery rates to the STAs.  STAs are operated under National Pollutant Discharge Elimination System (NPDES) and Everglades Forever Act (EFA)  permits which mandate ultra-low annual outflow TP concentrations by 2027 to meet the water quality based effluent limit (WQBEL; FDEP 2012a; 2012b; 2017; FDEP and USEPA 2012). The STAs are a major component of the South Florida Water Management District (SFWMD) Restoration Strategies Regional Water Quality Plan (SFWMD 2012). </w:t>
      </w:r>
    </w:p>
    <w:p>
      <w:pPr>
        <w:pStyle w:val="Normal"/>
        <w:rPr>
          <w:color w:themeColor="text1" w:val="000000"/>
        </w:rPr>
      </w:pPr>
      <w:r>
        <w:rPr>
          <w:color w:themeColor="text1" w:val="000000"/>
        </w:rPr>
        <w:t>The NPDES and EFA permits establish the WQBEL for the STAs. The WQBEL has two components intended to ensure that TP outflows from the STAs may not cause or contribute to exceedances greater than the long-term geometric mean concentration within the EPA (presently 10 µg L</w:t>
      </w:r>
      <w:r>
        <w:rPr>
          <w:color w:themeColor="text1" w:val="000000"/>
          <w:vertAlign w:val="superscript"/>
        </w:rPr>
        <w:t>-1</w:t>
      </w:r>
      <w:r>
        <w:rPr>
          <w:color w:themeColor="text1" w:val="000000"/>
        </w:rPr>
        <w:t>). First, the flow-weighted mean concentration (FWMC) of the STA outflow shall not exceed 13 µg L</w:t>
      </w:r>
      <w:r>
        <w:rPr>
          <w:color w:themeColor="text1" w:val="000000"/>
          <w:vertAlign w:val="superscript"/>
        </w:rPr>
        <w:t>-1</w:t>
      </w:r>
      <w:r>
        <w:rPr>
          <w:color w:themeColor="text1" w:val="000000"/>
        </w:rPr>
        <w:t xml:space="preserve"> in more than 3 out of 5 water years on a rolling basis. Second, the annual FWMC from each STA shall not exceed 19 µg L</w:t>
      </w:r>
      <w:r>
        <w:rPr>
          <w:color w:themeColor="text1" w:val="000000"/>
          <w:vertAlign w:val="superscript"/>
        </w:rPr>
        <w:t>-1</w:t>
      </w:r>
      <w:r>
        <w:rPr>
          <w:color w:themeColor="text1" w:val="000000"/>
        </w:rPr>
        <w:t xml:space="preserve"> in any water year. The WQBEL is separate from the 4-part test for the Everglades TP criterion (62-302.540(4)(d)1, Florida Administrative Code).  </w:t>
      </w:r>
    </w:p>
    <w:p>
      <w:pPr>
        <w:pStyle w:val="Normal"/>
        <w:rPr>
          <w:color w:themeColor="text1" w:val="000000"/>
        </w:rPr>
      </w:pPr>
      <w:r>
        <w:rPr>
          <w:color w:themeColor="text1" w:val="000000"/>
        </w:rPr>
        <w:t>The STAs are wetland ecosystems with varying size, configuration, period of operation, and are divided into treatment cells and/or flow-ways by interior levees (Figure 1-1). The flow of water through the STAs is regulated via a variety of water control structures (e.g., pump stations, gates, culverts). The dominant habitat types in the treatment cells are broadly classified as either emergent aquatic vegetation (EAV) or submerged aquatic vegetation (SAV). While the SAV community composition has multiple species, cattail (</w:t>
      </w:r>
      <w:r>
        <w:rPr>
          <w:i/>
          <w:iCs/>
          <w:color w:themeColor="text1" w:val="000000"/>
        </w:rPr>
        <w:t>Typha domingensis</w:t>
      </w:r>
      <w:r>
        <w:rPr>
          <w:color w:themeColor="text1" w:val="000000"/>
        </w:rPr>
        <w:t>) is the dominant macrophyte in the EAV habitat. In many areas that were dominated by SAV, there has been an expansion of EAV, in part due to active management, which has created sub-cells of SAV surrounded by EAV to reduce the effect of storm driven water turbulence that can uproot the SAV. Many cells also have various species of floating aquatic vegetation (FAV). However, FAV species in the outflow cells, where water nutrient concentrations are low, are not considered effective in retaining P. Finally, free floating, epipelic and epiphytic periphyton communities are key components of the STA wetlands.</w:t>
      </w:r>
    </w:p>
    <w:p>
      <w:pPr>
        <w:pStyle w:val="Normal"/>
        <w:rPr>
          <w:color w:themeColor="text1" w:val="000000"/>
        </w:rPr>
      </w:pPr>
      <w:r>
        <w:rPr>
          <w:color w:themeColor="text1" w:val="000000"/>
        </w:rPr>
        <w:t>The upstream regions of STA cells are dominated by dense stands of cattail, which typically are very hardy plants with rapid and sustained growth in enriched environments. However, die backs have occurred in the STAs, reducing the ability of the emergent wetland to uptake P from the water column. While the proximal causes are not well understood, long periods of increased water depth can be associated with cattail stress and mortality (Chen et al., 2015; Diaz, 2018; Diaz and Vaughan 2019). In addition, floating mats of cattail can occur when the soils holding cattail roots de-laminate. These floating mats can cause significant damage to the surrounding vegetation, block water control structures, create short circuits, and generally reduce the P removal capacity of a given STA (Clark 2019, Clark and Glodzik 2020)</w:t>
      </w:r>
    </w:p>
    <w:p>
      <w:pPr>
        <w:pStyle w:val="Normal"/>
        <w:rPr>
          <w:color w:themeColor="text1" w:val="000000"/>
        </w:rPr>
      </w:pPr>
      <w:r>
        <w:rPr>
          <w:color w:themeColor="text1" w:val="000000"/>
        </w:rPr>
        <w:t xml:space="preserve">The distribution, growth, and resilience of wetland habitats within the STAs are modulated by multiple environmental drivers and management actions. These include variable soil characteristics, changes in community composition, fluctuations in water levels including occasional dry out, increased nutrient loads, and/or EAV plant rotations. Target depths for STA cells range from approximately 0.4 to 0.6 m. Experimental results indicated that eight weeks of continuous inundation at water depths above 0.85m stressed the cattail (Diaz et al. 2023). </w:t>
      </w:r>
    </w:p>
    <w:p>
      <w:pPr>
        <w:pStyle w:val="Normal"/>
        <w:rPr>
          <w:color w:themeColor="text1" w:val="000000"/>
        </w:rPr>
      </w:pPr>
      <w:r>
        <w:rPr>
          <w:color w:themeColor="text1" w:val="000000"/>
        </w:rPr>
        <w:t xml:space="preserve">Net TP removal from the water column occurs through fundamental wetland biogeochemical processes. These processes include plant and microbial primary production and nutrient uptake, particulate settling, chemical sorption, and deposition to the soil. The internal factors include antecedent land use, composition and status of the habitats, microbial activities, soil P dynamics, and the topography, size and shape of the STA cells. The external factors include weather patterns, inflow TP concentrations, phosphorus loading rates (PLRs), hydraulic loading rates (HLRs), changes in hydro-patterns and/or hydro-period, maintenance and enhancement activities, regional operations, and wildlife use. The STAs are integral components of a complex water management system with multiple objectives, particularly ecosystem restoration, water supply and flood control (SFWMD 2012). </w:t>
      </w:r>
    </w:p>
    <w:p>
      <w:pPr>
        <w:pStyle w:val="Normal"/>
        <w:rPr>
          <w:color w:themeColor="text1" w:val="000000"/>
        </w:rPr>
      </w:pPr>
      <w:r>
        <w:rPr>
          <w:color w:themeColor="text1" w:val="000000"/>
        </w:rPr>
        <w:t>The STAs are intensively managed systems involving various personnel for routine operation and maintenance of pumps, gates, and structures; planting of desired vegetation; and removal of unwanted vegetation. Scientists and engineers provide technical information and evaluation to ensure proper operation and optimal management, including collection and analysis of water quality, soil, vegetation, flow, and performance data. Water levels in each cell are monitored, and target stages are set from average ground elevations, depending on the dominant vegetation community and condition of the treatment cell. Corrective actions can be operational such as reducing inflow loading by redirecting flows, reducing target stages to allow vegetation to rejuvenate, adding temporary pumps or constructing divide levees, or major rehabilitation activities.</w:t>
      </w:r>
    </w:p>
    <w:p>
      <w:pPr>
        <w:pStyle w:val="Heading2"/>
        <w:rPr/>
      </w:pPr>
      <w:bookmarkStart w:id="14" w:name="_Toc182252494"/>
      <w:bookmarkStart w:id="15" w:name="_Toc518162997"/>
      <w:bookmarkEnd w:id="15"/>
      <w:r>
        <w:rPr/>
        <w:t>Modeling Phosphorus Biogeochemistry in STA Wetlands</w:t>
      </w:r>
      <w:bookmarkEnd w:id="14"/>
    </w:p>
    <w:p>
      <w:pPr>
        <w:pStyle w:val="Normal"/>
        <w:rPr>
          <w:color w:themeColor="text1" w:val="000000"/>
        </w:rPr>
      </w:pPr>
      <w:r>
        <w:rPr>
          <w:color w:themeColor="text1" w:val="000000"/>
        </w:rPr>
        <w:t xml:space="preserve">Since the inception of the first STA in 1994 and the implementation of the Restoration Strategies Science Plan (RSSP), there has been great effort to study water, soils, and plants to understand P dynamics for improved management. Over twenty different studies of varying scope and complexity have been initiated under this plan to evaluate hydrodynamics, vegetation, fauna, internal loading, sediment accrual, P loading and net removal. While each of these studies provided separate insights into P reduction and treatment performance, these individual components required integration to improve understanding of TP reduction in the STAs. An effective integration and synthesis framework is necessary to process and analyze the vast amount of scientific information collected over roughly the past 25 years. This includes an abundance of recent data and observations for hydraulics and hydrology, water chemistry, soil chemistry and biogeochemistry, particle dynamics, vegetation, microbial processes, and fauna (James et al. 2024; UF-WBL 2019; Villapando and King 2019; Dombrowski, et al. 2020; Barton et al. 2020, 2021). </w:t>
      </w:r>
    </w:p>
    <w:p>
      <w:pPr>
        <w:pStyle w:val="Normal"/>
        <w:rPr>
          <w:color w:themeColor="text1" w:val="000000"/>
        </w:rPr>
      </w:pPr>
      <w:r>
        <w:rPr>
          <w:color w:themeColor="text1" w:val="000000"/>
        </w:rPr>
        <w:t xml:space="preserve">Simulation modeling provides a pathway to better understand potential changes in aquatic ecosystem attributes with projected changes in climate and water management (Wiegert 1975; Fitz et al. 1996; Malone et al. 2015; Buzzelli et al. 2015). Mechanistic models of wetland hydrology and biogeochemistry generate quantitative results based on the interactions among multiple dynamic processes (Buzzelli et al. 2000; Min et al. 2011). However, they often require considerable input data, many different parameters, time series of environmental patterns, and considerable time and effort to develop (Robson 2005). Thus, model complexity must balance over-simplification vs. over-parameterization to be useful for water and environmental management (Min et al. 2011; Paudel and Jawitz 2012). There are many examples of models for Everglades wetlands including those for natural ridges and sloughs, Water Conservation Areas (WCAs), STAs, and mesocosms (Raghunathan et al. 2001; Meyers and Fitzpatrick 2004; Jawitz et al. 2008; Walker and Kadlec 2011; Wang et al. 2012; Marios and Mitsch 2016; Ji and Jin 2016; UF-WBL 2019; Justin and Kadlec 2019). </w:t>
      </w:r>
    </w:p>
    <w:p>
      <w:pPr>
        <w:pStyle w:val="Normal"/>
        <w:rPr>
          <w:color w:themeColor="text1" w:val="000000"/>
        </w:rPr>
      </w:pPr>
      <w:r>
        <w:rPr>
          <w:color w:themeColor="text1" w:val="000000"/>
        </w:rPr>
        <w:t>Many of these previous models were not mechanistic and not developed  nor considered for the dynamism of Everglades wetland P biogeochemistry. TP removed by an STA becomes a temporary or permanent part of the macrophytes, periphyton, litter, soil, and/or fauna. For example, Raghunathan et al. (2001) developed a spatially articulated model of TP fate in the Everglades with a single, empirically derived mass sinking term. Walker and Kadlec (2011) developed a storage based, mass-balance model of TP processing by the STAs. These authors indicated that internal processes are a source of model uncertainty. A version based on dispersive transport among zones of similarity was applied to WCA 1 by Wang et al. (2012). Although previously poor, the ability of this approach to predict TP concentrations less than 20 ppb (20 μg L-1; 0.020 g P m</w:t>
      </w:r>
      <w:r>
        <w:rPr>
          <w:color w:themeColor="text1" w:val="000000"/>
          <w:vertAlign w:val="superscript"/>
        </w:rPr>
        <w:t>-3</w:t>
      </w:r>
      <w:r>
        <w:rPr>
          <w:color w:themeColor="text1" w:val="000000"/>
        </w:rPr>
        <w:t>) improved with the introduction of a term for internal P cycling (P return flux; Justin and Kadlec 2019). However, this term was a fixed rate decreasing with distance from the inflow and not based on fundamental wetland biogeochemical processes.</w:t>
      </w:r>
    </w:p>
    <w:p>
      <w:pPr>
        <w:pStyle w:val="Normal"/>
        <w:rPr>
          <w:color w:themeColor="text1" w:val="000000"/>
        </w:rPr>
      </w:pPr>
      <w:r>
        <w:rPr>
          <w:color w:themeColor="text1" w:val="000000"/>
        </w:rPr>
      </w:r>
      <w:r>
        <w:br w:type="page"/>
      </w:r>
    </w:p>
    <w:p>
      <w:pPr>
        <w:pStyle w:val="Normal"/>
        <w:spacing w:before="0" w:after="120"/>
        <w:rPr>
          <w:color w:themeColor="text1" w:val="000000"/>
        </w:rPr>
      </w:pPr>
      <w:r>
        <w:rPr>
          <w:color w:themeColor="text1" w:val="000000"/>
        </w:rPr>
        <w:t xml:space="preserve">One overall goal of this three-phase project was to develop a simulation model of P biogeochemistry in STA wetlands (Biogeochemistry or BGC Model). The model was built upon the long-term data and information base from a specific STA flow-way. The mechanistic model includes a full hydrologic sub-model to link inflows and TP loads, internal processing and TP removal, and outflows to the downstream boundary over a 16-year simulation period. The model development process, base model results, and a fully functional, easy to use desktop simulation model were the key research products. The BGC Model is a quantitative tool to help optimize TP removal by the STAs. </w:t>
      </w:r>
    </w:p>
    <w:p>
      <w:pPr>
        <w:pStyle w:val="Normal"/>
        <w:rPr>
          <w:color w:themeColor="text1" w:val="000000"/>
        </w:rPr>
      </w:pPr>
      <w:r>
        <w:rPr>
          <w:color w:themeColor="text1" w:val="000000"/>
        </w:rPr>
        <w:t>Phase I produced a conceptual model of P biogeochemically cycling which guided the identification and compilation of the necessary data for mathematical model development. The first objective of Phase II was to gather and analyze the data and information regarding the inflows and loads, water column attributes, periphyton, macrophytes, and soils. This effort resulted in target concentrations (g P m</w:t>
      </w:r>
      <w:r>
        <w:rPr>
          <w:color w:themeColor="text1" w:val="000000"/>
          <w:vertAlign w:val="superscript"/>
        </w:rPr>
        <w:t>-2</w:t>
      </w:r>
      <w:r>
        <w:rPr>
          <w:color w:themeColor="text1" w:val="000000"/>
        </w:rPr>
        <w:t xml:space="preserve"> or g P m</w:t>
      </w:r>
      <w:r>
        <w:rPr>
          <w:color w:themeColor="text1" w:val="000000"/>
          <w:vertAlign w:val="superscript"/>
        </w:rPr>
        <w:t>-3</w:t>
      </w:r>
      <w:r>
        <w:rPr>
          <w:color w:themeColor="text1" w:val="000000"/>
        </w:rPr>
        <w:t>) for the P state variables or pools to be simulated in the BGC Model. The development of a fully functioning first generation base model was the second important outcome for Phase II. The spatial and temporal domains were defined as STA-2 FW1 (Figure 2-2) over a 16-year period (1/1/2005 to 12/31/2020), respectively. The first-generation model did not have a hydrologic sub-model as daily water volume (m</w:t>
      </w:r>
      <w:r>
        <w:rPr>
          <w:color w:themeColor="text1" w:val="000000"/>
          <w:vertAlign w:val="superscript"/>
        </w:rPr>
        <w:t>3</w:t>
      </w:r>
      <w:r>
        <w:rPr>
          <w:color w:themeColor="text1" w:val="000000"/>
        </w:rPr>
        <w:t xml:space="preserve">) was estimated as the product of the average depth and the flow-way area. Accounting for daily changes in depth and volume was followed by the prediction of surface and sub-surface light to drive photosynthesis, a trigonometric function for water temperature, and cattail above- and below-ground carbon (C) production. Equations for the remaining P biogeochemical components (periphyton, SAV, soil, water column) were introduced sequentially. Parameters were identified, assigned initial values, and calibrated relative to the target concentrations established in Phase I. Results from the first BGC model were validated, and the model was tested via sensitivity analysis to complete Phase II. </w:t>
      </w:r>
    </w:p>
    <w:p>
      <w:pPr>
        <w:pStyle w:val="Normal"/>
        <w:rPr>
          <w:color w:themeColor="text1" w:val="000000"/>
        </w:rPr>
      </w:pPr>
      <w:r>
        <w:rPr>
          <w:color w:themeColor="text1" w:val="000000"/>
        </w:rPr>
        <w:t>Phase III built upon the first two phases to produce a reliable model of P biogeochemical cycling in STA-2 FW1. The objectives were to develop a Hydrologic Model to predict flow-way water outflow and volume, revisit the Phase I Conceptual Model and Phase II empirically derived model targets, modify the BGC Model code to ensure mass balance within and among all P state variables, establish an updated base model incorporating all new elements and refinements, calibrate and validate base model results for separate time periods, evaluate model performance through a series of sensitivity tests, and use the modeling framework to recommend management options.</w:t>
      </w:r>
    </w:p>
    <w:p>
      <w:pPr>
        <w:pStyle w:val="Normal"/>
        <w:rPr>
          <w:color w:themeColor="text1" w:val="000000"/>
        </w:rPr>
      </w:pPr>
      <w:r>
        <w:rPr>
          <w:color w:themeColor="text1" w:val="000000"/>
        </w:rPr>
        <w:t xml:space="preserve">SFWMD continues to study the biogeochemical processes that determine the transport and transformation of P within and through the STAs. Important processes include the removal of dissolved inorganic P by actively growing populations of aquatic plants, include emergent aquatic vegetation (EAV), submerged aquatic vegetation (SAV), floating or attached assemblages of algae (broadly, periphyton), and phytoplankton. P cycles (“spirals”) through the STAs as a function of decomposition, sorption/desorption, hydrolysis, photolysis, diffusion, and advective transport. Recent research has focused on the potential for aquatic invertebrates and fish to excrete P and suspend sedimented P through physical disturbance (bioturbation) of STAs soils and sediments. </w:t>
      </w:r>
    </w:p>
    <w:p>
      <w:pPr>
        <w:pStyle w:val="Normal"/>
        <w:rPr>
          <w:color w:themeColor="text1" w:val="000000"/>
        </w:rPr>
      </w:pPr>
      <w:r>
        <w:rPr>
          <w:color w:themeColor="text1" w:val="000000"/>
        </w:rPr>
        <w:t xml:space="preserve">Through numerous historical and continuing studies and monitoring, substantial understanding of key P transport and transformation processes has accumulated. Previous efforts at synthesis have produced corresponding mathematical models (Paudel and Jawitz 2012; Juston et al. 2013; Juston et al. 2019, Larios et al. 2024). However, the models have often focused on physical transport with minimal representation of the complex biogeochemical processes that determine P movement through the STAs and ultimate discharge in relation to the WQBEL. </w:t>
      </w:r>
    </w:p>
    <w:p>
      <w:pPr>
        <w:pStyle w:val="Heading2"/>
        <w:rPr/>
      </w:pPr>
      <w:bookmarkStart w:id="16" w:name="_Toc182252495"/>
      <w:r>
        <w:rPr/>
        <w:t>CASM</w:t>
      </w:r>
      <w:bookmarkEnd w:id="16"/>
    </w:p>
    <w:p>
      <w:pPr>
        <w:pStyle w:val="Normal"/>
        <w:rPr>
          <w:color w:themeColor="text1" w:val="000000"/>
        </w:rPr>
      </w:pPr>
      <w:r>
        <w:rPr>
          <w:color w:themeColor="text1" w:val="000000"/>
        </w:rPr>
        <w:t xml:space="preserve">A second overall goal was to adapt an existing bioenergetics-based food-web/ecosystem model to the STAs, CASM-STA, CASM through the addition of P storages and fluxes. The CASM-STA model simulates P dynamics in three hydrologically connected spatial locations for the inflow, midflow, and outflow segments of STA-2 FW1 (Figure 2-2). Empirical inflows and outflows were the drivers to simulate daily water levels and flow velocities. P cycling was conceptualized similar to the Biogeochemical Model but also included the effects of excretion and bioturbation through zooplankton, benthic invertebrates, mosquitofish, largemouth bass, grass shrimp, and tilapia. Literature information and SFWMD data were used to construct the food web interactions and estimate model parameters. The CASM-STA model was run for the same two periods as the Biogeochemical Model with results suggesting that excretion and bioturbation are processes worth further consideration in developing an overall quantitative understanding of the cycling of P within the STAs. </w:t>
      </w:r>
    </w:p>
    <w:p>
      <w:pPr>
        <w:pStyle w:val="Normal"/>
        <w:rPr>
          <w:color w:themeColor="text1" w:val="000000"/>
        </w:rPr>
      </w:pPr>
      <w:r>
        <w:rPr>
          <w:color w:themeColor="text1" w:val="000000"/>
        </w:rPr>
        <w:t xml:space="preserve">The development of the CASM-STA was guided in part by the detailed conceptual model for P transport and transformation provided by UF-WBL (2019) (Figure 1-2). The model identifies important P pools and processes that determine the internal cycling dynamics of the constructed STAs. Primary production by aquatic plants, and associated nutrient uptake and decomposition are key biological processes that influence P dynamics. Important P pools include dissolved and particulate organic and inorganic P – both in the soils/sediments and water column. In addition to physical transport, biogeochemical processes including sorption/desorption, hydrolysis, and photolysis determine the ability of managed STAs to remove and sequester input phosphorus in relation to the WQBEL. </w:t>
      </w:r>
    </w:p>
    <w:p>
      <w:pPr>
        <w:pStyle w:val="Normal"/>
        <w:rPr>
          <w:color w:themeColor="text1" w:val="000000"/>
        </w:rPr>
      </w:pPr>
      <w:r>
        <w:rPr>
          <w:color w:themeColor="text1" w:val="000000"/>
        </w:rPr>
        <w:t>This project final report presents the status of the development, calibration/validation and evaluation of the CASM-STA developed for STA-2 FW1. Importantly, the resulting CASM-STA provides the functional capability to explore the implications of managing flows, SAV, EAV, and fish populations in relation to meeting STA requirements concerning the WQBEL. The final report draws fundamentally from previous project reports (Stantec 2024a through 2004f) and adds additional results and analysis developed since preparation of the individual project task reports.</w:t>
      </w:r>
    </w:p>
    <w:p>
      <w:pPr>
        <w:sectPr>
          <w:headerReference w:type="default" r:id="rId18"/>
          <w:headerReference w:type="first" r:id="rId19"/>
          <w:footerReference w:type="default" r:id="rId20"/>
          <w:footerReference w:type="first" r:id="rId21"/>
          <w:type w:val="nextPage"/>
          <w:pgSz w:w="12240" w:h="15840"/>
          <w:pgMar w:left="1440" w:right="1440" w:gutter="0" w:header="576" w:top="1440" w:footer="576" w:bottom="1440"/>
          <w:pgNumType w:start="1" w:fmt="decimal"/>
          <w:formProt w:val="false"/>
          <w:titlePg/>
          <w:textDirection w:val="lrTb"/>
          <w:docGrid w:type="default" w:linePitch="299" w:charSpace="0"/>
        </w:sectPr>
        <w:pStyle w:val="Normal"/>
        <w:rPr>
          <w:color w:themeColor="text1" w:val="000000"/>
        </w:rPr>
      </w:pPr>
      <w:r>
        <w:rPr>
          <w:color w:themeColor="text1" w:val="000000"/>
        </w:rPr>
        <mc:AlternateContent>
          <mc:Choice Requires="wps">
            <w:drawing>
              <wp:anchor behindDoc="0" distT="40640" distB="67310" distL="0" distR="132715" simplePos="0" locked="0" layoutInCell="0" allowOverlap="1" relativeHeight="30" wp14:anchorId="50212A10">
                <wp:simplePos x="0" y="0"/>
                <wp:positionH relativeFrom="margin">
                  <wp:align>left</wp:align>
                </wp:positionH>
                <wp:positionV relativeFrom="paragraph">
                  <wp:posOffset>335280</wp:posOffset>
                </wp:positionV>
                <wp:extent cx="6033770" cy="4297680"/>
                <wp:effectExtent l="0" t="5080" r="5080" b="5080"/>
                <wp:wrapSquare wrapText="bothSides"/>
                <wp:docPr id="10" name="Text Box 2"/>
                <a:graphic xmlns:a="http://schemas.openxmlformats.org/drawingml/2006/main">
                  <a:graphicData uri="http://schemas.microsoft.com/office/word/2010/wordprocessingShape">
                    <wps:wsp>
                      <wps:cNvSpPr/>
                      <wps:spPr>
                        <a:xfrm>
                          <a:off x="0" y="0"/>
                          <a:ext cx="6033600" cy="4297680"/>
                        </a:xfrm>
                        <a:prstGeom prst="rect">
                          <a:avLst/>
                        </a:prstGeom>
                        <a:solidFill>
                          <a:srgbClr val="ffffff"/>
                        </a:solidFill>
                        <a:ln w="9525">
                          <a:solidFill>
                            <a:srgbClr val="000000"/>
                          </a:solidFill>
                          <a:miter/>
                        </a:ln>
                      </wps:spPr>
                      <wps:style>
                        <a:lnRef idx="0"/>
                        <a:fillRef idx="0"/>
                        <a:effectRef idx="0"/>
                        <a:fontRef idx="minor"/>
                      </wps:style>
                      <wps:txbx>
                        <w:txbxContent>
                          <w:p>
                            <w:pPr>
                              <w:pStyle w:val="Caption"/>
                              <w:rPr/>
                            </w:pPr>
                            <w:r>
                              <w:rPr/>
                              <w:drawing>
                                <wp:inline distT="0" distB="0" distL="0" distR="0">
                                  <wp:extent cx="5842000" cy="3429635"/>
                                  <wp:effectExtent l="0" t="0" r="0" b="0"/>
                                  <wp:docPr id="1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
                                          <pic:cNvPicPr>
                                            <a:picLocks noChangeAspect="1" noChangeArrowheads="1"/>
                                          </pic:cNvPicPr>
                                        </pic:nvPicPr>
                                        <pic:blipFill>
                                          <a:blip r:embed="rId16"/>
                                          <a:stretch>
                                            <a:fillRect/>
                                          </a:stretch>
                                        </pic:blipFill>
                                        <pic:spPr bwMode="auto">
                                          <a:xfrm>
                                            <a:off x="0" y="0"/>
                                            <a:ext cx="5842000" cy="3429635"/>
                                          </a:xfrm>
                                          <a:prstGeom prst="rect">
                                            <a:avLst/>
                                          </a:prstGeom>
                                        </pic:spPr>
                                      </pic:pic>
                                    </a:graphicData>
                                  </a:graphic>
                                </wp:inline>
                              </w:drawing>
                            </w:r>
                          </w:p>
                          <w:p>
                            <w:pPr>
                              <w:pStyle w:val="Caption"/>
                              <w:widowControl/>
                              <w:bidi w:val="0"/>
                              <w:spacing w:lineRule="auto" w:line="276" w:before="0" w:after="60"/>
                              <w:jc w:val="center"/>
                              <w:rPr/>
                            </w:pPr>
                            <w:bookmarkStart w:id="17" w:name="_Toc181802642"/>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w:t>
                            </w:r>
                            <w:r>
                              <w:rPr/>
                              <w:fldChar w:fldCharType="end"/>
                            </w:r>
                            <w:r>
                              <w:rPr/>
                              <w:t>. Conceptual model for the transport and transformation of phosphorus in the stormwater treatment areas (STAs) that provide the basis for model development (taken from UF-WBL 2019).</w:t>
                            </w:r>
                            <w:bookmarkEnd w:id="17"/>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26.4pt;width:475.05pt;height:338.35pt;mso-wrap-style:square;v-text-anchor:top;mso-position-horizontal:left;mso-position-horizontal-relative:margin" wp14:anchorId="50212A10">
                <v:fill o:detectmouseclick="t" type="solid" color2="black"/>
                <v:stroke color="black" weight="9360" joinstyle="miter" endcap="flat"/>
                <v:textbox>
                  <w:txbxContent>
                    <w:p>
                      <w:pPr>
                        <w:pStyle w:val="Caption"/>
                        <w:rPr/>
                      </w:pPr>
                      <w:r>
                        <w:rPr/>
                        <w:drawing>
                          <wp:inline distT="0" distB="0" distL="0" distR="0">
                            <wp:extent cx="5842000" cy="3429635"/>
                            <wp:effectExtent l="0" t="0" r="0" b="0"/>
                            <wp:docPr id="1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
                                    <pic:cNvPicPr>
                                      <a:picLocks noChangeAspect="1" noChangeArrowheads="1"/>
                                    </pic:cNvPicPr>
                                  </pic:nvPicPr>
                                  <pic:blipFill>
                                    <a:blip r:embed="rId17"/>
                                    <a:stretch>
                                      <a:fillRect/>
                                    </a:stretch>
                                  </pic:blipFill>
                                  <pic:spPr bwMode="auto">
                                    <a:xfrm>
                                      <a:off x="0" y="0"/>
                                      <a:ext cx="5842000" cy="3429635"/>
                                    </a:xfrm>
                                    <a:prstGeom prst="rect">
                                      <a:avLst/>
                                    </a:prstGeom>
                                  </pic:spPr>
                                </pic:pic>
                              </a:graphicData>
                            </a:graphic>
                          </wp:inline>
                        </w:drawing>
                      </w:r>
                    </w:p>
                    <w:p>
                      <w:pPr>
                        <w:pStyle w:val="Caption"/>
                        <w:widowControl/>
                        <w:bidi w:val="0"/>
                        <w:spacing w:lineRule="auto" w:line="276" w:before="0" w:after="60"/>
                        <w:jc w:val="center"/>
                        <w:rPr/>
                      </w:pPr>
                      <w:bookmarkStart w:id="18" w:name="_Toc181802642"/>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w:t>
                      </w:r>
                      <w:r>
                        <w:rPr/>
                        <w:fldChar w:fldCharType="end"/>
                      </w:r>
                      <w:r>
                        <w:rPr/>
                        <w:t>. Conceptual model for the transport and transformation of phosphorus in the stormwater treatment areas (STAs) that provide the basis for model development (taken from UF-WBL 2019).</w:t>
                      </w:r>
                      <w:bookmarkEnd w:id="18"/>
                    </w:p>
                  </w:txbxContent>
                </v:textbox>
                <w10:wrap type="square"/>
              </v:rect>
            </w:pict>
          </mc:Fallback>
        </mc:AlternateContent>
      </w:r>
    </w:p>
    <w:p>
      <w:pPr>
        <w:pStyle w:val="Heading1"/>
        <w:rPr/>
      </w:pPr>
      <w:bookmarkStart w:id="19" w:name="_Toc182252496"/>
      <w:r>
        <w:rPr/>
        <w:t>Modeling Phosphorus Biogeochemistry in STA Wetlands</w:t>
      </w:r>
      <w:bookmarkEnd w:id="19"/>
    </w:p>
    <w:p>
      <w:pPr>
        <w:pStyle w:val="Normal"/>
        <w:rPr>
          <w:color w:themeColor="text1" w:val="000000"/>
          <w:szCs w:val="22"/>
        </w:rPr>
      </w:pPr>
      <w:r>
        <w:rPr>
          <w:color w:themeColor="text1" w:val="000000"/>
          <w:szCs w:val="22"/>
        </w:rPr>
        <w:t>This section details this project’s first approach to phosphorus modeling in the STAs. As part of this approach, a Biogeochemical Model was developed to combine the most current understanding of chemical and biological processes in the STA wetland habitats with the available empirical data and create a mechanistic modeling framework to quantify P cycling within the STAs.</w:t>
      </w:r>
    </w:p>
    <w:p>
      <w:pPr>
        <w:pStyle w:val="Heading2"/>
        <w:rPr/>
      </w:pPr>
      <w:bookmarkStart w:id="20" w:name="_Hlk170312838"/>
      <w:bookmarkStart w:id="21" w:name="_Toc182252497"/>
      <w:r>
        <w:rPr/>
        <w:t>Phase I Conceptual Model of Phosphorus Biogeochemical Cycling</w:t>
      </w:r>
      <w:bookmarkEnd w:id="20"/>
      <w:bookmarkEnd w:id="21"/>
    </w:p>
    <w:p>
      <w:pPr>
        <w:pStyle w:val="Normal"/>
        <w:rPr>
          <w:color w:themeColor="text1" w:val="000000"/>
        </w:rPr>
      </w:pPr>
      <w:r>
        <w:rPr>
          <w:color w:themeColor="text1" w:val="000000"/>
        </w:rPr>
        <w:t>The wetland ecosystem contained within STA-2 FW1 was assumed to be a single compartment composed of 93% EAV and 7% SAV habitats (see Study Site below). The flow-way was not sub-divided into smaller units for the BGC Model. The Phase I conceptual model was largely based on an illustration of wetland P processes in Everglades EAV wetlands (Figure 1-2; UF-WBL 2019). Water along with its particulate and dissolved P constituents enter the STAs through water control structures in the north and exit to the south. Carbon biomass production by phytoplankton (C</w:t>
      </w:r>
      <w:r>
        <w:rPr>
          <w:color w:themeColor="text1" w:val="000000"/>
          <w:vertAlign w:val="subscript"/>
        </w:rPr>
        <w:t>PHYTO</w:t>
      </w:r>
      <w:r>
        <w:rPr>
          <w:color w:themeColor="text1" w:val="000000"/>
        </w:rPr>
        <w:t>; g C m</w:t>
      </w:r>
      <w:r>
        <w:rPr>
          <w:color w:themeColor="text1" w:val="000000"/>
          <w:vertAlign w:val="superscript"/>
        </w:rPr>
        <w:t>-3</w:t>
      </w:r>
      <w:r>
        <w:rPr>
          <w:color w:themeColor="text1" w:val="000000"/>
        </w:rPr>
        <w:t>), periphyton (C</w:t>
      </w:r>
      <w:r>
        <w:rPr>
          <w:color w:themeColor="text1" w:val="000000"/>
          <w:vertAlign w:val="subscript"/>
        </w:rPr>
        <w:t>PERI</w:t>
      </w:r>
      <w:r>
        <w:rPr>
          <w:color w:themeColor="text1" w:val="000000"/>
        </w:rPr>
        <w:t>; g C m</w:t>
      </w:r>
      <w:r>
        <w:rPr>
          <w:color w:themeColor="text1" w:val="000000"/>
          <w:vertAlign w:val="superscript"/>
        </w:rPr>
        <w:t>-3</w:t>
      </w:r>
      <w:r>
        <w:rPr>
          <w:color w:themeColor="text1" w:val="000000"/>
        </w:rPr>
        <w:t>), the shoots and root-rhizomes of the EAV (C</w:t>
      </w:r>
      <w:r>
        <w:rPr>
          <w:color w:themeColor="text1" w:val="000000"/>
          <w:vertAlign w:val="subscript"/>
        </w:rPr>
        <w:t>EAVSH</w:t>
      </w:r>
      <w:r>
        <w:rPr>
          <w:color w:themeColor="text1" w:val="000000"/>
        </w:rPr>
        <w:t xml:space="preserve"> and C</w:t>
      </w:r>
      <w:r>
        <w:rPr>
          <w:color w:themeColor="text1" w:val="000000"/>
          <w:vertAlign w:val="subscript"/>
        </w:rPr>
        <w:t>EARR</w:t>
      </w:r>
      <w:r>
        <w:rPr>
          <w:color w:themeColor="text1" w:val="000000"/>
        </w:rPr>
        <w:t>; g C m</w:t>
      </w:r>
      <w:r>
        <w:rPr>
          <w:color w:themeColor="text1" w:val="000000"/>
          <w:vertAlign w:val="superscript"/>
        </w:rPr>
        <w:t>-2</w:t>
      </w:r>
      <w:r>
        <w:rPr>
          <w:color w:themeColor="text1" w:val="000000"/>
        </w:rPr>
        <w:t>), and SAV (C=; g C m</w:t>
      </w:r>
      <w:r>
        <w:rPr>
          <w:color w:themeColor="text1" w:val="000000"/>
          <w:vertAlign w:val="superscript"/>
        </w:rPr>
        <w:t>-2</w:t>
      </w:r>
      <w:r>
        <w:rPr>
          <w:color w:themeColor="text1" w:val="000000"/>
        </w:rPr>
        <w:t xml:space="preserve">) was the primary source of new material for the ecosystem (Table 2-1). </w:t>
      </w:r>
    </w:p>
    <w:p>
      <w:pPr>
        <w:pStyle w:val="Caption"/>
        <w:spacing w:lineRule="auto" w:line="240"/>
        <w:rPr>
          <w:color w:themeColor="text1" w:val="000000"/>
        </w:rPr>
      </w:pPr>
      <w:bookmarkStart w:id="22" w:name="_Hlk170379766"/>
      <w:bookmarkStart w:id="23" w:name="_Toc182250910"/>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w:t>
      </w:r>
      <w:r>
        <w:rPr>
          <w:color w:themeColor="text1" w:val="000000"/>
        </w:rPr>
        <w:fldChar w:fldCharType="end"/>
      </w:r>
      <w:r>
        <w:rPr>
          <w:color w:themeColor="text1" w:val="000000"/>
        </w:rPr>
        <w:t>. Carbon pools in the STA Biogeochemical Model.</w:t>
      </w:r>
      <w:bookmarkEnd w:id="22"/>
      <w:bookmarkEnd w:id="23"/>
    </w:p>
    <w:tbl>
      <w:tblPr>
        <w:tblW w:w="9250" w:type="dxa"/>
        <w:jc w:val="left"/>
        <w:tblInd w:w="0" w:type="dxa"/>
        <w:tblLayout w:type="fixed"/>
        <w:tblCellMar>
          <w:top w:w="15" w:type="dxa"/>
          <w:left w:w="108" w:type="dxa"/>
          <w:bottom w:w="0" w:type="dxa"/>
          <w:right w:w="108" w:type="dxa"/>
        </w:tblCellMar>
        <w:tblLook w:val="04a0" w:noHBand="0" w:noVBand="1" w:firstColumn="1" w:lastRow="0" w:lastColumn="0" w:firstRow="1"/>
      </w:tblPr>
      <w:tblGrid>
        <w:gridCol w:w="1170"/>
        <w:gridCol w:w="2249"/>
        <w:gridCol w:w="4411"/>
        <w:gridCol w:w="1419"/>
      </w:tblGrid>
      <w:tr>
        <w:trPr>
          <w:trHeight w:val="336" w:hRule="atLeast"/>
        </w:trPr>
        <w:tc>
          <w:tcPr>
            <w:tcW w:w="1170"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Number</w:t>
            </w:r>
          </w:p>
        </w:tc>
        <w:tc>
          <w:tcPr>
            <w:tcW w:w="2249"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Abbreviation</w:t>
            </w:r>
          </w:p>
        </w:tc>
        <w:tc>
          <w:tcPr>
            <w:tcW w:w="4411"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Definition</w:t>
            </w:r>
          </w:p>
        </w:tc>
        <w:tc>
          <w:tcPr>
            <w:tcW w:w="1419" w:type="dxa"/>
            <w:tcBorders>
              <w:top w:val="single" w:sz="8" w:space="0" w:color="080000"/>
              <w:bottom w:val="single" w:sz="8" w:space="0" w:color="080000"/>
            </w:tcBorders>
            <w:shd w:color="auto" w:fill="auto" w:val="clear"/>
          </w:tcPr>
          <w:p>
            <w:pPr>
              <w:pStyle w:val="Normal"/>
              <w:spacing w:lineRule="auto" w:line="240" w:before="0" w:after="0"/>
              <w:jc w:val="left"/>
              <w:rPr>
                <w:rFonts w:ascii="Arial" w:hAnsi="Arial" w:cs="Arial"/>
                <w:color w:themeColor="text1" w:val="000000"/>
                <w:szCs w:val="22"/>
              </w:rPr>
            </w:pPr>
            <w:r>
              <w:rPr>
                <w:rFonts w:ascii="Times New Roman" w:hAnsi="Times New Roman"/>
                <w:b/>
                <w:bCs/>
                <w:color w:themeColor="text1" w:val="000000"/>
                <w:kern w:val="2"/>
                <w:szCs w:val="22"/>
              </w:rPr>
              <w:t>Units</w:t>
            </w:r>
          </w:p>
        </w:tc>
      </w:tr>
      <w:tr>
        <w:trPr>
          <w:trHeight w:val="336" w:hRule="atLeast"/>
        </w:trPr>
        <w:tc>
          <w:tcPr>
            <w:tcW w:w="1170" w:type="dxa"/>
            <w:tcBorders>
              <w:top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C1</w:t>
            </w:r>
          </w:p>
        </w:tc>
        <w:tc>
          <w:tcPr>
            <w:tcW w:w="2249" w:type="dxa"/>
            <w:tcBorders>
              <w:top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C</w:t>
            </w:r>
            <w:r>
              <w:rPr>
                <w:rFonts w:ascii="Times New Roman" w:hAnsi="Times New Roman"/>
                <w:color w:themeColor="text1" w:val="000000"/>
                <w:kern w:val="2"/>
                <w:position w:val="-7"/>
                <w:szCs w:val="22"/>
              </w:rPr>
              <w:t>PHYTO</w:t>
            </w:r>
          </w:p>
        </w:tc>
        <w:tc>
          <w:tcPr>
            <w:tcW w:w="4411" w:type="dxa"/>
            <w:tcBorders>
              <w:top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Phytoplankton carbon</w:t>
            </w:r>
          </w:p>
        </w:tc>
        <w:tc>
          <w:tcPr>
            <w:tcW w:w="1419" w:type="dxa"/>
            <w:tcBorders>
              <w:top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8"/>
                <w:szCs w:val="22"/>
              </w:rPr>
              <w:t>-2</w:t>
            </w:r>
          </w:p>
        </w:tc>
      </w:tr>
      <w:tr>
        <w:trPr>
          <w:trHeight w:val="336" w:hRule="atLeast"/>
        </w:trPr>
        <w:tc>
          <w:tcPr>
            <w:tcW w:w="1170"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C2</w:t>
            </w:r>
          </w:p>
        </w:tc>
        <w:tc>
          <w:tcPr>
            <w:tcW w:w="2249"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C</w:t>
            </w:r>
            <w:r>
              <w:rPr>
                <w:rFonts w:ascii="Times New Roman" w:hAnsi="Times New Roman"/>
                <w:color w:themeColor="text1" w:val="000000"/>
                <w:kern w:val="2"/>
                <w:position w:val="-7"/>
                <w:szCs w:val="22"/>
              </w:rPr>
              <w:t>PERI</w:t>
            </w:r>
          </w:p>
        </w:tc>
        <w:tc>
          <w:tcPr>
            <w:tcW w:w="4411"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Periphyton carbon</w:t>
            </w:r>
          </w:p>
        </w:tc>
        <w:tc>
          <w:tcPr>
            <w:tcW w:w="1419"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8"/>
                <w:szCs w:val="22"/>
              </w:rPr>
              <w:t>-2</w:t>
            </w:r>
          </w:p>
        </w:tc>
      </w:tr>
      <w:tr>
        <w:trPr>
          <w:trHeight w:val="336" w:hRule="atLeast"/>
        </w:trPr>
        <w:tc>
          <w:tcPr>
            <w:tcW w:w="1170"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C3</w:t>
            </w:r>
          </w:p>
        </w:tc>
        <w:tc>
          <w:tcPr>
            <w:tcW w:w="2249"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C</w:t>
            </w:r>
            <w:r>
              <w:rPr>
                <w:rFonts w:ascii="Times New Roman" w:hAnsi="Times New Roman"/>
                <w:color w:themeColor="text1" w:val="000000"/>
                <w:kern w:val="2"/>
                <w:position w:val="-7"/>
                <w:szCs w:val="22"/>
              </w:rPr>
              <w:t>SH</w:t>
            </w:r>
          </w:p>
        </w:tc>
        <w:tc>
          <w:tcPr>
            <w:tcW w:w="4411"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EAV shoot carbon</w:t>
            </w:r>
          </w:p>
        </w:tc>
        <w:tc>
          <w:tcPr>
            <w:tcW w:w="1419"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8"/>
                <w:szCs w:val="22"/>
              </w:rPr>
              <w:t>-2</w:t>
            </w:r>
          </w:p>
        </w:tc>
      </w:tr>
      <w:tr>
        <w:trPr>
          <w:trHeight w:val="336" w:hRule="atLeast"/>
        </w:trPr>
        <w:tc>
          <w:tcPr>
            <w:tcW w:w="1170"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C4</w:t>
            </w:r>
          </w:p>
        </w:tc>
        <w:tc>
          <w:tcPr>
            <w:tcW w:w="2249"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C</w:t>
            </w:r>
            <w:r>
              <w:rPr>
                <w:rFonts w:ascii="Times New Roman" w:hAnsi="Times New Roman"/>
                <w:color w:themeColor="text1" w:val="000000"/>
                <w:kern w:val="2"/>
                <w:position w:val="-7"/>
                <w:szCs w:val="22"/>
              </w:rPr>
              <w:t>RR</w:t>
            </w:r>
          </w:p>
        </w:tc>
        <w:tc>
          <w:tcPr>
            <w:tcW w:w="4411"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EAV root-rhizome carbon</w:t>
            </w:r>
          </w:p>
        </w:tc>
        <w:tc>
          <w:tcPr>
            <w:tcW w:w="1419" w:type="dxa"/>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8"/>
                <w:szCs w:val="22"/>
              </w:rPr>
              <w:t>-2</w:t>
            </w:r>
          </w:p>
        </w:tc>
      </w:tr>
      <w:tr>
        <w:trPr>
          <w:trHeight w:val="336" w:hRule="atLeast"/>
        </w:trPr>
        <w:tc>
          <w:tcPr>
            <w:tcW w:w="1170" w:type="dxa"/>
            <w:tcBorders>
              <w:bottom w:val="single" w:sz="8" w:space="0" w:color="00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C5</w:t>
            </w:r>
          </w:p>
        </w:tc>
        <w:tc>
          <w:tcPr>
            <w:tcW w:w="2249" w:type="dxa"/>
            <w:tcBorders>
              <w:bottom w:val="single" w:sz="8" w:space="0" w:color="00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C</w:t>
            </w:r>
            <w:r>
              <w:rPr>
                <w:rFonts w:ascii="Times New Roman" w:hAnsi="Times New Roman"/>
                <w:color w:themeColor="text1" w:val="000000"/>
                <w:kern w:val="2"/>
                <w:position w:val="-7"/>
                <w:szCs w:val="22"/>
              </w:rPr>
              <w:t>SAV</w:t>
            </w:r>
          </w:p>
        </w:tc>
        <w:tc>
          <w:tcPr>
            <w:tcW w:w="4411" w:type="dxa"/>
            <w:tcBorders>
              <w:bottom w:val="single" w:sz="8" w:space="0" w:color="00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SAV carbon</w:t>
            </w:r>
          </w:p>
        </w:tc>
        <w:tc>
          <w:tcPr>
            <w:tcW w:w="1419" w:type="dxa"/>
            <w:tcBorders>
              <w:bottom w:val="single" w:sz="8" w:space="0" w:color="00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8"/>
                <w:szCs w:val="22"/>
              </w:rPr>
              <w:t>-2</w:t>
            </w:r>
          </w:p>
        </w:tc>
      </w:tr>
    </w:tbl>
    <w:p>
      <w:pPr>
        <w:pStyle w:val="Normal"/>
        <w:rPr>
          <w:color w:themeColor="text1" w:val="000000"/>
        </w:rPr>
      </w:pPr>
      <w:r>
        <w:rPr>
          <w:color w:themeColor="text1" w:val="000000"/>
        </w:rPr>
      </w:r>
    </w:p>
    <w:p>
      <w:pPr>
        <w:pStyle w:val="Normal"/>
        <w:rPr>
          <w:color w:themeColor="text1" w:val="000000"/>
        </w:rPr>
      </w:pPr>
      <w:r>
        <w:rPr>
          <w:color w:themeColor="text1" w:val="000000"/>
        </w:rPr>
        <w:t>The conceptual model was refined iteratively throughout all the three phases of the project. More pools were added, the connections were adjusted to reflect the most recent understanding and mathematical equations, and extraneous components were removed. Initially, a total of 13 major P pools (g P m</w:t>
      </w:r>
      <w:r>
        <w:rPr>
          <w:color w:themeColor="text1" w:val="000000"/>
          <w:vertAlign w:val="superscript"/>
        </w:rPr>
        <w:t>-3</w:t>
      </w:r>
      <w:r>
        <w:rPr>
          <w:color w:themeColor="text1" w:val="000000"/>
        </w:rPr>
        <w:t xml:space="preserve"> or g P m</w:t>
      </w:r>
      <w:r>
        <w:rPr>
          <w:color w:themeColor="text1" w:val="000000"/>
          <w:vertAlign w:val="superscript"/>
        </w:rPr>
        <w:t>-2</w:t>
      </w:r>
      <w:r>
        <w:rPr>
          <w:color w:themeColor="text1" w:val="000000"/>
        </w:rPr>
        <w:t xml:space="preserve">) were identified among the macrophytes, periphyton, water column, and soil. The number increased to 14 when submerged aquatic vegetation (SAV) shoots representing </w:t>
      </w:r>
      <w:r>
        <w:rPr>
          <w:i/>
          <w:iCs/>
          <w:color w:themeColor="text1" w:val="000000"/>
        </w:rPr>
        <w:t>Chara</w:t>
      </w:r>
      <w:r>
        <w:rPr>
          <w:color w:themeColor="text1" w:val="000000"/>
        </w:rPr>
        <w:t xml:space="preserve"> sp. were added in Phase II.  Although previously combined, splitting floc and litter P into two state variables in Phase III brought the final total of biogeochemical P compartments to 15 (Table 2-2; Figure 2-1). </w:t>
      </w:r>
    </w:p>
    <w:p>
      <w:pPr>
        <w:pStyle w:val="Normal"/>
        <w:rPr>
          <w:color w:themeColor="text1" w:val="000000"/>
        </w:rPr>
      </w:pPr>
      <w:r>
        <w:rPr>
          <w:color w:themeColor="text1" w:val="000000"/>
        </w:rPr>
        <w:t>There were inflows from the upstream boundary and outflows to the downstream boundary for each of the water column P constituents including phytoplankton (P</w:t>
      </w:r>
      <w:r>
        <w:rPr>
          <w:color w:themeColor="text1" w:val="000000"/>
          <w:vertAlign w:val="subscript"/>
        </w:rPr>
        <w:t>PHYTO</w:t>
      </w:r>
      <w:r>
        <w:rPr>
          <w:color w:themeColor="text1" w:val="000000"/>
        </w:rPr>
        <w:t>; g P m</w:t>
      </w:r>
      <w:r>
        <w:rPr>
          <w:color w:themeColor="text1" w:val="000000"/>
          <w:vertAlign w:val="superscript"/>
        </w:rPr>
        <w:t>-3</w:t>
      </w:r>
      <w:r>
        <w:rPr>
          <w:color w:themeColor="text1" w:val="000000"/>
        </w:rPr>
        <w:t>), particulate organic P (POP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dissolved organic P (DOP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dissolved inorganic P (DIP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and particulate inorganic P (PIP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Periphyton (P</w:t>
      </w:r>
      <w:r>
        <w:rPr>
          <w:color w:themeColor="text1" w:val="000000"/>
          <w:vertAlign w:val="subscript"/>
        </w:rPr>
        <w:t>PPERI</w:t>
      </w:r>
      <w:r>
        <w:rPr>
          <w:color w:themeColor="text1" w:val="000000"/>
        </w:rPr>
        <w:t>; g P m</w:t>
      </w:r>
      <w:r>
        <w:rPr>
          <w:color w:themeColor="text1" w:val="000000"/>
          <w:vertAlign w:val="superscript"/>
        </w:rPr>
        <w:t>-2</w:t>
      </w:r>
      <w:r>
        <w:rPr>
          <w:color w:themeColor="text1" w:val="000000"/>
        </w:rPr>
        <w:t>) was the key internal primary producer and sink for DIPW. While SAV had only shoots (P</w:t>
      </w:r>
      <w:r>
        <w:rPr>
          <w:color w:themeColor="text1" w:val="000000"/>
          <w:vertAlign w:val="subscript"/>
        </w:rPr>
        <w:t>SAV</w:t>
      </w:r>
      <w:r>
        <w:rPr>
          <w:color w:themeColor="text1" w:val="000000"/>
        </w:rPr>
        <w:t>; g P m</w:t>
      </w:r>
      <w:r>
        <w:rPr>
          <w:color w:themeColor="text1" w:val="000000"/>
          <w:vertAlign w:val="superscript"/>
        </w:rPr>
        <w:t>-2</w:t>
      </w:r>
      <w:r>
        <w:rPr>
          <w:color w:themeColor="text1" w:val="000000"/>
        </w:rPr>
        <w:t xml:space="preserve">), the P content of </w:t>
      </w:r>
      <w:r>
        <w:rPr>
          <w:i/>
          <w:color w:themeColor="text1" w:val="000000"/>
        </w:rPr>
        <w:t>Typha</w:t>
      </w:r>
      <w:r>
        <w:rPr>
          <w:color w:themeColor="text1" w:val="000000"/>
        </w:rPr>
        <w:t xml:space="preserve"> </w:t>
      </w:r>
      <w:r>
        <w:rPr>
          <w:i/>
          <w:iCs/>
          <w:color w:themeColor="text1" w:val="000000"/>
        </w:rPr>
        <w:t>domingensis</w:t>
      </w:r>
      <w:r>
        <w:rPr>
          <w:color w:themeColor="text1" w:val="000000"/>
        </w:rPr>
        <w:t xml:space="preserve"> was divided into the shoots (PEAVSH; g P m</w:t>
      </w:r>
      <w:r>
        <w:rPr>
          <w:color w:themeColor="text1" w:val="000000"/>
          <w:vertAlign w:val="superscript"/>
        </w:rPr>
        <w:t>-2</w:t>
      </w:r>
      <w:r>
        <w:rPr>
          <w:color w:themeColor="text1" w:val="000000"/>
        </w:rPr>
        <w:t>) and root-rhizomes (P</w:t>
      </w:r>
      <w:r>
        <w:rPr>
          <w:color w:themeColor="text1" w:val="000000"/>
          <w:vertAlign w:val="subscript"/>
        </w:rPr>
        <w:t>EAVRR</w:t>
      </w:r>
      <w:r>
        <w:rPr>
          <w:color w:themeColor="text1" w:val="000000"/>
        </w:rPr>
        <w:t>; g P m</w:t>
      </w:r>
      <w:r>
        <w:rPr>
          <w:color w:themeColor="text1" w:val="000000"/>
          <w:vertAlign w:val="superscript"/>
        </w:rPr>
        <w:t>-2</w:t>
      </w:r>
      <w:r>
        <w:rPr>
          <w:color w:themeColor="text1" w:val="000000"/>
        </w:rPr>
        <w:t>). The shoots were assumed to include the living leaves and shoot bases in order to identify the data for model targets.  The newly created variables for P</w:t>
      </w:r>
      <w:r>
        <w:rPr>
          <w:color w:themeColor="text1" w:val="000000"/>
          <w:vertAlign w:val="subscript"/>
        </w:rPr>
        <w:t>LITTER</w:t>
      </w:r>
      <w:r>
        <w:rPr>
          <w:color w:themeColor="text1" w:val="000000"/>
        </w:rPr>
        <w:t xml:space="preserve"> and P</w:t>
      </w:r>
      <w:r>
        <w:rPr>
          <w:color w:themeColor="text1" w:val="000000"/>
          <w:vertAlign w:val="subscript"/>
        </w:rPr>
        <w:t>FLOC</w:t>
      </w:r>
      <w:r>
        <w:rPr>
          <w:color w:themeColor="text1" w:val="000000"/>
        </w:rPr>
        <w:t xml:space="preserve"> (g P m</w:t>
      </w:r>
      <w:r>
        <w:rPr>
          <w:color w:themeColor="text1" w:val="000000"/>
          <w:vertAlign w:val="superscript"/>
        </w:rPr>
        <w:t>-2</w:t>
      </w:r>
      <w:r>
        <w:rPr>
          <w:color w:themeColor="text1" w:val="000000"/>
        </w:rPr>
        <w:t>) were located at the soil-water interface. Similar to the water column, the four P constituents in the soil were particulate organic P (POP</w:t>
      </w:r>
      <w:r>
        <w:rPr>
          <w:color w:themeColor="text1" w:val="000000"/>
          <w:vertAlign w:val="subscript"/>
        </w:rPr>
        <w:t>S</w:t>
      </w:r>
      <w:r>
        <w:rPr>
          <w:color w:themeColor="text1" w:val="000000"/>
        </w:rPr>
        <w:t>; g P m</w:t>
      </w:r>
      <w:r>
        <w:rPr>
          <w:color w:themeColor="text1" w:val="000000"/>
          <w:vertAlign w:val="superscript"/>
        </w:rPr>
        <w:t>-2</w:t>
      </w:r>
      <w:r>
        <w:rPr>
          <w:color w:themeColor="text1" w:val="000000"/>
        </w:rPr>
        <w:t>), dissolved organic P (DOP</w:t>
      </w:r>
      <w:r>
        <w:rPr>
          <w:color w:themeColor="text1" w:val="000000"/>
          <w:vertAlign w:val="subscript"/>
        </w:rPr>
        <w:t>S</w:t>
      </w:r>
      <w:r>
        <w:rPr>
          <w:color w:themeColor="text1" w:val="000000"/>
        </w:rPr>
        <w:t>; g P m</w:t>
      </w:r>
      <w:r>
        <w:rPr>
          <w:color w:themeColor="text1" w:val="000000"/>
          <w:vertAlign w:val="superscript"/>
        </w:rPr>
        <w:t>-2</w:t>
      </w:r>
      <w:r>
        <w:rPr>
          <w:color w:themeColor="text1" w:val="000000"/>
        </w:rPr>
        <w:t xml:space="preserve">), dissolved inorganic P </w:t>
      </w:r>
      <w:r>
        <mc:AlternateContent>
          <mc:Choice Requires="wps">
            <w:drawing>
              <wp:anchor behindDoc="0" distT="40640" distB="59690" distL="0" distR="128270" simplePos="0" locked="0" layoutInCell="0" allowOverlap="1" relativeHeight="26" wp14:anchorId="6F0D15BA">
                <wp:simplePos x="0" y="0"/>
                <wp:positionH relativeFrom="margin">
                  <wp:align>left</wp:align>
                </wp:positionH>
                <wp:positionV relativeFrom="paragraph">
                  <wp:posOffset>1905000</wp:posOffset>
                </wp:positionV>
                <wp:extent cx="5943600" cy="3505200"/>
                <wp:effectExtent l="0" t="5080" r="5080" b="5080"/>
                <wp:wrapSquare wrapText="bothSides"/>
                <wp:docPr id="19" name="Text Box 2"/>
                <a:graphic xmlns:a="http://schemas.openxmlformats.org/drawingml/2006/main">
                  <a:graphicData uri="http://schemas.microsoft.com/office/word/2010/wordprocessingShape">
                    <wps:wsp>
                      <wps:cNvSpPr/>
                      <wps:spPr>
                        <a:xfrm>
                          <a:off x="0" y="0"/>
                          <a:ext cx="5943600" cy="35053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drawing>
                                <wp:inline distT="0" distB="0" distL="0" distR="0">
                                  <wp:extent cx="5749290" cy="2846070"/>
                                  <wp:effectExtent l="0" t="0" r="0" b="0"/>
                                  <wp:docPr id="21"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5" descr=""/>
                                          <pic:cNvPicPr>
                                            <a:picLocks noChangeAspect="1" noChangeArrowheads="1"/>
                                          </pic:cNvPicPr>
                                        </pic:nvPicPr>
                                        <pic:blipFill>
                                          <a:blip r:embed="rId22"/>
                                          <a:stretch>
                                            <a:fillRect/>
                                          </a:stretch>
                                        </pic:blipFill>
                                        <pic:spPr bwMode="auto">
                                          <a:xfrm>
                                            <a:off x="0" y="0"/>
                                            <a:ext cx="5749290" cy="2846070"/>
                                          </a:xfrm>
                                          <a:prstGeom prst="rect">
                                            <a:avLst/>
                                          </a:prstGeom>
                                        </pic:spPr>
                                      </pic:pic>
                                    </a:graphicData>
                                  </a:graphic>
                                </wp:inline>
                              </w:drawing>
                            </w:r>
                          </w:p>
                          <w:p>
                            <w:pPr>
                              <w:pStyle w:val="Caption"/>
                              <w:widowControl/>
                              <w:bidi w:val="0"/>
                              <w:spacing w:lineRule="auto" w:line="276" w:before="0" w:after="60"/>
                              <w:jc w:val="center"/>
                              <w:rPr/>
                            </w:pPr>
                            <w:bookmarkStart w:id="24" w:name="_Toc181802643"/>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w:t>
                            </w:r>
                            <w:r>
                              <w:rPr/>
                              <w:fldChar w:fldCharType="end"/>
                            </w:r>
                            <w:r>
                              <w:rPr/>
                              <w:t>. Conceptual model of phosphorous biogeochemistry in STA wetlands.</w:t>
                            </w:r>
                            <w:bookmarkEnd w:id="24"/>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150pt;width:467.95pt;height:275.95pt;mso-wrap-style:square;v-text-anchor:top;mso-position-horizontal:left;mso-position-horizontal-relative:margin" wp14:anchorId="6F0D15BA">
                <v:fill o:detectmouseclick="t" type="solid" color2="black"/>
                <v:stroke color="black" weight="9360" joinstyle="miter" endcap="flat"/>
                <v:textbox>
                  <w:txbxContent>
                    <w:p>
                      <w:pPr>
                        <w:pStyle w:val="FrameContents"/>
                        <w:rPr/>
                      </w:pPr>
                      <w:r>
                        <w:rPr/>
                        <w:drawing>
                          <wp:inline distT="0" distB="0" distL="0" distR="0">
                            <wp:extent cx="5749290" cy="2846070"/>
                            <wp:effectExtent l="0" t="0" r="0" b="0"/>
                            <wp:docPr id="22"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5" descr=""/>
                                    <pic:cNvPicPr>
                                      <a:picLocks noChangeAspect="1" noChangeArrowheads="1"/>
                                    </pic:cNvPicPr>
                                  </pic:nvPicPr>
                                  <pic:blipFill>
                                    <a:blip r:embed="rId23"/>
                                    <a:stretch>
                                      <a:fillRect/>
                                    </a:stretch>
                                  </pic:blipFill>
                                  <pic:spPr bwMode="auto">
                                    <a:xfrm>
                                      <a:off x="0" y="0"/>
                                      <a:ext cx="5749290" cy="2846070"/>
                                    </a:xfrm>
                                    <a:prstGeom prst="rect">
                                      <a:avLst/>
                                    </a:prstGeom>
                                  </pic:spPr>
                                </pic:pic>
                              </a:graphicData>
                            </a:graphic>
                          </wp:inline>
                        </w:drawing>
                      </w:r>
                    </w:p>
                    <w:p>
                      <w:pPr>
                        <w:pStyle w:val="Caption"/>
                        <w:widowControl/>
                        <w:bidi w:val="0"/>
                        <w:spacing w:lineRule="auto" w:line="276" w:before="0" w:after="60"/>
                        <w:jc w:val="center"/>
                        <w:rPr/>
                      </w:pPr>
                      <w:bookmarkStart w:id="25" w:name="_Toc181802643"/>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w:t>
                      </w:r>
                      <w:r>
                        <w:rPr/>
                        <w:fldChar w:fldCharType="end"/>
                      </w:r>
                      <w:r>
                        <w:rPr/>
                        <w:t>. Conceptual model of phosphorous biogeochemistry in STA wetlands.</w:t>
                      </w:r>
                      <w:bookmarkEnd w:id="25"/>
                    </w:p>
                  </w:txbxContent>
                </v:textbox>
                <w10:wrap type="square"/>
              </v:rect>
            </w:pict>
          </mc:Fallback>
        </mc:AlternateContent>
      </w:r>
      <w:r>
        <w:rPr>
          <w:color w:themeColor="text1" w:val="000000"/>
        </w:rPr>
        <w:t>(DIP</w:t>
      </w:r>
      <w:r>
        <w:rPr>
          <w:color w:themeColor="text1" w:val="000000"/>
          <w:vertAlign w:val="subscript"/>
        </w:rPr>
        <w:t>S</w:t>
      </w:r>
      <w:r>
        <w:rPr>
          <w:color w:themeColor="text1" w:val="000000"/>
        </w:rPr>
        <w:t>; g P m</w:t>
      </w:r>
      <w:r>
        <w:rPr>
          <w:color w:themeColor="text1" w:val="000000"/>
          <w:vertAlign w:val="superscript"/>
        </w:rPr>
        <w:t>-2</w:t>
      </w:r>
      <w:r>
        <w:rPr>
          <w:color w:themeColor="text1" w:val="000000"/>
        </w:rPr>
        <w:t>), and particulate inorganic P (PIP</w:t>
      </w:r>
      <w:r>
        <w:rPr>
          <w:color w:themeColor="text1" w:val="000000"/>
          <w:vertAlign w:val="subscript"/>
        </w:rPr>
        <w:t>S</w:t>
      </w:r>
      <w:r>
        <w:rPr>
          <w:color w:themeColor="text1" w:val="000000"/>
        </w:rPr>
        <w:t>; g P m</w:t>
      </w:r>
      <w:r>
        <w:rPr>
          <w:color w:themeColor="text1" w:val="000000"/>
          <w:vertAlign w:val="superscript"/>
        </w:rPr>
        <w:t>-2</w:t>
      </w:r>
      <w:r>
        <w:rPr>
          <w:color w:themeColor="text1" w:val="000000"/>
        </w:rPr>
        <w:t xml:space="preserve">; Figure 2-1). </w:t>
      </w:r>
    </w:p>
    <w:p>
      <w:pPr>
        <w:pStyle w:val="Normal"/>
        <w:rPr>
          <w:color w:themeColor="text1" w:val="000000"/>
        </w:rPr>
      </w:pPr>
      <w:r>
        <w:rPr>
          <w:color w:themeColor="text1" w:val="000000"/>
        </w:rPr>
      </w:r>
    </w:p>
    <w:p>
      <w:pPr>
        <w:pStyle w:val="Normal"/>
        <w:rPr>
          <w:color w:themeColor="text1" w:val="000000"/>
        </w:rPr>
      </w:pPr>
      <w:r>
        <w:rPr>
          <w:color w:themeColor="text1" w:val="000000"/>
        </w:rPr>
        <w:t>There were 19 fundamental biogeochemical processes (g P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xml:space="preserve"> or g P m</w:t>
      </w:r>
      <w:r>
        <w:rPr>
          <w:color w:themeColor="text1" w:val="000000"/>
          <w:vertAlign w:val="superscript"/>
        </w:rPr>
        <w:t>-2</w:t>
      </w:r>
      <w:r>
        <w:rPr>
          <w:color w:themeColor="text1" w:val="000000"/>
        </w:rPr>
        <w:t xml:space="preserve"> d</w:t>
      </w:r>
      <w:r>
        <w:rPr>
          <w:color w:themeColor="text1" w:val="000000"/>
          <w:vertAlign w:val="superscript"/>
        </w:rPr>
        <w:t>-1</w:t>
      </w:r>
      <w:r>
        <w:rPr>
          <w:color w:themeColor="text1" w:val="000000"/>
        </w:rPr>
        <w:t>) among the 15 P pools (Table 2-3). The gross production (g C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xml:space="preserve"> or g C m</w:t>
      </w:r>
      <w:r>
        <w:rPr>
          <w:color w:themeColor="text1" w:val="000000"/>
          <w:vertAlign w:val="superscript"/>
        </w:rPr>
        <w:t>-2</w:t>
      </w:r>
      <w:r>
        <w:rPr>
          <w:color w:themeColor="text1" w:val="000000"/>
        </w:rPr>
        <w:t xml:space="preserve"> d</w:t>
      </w:r>
      <w:r>
        <w:rPr>
          <w:color w:themeColor="text1" w:val="000000"/>
          <w:vertAlign w:val="superscript"/>
        </w:rPr>
        <w:t>-1</w:t>
      </w:r>
      <w:r>
        <w:rPr>
          <w:color w:themeColor="text1" w:val="000000"/>
        </w:rPr>
        <w:t xml:space="preserve">) by phytoplankton, periphyton, </w:t>
      </w:r>
      <w:r>
        <w:rPr>
          <w:i/>
          <w:iCs/>
          <w:color w:themeColor="text1" w:val="000000"/>
        </w:rPr>
        <w:t>Typha</w:t>
      </w:r>
      <w:r>
        <w:rPr>
          <w:color w:themeColor="text1" w:val="000000"/>
        </w:rPr>
        <w:t>, and SAV was offset by respiration, grazing, exudation, and loss (e.g. mortality). The loss terms for P</w:t>
      </w:r>
      <w:r>
        <w:rPr>
          <w:color w:themeColor="text1" w:val="000000"/>
          <w:vertAlign w:val="subscript"/>
        </w:rPr>
        <w:t>EAVSH</w:t>
      </w:r>
      <w:r>
        <w:rPr>
          <w:color w:themeColor="text1" w:val="000000"/>
        </w:rPr>
        <w:t xml:space="preserve"> and P</w:t>
      </w:r>
      <w:r>
        <w:rPr>
          <w:color w:themeColor="text1" w:val="000000"/>
          <w:vertAlign w:val="subscript"/>
        </w:rPr>
        <w:t>PERI</w:t>
      </w:r>
      <w:r>
        <w:rPr>
          <w:color w:themeColor="text1" w:val="000000"/>
        </w:rPr>
        <w:t xml:space="preserve"> represented sources of P</w:t>
      </w:r>
      <w:r>
        <w:rPr>
          <w:color w:themeColor="text1" w:val="000000"/>
          <w:vertAlign w:val="subscript"/>
        </w:rPr>
        <w:t>LITTER</w:t>
      </w:r>
      <w:r>
        <w:rPr>
          <w:color w:themeColor="text1" w:val="000000"/>
        </w:rPr>
        <w:t xml:space="preserve"> and P</w:t>
      </w:r>
      <w:r>
        <w:rPr>
          <w:color w:themeColor="text1" w:val="000000"/>
          <w:vertAlign w:val="subscript"/>
        </w:rPr>
        <w:t>FLOC</w:t>
      </w:r>
      <w:r>
        <w:rPr>
          <w:color w:themeColor="text1" w:val="000000"/>
        </w:rPr>
        <w:t>, respectively (Figure 2-1). The P lost through SAV mortality also contributed to P</w:t>
      </w:r>
      <w:r>
        <w:rPr>
          <w:color w:themeColor="text1" w:val="000000"/>
          <w:vertAlign w:val="subscript"/>
        </w:rPr>
        <w:t>LITTER</w:t>
      </w:r>
      <w:r>
        <w:rPr>
          <w:color w:themeColor="text1" w:val="000000"/>
        </w:rPr>
        <w:t xml:space="preserve"> which then decomposed to P</w:t>
      </w:r>
      <w:r>
        <w:rPr>
          <w:color w:themeColor="text1" w:val="000000"/>
          <w:vertAlign w:val="subscript"/>
        </w:rPr>
        <w:t>FLOC</w:t>
      </w:r>
      <w:r>
        <w:rPr>
          <w:color w:themeColor="text1" w:val="000000"/>
        </w:rPr>
        <w:t>. While POP</w:t>
      </w:r>
      <w:r>
        <w:rPr>
          <w:color w:themeColor="text1" w:val="000000"/>
          <w:vertAlign w:val="subscript"/>
        </w:rPr>
        <w:t>W</w:t>
      </w:r>
      <w:r>
        <w:rPr>
          <w:color w:themeColor="text1" w:val="000000"/>
        </w:rPr>
        <w:t xml:space="preserve"> sank downward to P</w:t>
      </w:r>
      <w:r>
        <w:rPr>
          <w:color w:themeColor="text1" w:val="000000"/>
          <w:vertAlign w:val="subscript"/>
        </w:rPr>
        <w:t>FLOC</w:t>
      </w:r>
      <w:r>
        <w:rPr>
          <w:color w:themeColor="text1" w:val="000000"/>
        </w:rPr>
        <w:t xml:space="preserve">, resuspension introduced the floc back into the water column particulate pool depending upon wind conditions. </w:t>
      </w:r>
    </w:p>
    <w:p>
      <w:pPr>
        <w:pStyle w:val="Normal"/>
        <w:spacing w:lineRule="auto" w:line="240" w:before="0" w:after="0"/>
        <w:jc w:val="left"/>
        <w:rPr>
          <w:b/>
          <w:color w:themeColor="text1" w:val="000000"/>
          <w:sz w:val="20"/>
        </w:rPr>
      </w:pPr>
      <w:r>
        <w:rPr>
          <w:b/>
          <w:color w:themeColor="text1" w:val="000000"/>
          <w:sz w:val="20"/>
        </w:rPr>
      </w:r>
      <w:r>
        <w:br w:type="page"/>
      </w:r>
    </w:p>
    <w:p>
      <w:pPr>
        <w:pStyle w:val="Caption"/>
        <w:spacing w:lineRule="auto" w:line="240" w:before="0" w:after="60"/>
        <w:rPr>
          <w:color w:themeColor="text1" w:val="000000"/>
        </w:rPr>
      </w:pPr>
      <w:bookmarkStart w:id="26" w:name="_Toc182250911"/>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2</w:t>
      </w:r>
      <w:r>
        <w:rPr>
          <w:color w:themeColor="text1" w:val="000000"/>
        </w:rPr>
        <w:fldChar w:fldCharType="end"/>
      </w:r>
      <w:r>
        <w:rPr>
          <w:color w:themeColor="text1" w:val="000000"/>
        </w:rPr>
        <w:t>. Phosphorus pools in the STA Biogeochemical Model.</w:t>
      </w:r>
      <w:bookmarkEnd w:id="26"/>
    </w:p>
    <w:tbl>
      <w:tblPr>
        <w:tblW w:w="9070" w:type="dxa"/>
        <w:jc w:val="left"/>
        <w:tblInd w:w="0" w:type="dxa"/>
        <w:tblLayout w:type="fixed"/>
        <w:tblCellMar>
          <w:top w:w="15" w:type="dxa"/>
          <w:left w:w="108" w:type="dxa"/>
          <w:bottom w:w="0" w:type="dxa"/>
          <w:right w:w="108" w:type="dxa"/>
        </w:tblCellMar>
        <w:tblLook w:val="04a0" w:noHBand="0" w:noVBand="1" w:firstColumn="1" w:lastRow="0" w:lastColumn="0" w:firstRow="1"/>
      </w:tblPr>
      <w:tblGrid>
        <w:gridCol w:w="1080"/>
        <w:gridCol w:w="1620"/>
        <w:gridCol w:w="4949"/>
        <w:gridCol w:w="1420"/>
      </w:tblGrid>
      <w:tr>
        <w:trPr>
          <w:trHeight w:val="342" w:hRule="atLeast"/>
        </w:trPr>
        <w:tc>
          <w:tcPr>
            <w:tcW w:w="1080"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Number</w:t>
            </w:r>
          </w:p>
        </w:tc>
        <w:tc>
          <w:tcPr>
            <w:tcW w:w="1620"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Abbreviation</w:t>
            </w:r>
          </w:p>
        </w:tc>
        <w:tc>
          <w:tcPr>
            <w:tcW w:w="4949"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b/>
                <w:bCs/>
                <w:color w:themeColor="text1" w:val="000000"/>
                <w:kern w:val="2"/>
                <w:szCs w:val="22"/>
              </w:rPr>
              <w:t>Definition</w:t>
            </w:r>
          </w:p>
        </w:tc>
        <w:tc>
          <w:tcPr>
            <w:tcW w:w="1420" w:type="dxa"/>
            <w:tcBorders>
              <w:top w:val="single" w:sz="8" w:space="0" w:color="080000"/>
              <w:bottom w:val="single" w:sz="8" w:space="0" w:color="080000"/>
            </w:tcBorders>
            <w:shd w:color="auto" w:fill="auto" w:val="clear"/>
          </w:tcPr>
          <w:p>
            <w:pPr>
              <w:pStyle w:val="Normal"/>
              <w:spacing w:lineRule="auto" w:line="240" w:before="0" w:after="0"/>
              <w:jc w:val="left"/>
              <w:rPr>
                <w:rFonts w:ascii="Arial" w:hAnsi="Arial" w:cs="Arial"/>
                <w:color w:themeColor="text1" w:val="000000"/>
                <w:szCs w:val="22"/>
              </w:rPr>
            </w:pPr>
            <w:r>
              <w:rPr>
                <w:rFonts w:ascii="Times New Roman" w:hAnsi="Times New Roman"/>
                <w:b/>
                <w:bCs/>
                <w:color w:themeColor="text1" w:val="000000"/>
                <w:kern w:val="2"/>
                <w:szCs w:val="22"/>
              </w:rPr>
              <w:t>Units</w:t>
            </w:r>
          </w:p>
        </w:tc>
      </w:tr>
      <w:tr>
        <w:trPr>
          <w:trHeight w:val="342" w:hRule="atLeast"/>
        </w:trPr>
        <w:tc>
          <w:tcPr>
            <w:tcW w:w="1080"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1</w:t>
            </w:r>
          </w:p>
        </w:tc>
        <w:tc>
          <w:tcPr>
            <w:tcW w:w="1620"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w:t>
            </w:r>
            <w:r>
              <w:rPr>
                <w:rFonts w:ascii="Times New Roman" w:hAnsi="Times New Roman"/>
                <w:color w:themeColor="text1" w:val="000000"/>
                <w:kern w:val="2"/>
                <w:position w:val="-7"/>
                <w:szCs w:val="22"/>
              </w:rPr>
              <w:t>PHYTO</w:t>
            </w:r>
          </w:p>
        </w:tc>
        <w:tc>
          <w:tcPr>
            <w:tcW w:w="4949"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organic P in phytoplankton</w:t>
            </w:r>
          </w:p>
        </w:tc>
        <w:tc>
          <w:tcPr>
            <w:tcW w:w="1420"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2</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w:t>
            </w:r>
            <w:r>
              <w:rPr>
                <w:rFonts w:ascii="Times New Roman" w:hAnsi="Times New Roman"/>
                <w:color w:themeColor="text1" w:val="000000"/>
                <w:kern w:val="2"/>
                <w:position w:val="-7"/>
                <w:szCs w:val="22"/>
              </w:rPr>
              <w:t>PERI</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organic P in periphyton</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3</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w:t>
            </w:r>
            <w:r>
              <w:rPr>
                <w:rFonts w:ascii="Times New Roman" w:hAnsi="Times New Roman"/>
                <w:color w:themeColor="text1" w:val="000000"/>
                <w:kern w:val="2"/>
                <w:position w:val="-7"/>
                <w:szCs w:val="22"/>
              </w:rPr>
              <w:t>SH</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organic P in EAV shoots</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4</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w:t>
            </w:r>
            <w:r>
              <w:rPr>
                <w:rFonts w:ascii="Times New Roman" w:hAnsi="Times New Roman"/>
                <w:color w:themeColor="text1" w:val="000000"/>
                <w:kern w:val="2"/>
                <w:position w:val="-7"/>
                <w:szCs w:val="22"/>
              </w:rPr>
              <w:t>RR</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organic P in EAV root-rhizomes</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5</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w:t>
            </w:r>
            <w:r>
              <w:rPr>
                <w:rFonts w:ascii="Times New Roman" w:hAnsi="Times New Roman"/>
                <w:color w:themeColor="text1" w:val="000000"/>
                <w:kern w:val="2"/>
                <w:position w:val="-7"/>
                <w:szCs w:val="22"/>
              </w:rPr>
              <w:t>LITTER</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organic P in surface soil litter</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6</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w:t>
            </w:r>
            <w:r>
              <w:rPr>
                <w:rFonts w:ascii="Times New Roman" w:hAnsi="Times New Roman"/>
                <w:color w:themeColor="text1" w:val="000000"/>
                <w:kern w:val="2"/>
                <w:position w:val="-7"/>
                <w:szCs w:val="22"/>
              </w:rPr>
              <w:t>FLOC</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P in surface soil floc</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7</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w:t>
            </w:r>
            <w:r>
              <w:rPr>
                <w:rFonts w:ascii="Times New Roman" w:hAnsi="Times New Roman"/>
                <w:color w:themeColor="text1" w:val="000000"/>
                <w:kern w:val="2"/>
                <w:position w:val="-7"/>
                <w:szCs w:val="22"/>
              </w:rPr>
              <w:t>SAV</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P in SAV shoots</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8</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POP</w:t>
            </w:r>
            <w:r>
              <w:rPr>
                <w:rFonts w:ascii="Times New Roman" w:hAnsi="Times New Roman"/>
                <w:color w:themeColor="text1" w:val="000000"/>
                <w:kern w:val="2"/>
                <w:position w:val="-7"/>
                <w:szCs w:val="22"/>
              </w:rPr>
              <w:t>S</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organic P in soil</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9</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DOP</w:t>
            </w:r>
            <w:r>
              <w:rPr>
                <w:rFonts w:ascii="Times New Roman" w:hAnsi="Times New Roman"/>
                <w:color w:themeColor="text1" w:val="000000"/>
                <w:kern w:val="2"/>
                <w:position w:val="-7"/>
                <w:szCs w:val="22"/>
              </w:rPr>
              <w:t>S</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Dissolved organic P in soil</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10</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DIP</w:t>
            </w:r>
            <w:r>
              <w:rPr>
                <w:rFonts w:ascii="Times New Roman" w:hAnsi="Times New Roman"/>
                <w:color w:themeColor="text1" w:val="000000"/>
                <w:kern w:val="2"/>
                <w:position w:val="-7"/>
                <w:szCs w:val="22"/>
              </w:rPr>
              <w:t>S</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Dissolved inorganic P in soil</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11</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PIP</w:t>
            </w:r>
            <w:r>
              <w:rPr>
                <w:rFonts w:ascii="Times New Roman" w:hAnsi="Times New Roman"/>
                <w:color w:themeColor="text1" w:val="000000"/>
                <w:kern w:val="2"/>
                <w:position w:val="-7"/>
                <w:szCs w:val="22"/>
              </w:rPr>
              <w:t>S</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inorganic P in soil</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-2</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12</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POP</w:t>
            </w:r>
            <w:r>
              <w:rPr>
                <w:rFonts w:ascii="Times New Roman" w:hAnsi="Times New Roman"/>
                <w:color w:themeColor="text1" w:val="000000"/>
                <w:kern w:val="2"/>
                <w:position w:val="-7"/>
                <w:szCs w:val="22"/>
              </w:rPr>
              <w:t>W</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organic P in water column</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-3</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13</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DOP</w:t>
            </w:r>
            <w:r>
              <w:rPr>
                <w:rFonts w:ascii="Times New Roman" w:hAnsi="Times New Roman"/>
                <w:color w:themeColor="text1" w:val="000000"/>
                <w:kern w:val="2"/>
                <w:position w:val="-7"/>
                <w:szCs w:val="22"/>
              </w:rPr>
              <w:t>W</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Dissolved organic P in water column</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-3</w:t>
            </w:r>
          </w:p>
        </w:tc>
      </w:tr>
      <w:tr>
        <w:trPr>
          <w:trHeight w:val="342" w:hRule="atLeast"/>
        </w:trPr>
        <w:tc>
          <w:tcPr>
            <w:tcW w:w="10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14</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DIP</w:t>
            </w:r>
            <w:r>
              <w:rPr>
                <w:rFonts w:ascii="Times New Roman" w:hAnsi="Times New Roman"/>
                <w:color w:themeColor="text1" w:val="000000"/>
                <w:kern w:val="2"/>
                <w:position w:val="-7"/>
                <w:szCs w:val="22"/>
              </w:rPr>
              <w:t>W</w:t>
            </w:r>
          </w:p>
        </w:tc>
        <w:tc>
          <w:tcPr>
            <w:tcW w:w="4949"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Dissolved inorganic P in water column</w:t>
            </w:r>
          </w:p>
        </w:tc>
        <w:tc>
          <w:tcPr>
            <w:tcW w:w="14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-3</w:t>
            </w:r>
          </w:p>
        </w:tc>
      </w:tr>
      <w:tr>
        <w:trPr>
          <w:trHeight w:val="342" w:hRule="atLeast"/>
        </w:trPr>
        <w:tc>
          <w:tcPr>
            <w:tcW w:w="1080" w:type="dxa"/>
            <w:tcBorders>
              <w:bottom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b/>
                <w:bCs/>
                <w:color w:themeColor="text1" w:val="000000"/>
                <w:kern w:val="2"/>
                <w:szCs w:val="22"/>
              </w:rPr>
              <w:t>15</w:t>
            </w:r>
          </w:p>
        </w:tc>
        <w:tc>
          <w:tcPr>
            <w:tcW w:w="1620" w:type="dxa"/>
            <w:tcBorders>
              <w:bottom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PIP</w:t>
            </w:r>
            <w:r>
              <w:rPr>
                <w:rFonts w:ascii="Times New Roman" w:hAnsi="Times New Roman"/>
                <w:color w:themeColor="text1" w:val="000000"/>
                <w:kern w:val="2"/>
                <w:position w:val="-7"/>
                <w:szCs w:val="22"/>
              </w:rPr>
              <w:t>W</w:t>
            </w:r>
          </w:p>
        </w:tc>
        <w:tc>
          <w:tcPr>
            <w:tcW w:w="4949" w:type="dxa"/>
            <w:tcBorders>
              <w:bottom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Particulate inorganic P in water column</w:t>
            </w:r>
          </w:p>
        </w:tc>
        <w:tc>
          <w:tcPr>
            <w:tcW w:w="1420" w:type="dxa"/>
            <w:tcBorders>
              <w:bottom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8"/>
                <w:szCs w:val="22"/>
              </w:rPr>
              <w:t>-3</w:t>
            </w:r>
          </w:p>
        </w:tc>
      </w:tr>
    </w:tbl>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t>The decomposition of P</w:t>
      </w:r>
      <w:r>
        <w:rPr>
          <w:color w:themeColor="text1" w:val="000000"/>
          <w:vertAlign w:val="subscript"/>
        </w:rPr>
        <w:t>FLOC</w:t>
      </w:r>
      <w:r>
        <w:rPr>
          <w:color w:themeColor="text1" w:val="000000"/>
        </w:rPr>
        <w:t xml:space="preserve"> and the loss term for P</w:t>
      </w:r>
      <w:r>
        <w:rPr>
          <w:color w:themeColor="text1" w:val="000000"/>
          <w:vertAlign w:val="subscript"/>
        </w:rPr>
        <w:t>EAVRR</w:t>
      </w:r>
      <w:r>
        <w:rPr>
          <w:color w:themeColor="text1" w:val="000000"/>
        </w:rPr>
        <w:t xml:space="preserve"> were the sources of POP</w:t>
      </w:r>
      <w:r>
        <w:rPr>
          <w:color w:themeColor="text1" w:val="000000"/>
          <w:vertAlign w:val="subscript"/>
        </w:rPr>
        <w:t>S</w:t>
      </w:r>
      <w:r>
        <w:rPr>
          <w:color w:themeColor="text1" w:val="000000"/>
        </w:rPr>
        <w:t>. Deposition (e.g. burial) provided a major loss pathway for POP</w:t>
      </w:r>
      <w:r>
        <w:rPr>
          <w:color w:themeColor="text1" w:val="000000"/>
          <w:vertAlign w:val="subscript"/>
        </w:rPr>
        <w:t>S</w:t>
      </w:r>
      <w:r>
        <w:rPr>
          <w:color w:themeColor="text1" w:val="000000"/>
        </w:rPr>
        <w:t>. The hydrolysis POP to DOP and remineralizaion of DOP to DIP occurred in both the soil and water column. Exudation by periphyton, phytoplankton, and SAV contributed to DOP</w:t>
      </w:r>
      <w:r>
        <w:rPr>
          <w:color w:themeColor="text1" w:val="000000"/>
          <w:vertAlign w:val="subscript"/>
        </w:rPr>
        <w:t>W</w:t>
      </w:r>
      <w:r>
        <w:rPr>
          <w:color w:themeColor="text1" w:val="000000"/>
        </w:rPr>
        <w:t>. The diffusive efflux from DOPS and photolysis of DOP</w:t>
      </w:r>
      <w:r>
        <w:rPr>
          <w:color w:themeColor="text1" w:val="000000"/>
          <w:vertAlign w:val="subscript"/>
        </w:rPr>
        <w:t>W</w:t>
      </w:r>
      <w:r>
        <w:rPr>
          <w:color w:themeColor="text1" w:val="000000"/>
        </w:rPr>
        <w:t xml:space="preserve"> were additional sources of DIP</w:t>
      </w:r>
      <w:r>
        <w:rPr>
          <w:color w:themeColor="text1" w:val="000000"/>
          <w:vertAlign w:val="subscript"/>
        </w:rPr>
        <w:t>W</w:t>
      </w:r>
      <w:r>
        <w:rPr>
          <w:color w:themeColor="text1" w:val="000000"/>
        </w:rPr>
        <w:t>. Sorption and desorption represented the chemical cycling between DIP and PIP in the soil and water. The sinking of PIP</w:t>
      </w:r>
      <w:r>
        <w:rPr>
          <w:color w:themeColor="text1" w:val="000000"/>
          <w:vertAlign w:val="subscript"/>
        </w:rPr>
        <w:t>W</w:t>
      </w:r>
      <w:r>
        <w:rPr>
          <w:color w:themeColor="text1" w:val="000000"/>
        </w:rPr>
        <w:t xml:space="preserve"> was a primary source of PIP</w:t>
      </w:r>
      <w:r>
        <w:rPr>
          <w:color w:themeColor="text1" w:val="000000"/>
          <w:vertAlign w:val="subscript"/>
        </w:rPr>
        <w:t>S</w:t>
      </w:r>
      <w:r>
        <w:rPr>
          <w:color w:themeColor="text1" w:val="000000"/>
        </w:rPr>
        <w:t>. The diffusive efflux of DIP</w:t>
      </w:r>
      <w:r>
        <w:rPr>
          <w:color w:themeColor="text1" w:val="000000"/>
          <w:vertAlign w:val="subscript"/>
        </w:rPr>
        <w:t>S</w:t>
      </w:r>
      <w:r>
        <w:rPr>
          <w:color w:themeColor="text1" w:val="000000"/>
        </w:rPr>
        <w:t xml:space="preserve"> was among multiple sources of DIP</w:t>
      </w:r>
      <w:r>
        <w:rPr>
          <w:color w:themeColor="text1" w:val="000000"/>
          <w:vertAlign w:val="subscript"/>
        </w:rPr>
        <w:t>W</w:t>
      </w:r>
      <w:r>
        <w:rPr>
          <w:color w:themeColor="text1" w:val="000000"/>
        </w:rPr>
        <w:t xml:space="preserve"> including remineralization, photolysis, respiration, and grazing. Uptake by the primary producers (periphyton, phytoplankton, SAV) and co-precipitation were loss pathways for DIP</w:t>
      </w:r>
      <w:r>
        <w:rPr>
          <w:color w:themeColor="text1" w:val="000000"/>
          <w:vertAlign w:val="subscript"/>
        </w:rPr>
        <w:t>W</w:t>
      </w:r>
      <w:r>
        <w:rPr>
          <w:color w:themeColor="text1" w:val="000000"/>
        </w:rPr>
        <w:t xml:space="preserve"> (Figure 2-1). </w:t>
      </w:r>
    </w:p>
    <w:p>
      <w:pPr>
        <w:pStyle w:val="Normal"/>
        <w:spacing w:lineRule="auto" w:line="240" w:before="0" w:after="0"/>
        <w:jc w:val="left"/>
        <w:rPr>
          <w:color w:themeColor="text1" w:val="000000"/>
        </w:rPr>
      </w:pPr>
      <w:r>
        <w:rPr>
          <w:color w:themeColor="text1" w:val="000000"/>
        </w:rPr>
      </w:r>
      <w:r>
        <w:br w:type="page"/>
      </w:r>
    </w:p>
    <w:p>
      <w:pPr>
        <w:pStyle w:val="Caption"/>
        <w:spacing w:lineRule="auto" w:line="240" w:before="0" w:after="60"/>
        <w:rPr>
          <w:color w:themeColor="text1" w:val="000000"/>
        </w:rPr>
      </w:pPr>
      <w:bookmarkStart w:id="27" w:name="_Hlk170390641"/>
      <w:bookmarkStart w:id="28" w:name="_Toc182250912"/>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3</w:t>
      </w:r>
      <w:r>
        <w:rPr>
          <w:color w:themeColor="text1" w:val="000000"/>
        </w:rPr>
        <w:fldChar w:fldCharType="end"/>
      </w:r>
      <w:r>
        <w:rPr>
          <w:color w:themeColor="text1" w:val="000000"/>
        </w:rPr>
        <w:t>. List of Processes in the STA Biogeochemical Model.</w:t>
      </w:r>
      <w:bookmarkEnd w:id="27"/>
      <w:bookmarkEnd w:id="28"/>
    </w:p>
    <w:tbl>
      <w:tblPr>
        <w:tblW w:w="9180" w:type="dxa"/>
        <w:jc w:val="left"/>
        <w:tblInd w:w="0" w:type="dxa"/>
        <w:tblLayout w:type="fixed"/>
        <w:tblCellMar>
          <w:top w:w="15" w:type="dxa"/>
          <w:left w:w="108" w:type="dxa"/>
          <w:bottom w:w="0" w:type="dxa"/>
          <w:right w:w="108" w:type="dxa"/>
        </w:tblCellMar>
        <w:tblLook w:val="04a0" w:noHBand="0" w:noVBand="1" w:firstColumn="1" w:lastRow="0" w:lastColumn="0" w:firstRow="1"/>
      </w:tblPr>
      <w:tblGrid>
        <w:gridCol w:w="1980"/>
        <w:gridCol w:w="1101"/>
        <w:gridCol w:w="4478"/>
        <w:gridCol w:w="1620"/>
      </w:tblGrid>
      <w:tr>
        <w:trPr>
          <w:trHeight w:val="384" w:hRule="atLeast"/>
        </w:trPr>
        <w:tc>
          <w:tcPr>
            <w:tcW w:w="1980"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Process</w:t>
            </w:r>
          </w:p>
        </w:tc>
        <w:tc>
          <w:tcPr>
            <w:tcW w:w="1101"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Symbol</w:t>
            </w:r>
          </w:p>
        </w:tc>
        <w:tc>
          <w:tcPr>
            <w:tcW w:w="4478"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Description</w:t>
            </w:r>
          </w:p>
        </w:tc>
        <w:tc>
          <w:tcPr>
            <w:tcW w:w="1620" w:type="dxa"/>
            <w:tcBorders>
              <w:top w:val="single" w:sz="8" w:space="0" w:color="080000"/>
              <w:bottom w:val="single" w:sz="8" w:space="0" w:color="080000"/>
            </w:tcBorders>
            <w:shd w:color="auto" w:fill="auto" w:val="clear"/>
          </w:tcPr>
          <w:p>
            <w:pPr>
              <w:pStyle w:val="Normal"/>
              <w:spacing w:lineRule="auto" w:line="240" w:before="0" w:after="0"/>
              <w:jc w:val="center"/>
              <w:rPr>
                <w:rFonts w:ascii="Arial" w:hAnsi="Arial" w:cs="Arial"/>
                <w:color w:themeColor="text1" w:val="000000"/>
                <w:szCs w:val="22"/>
              </w:rPr>
            </w:pPr>
            <w:r>
              <w:rPr>
                <w:rFonts w:ascii="Times New Roman" w:hAnsi="Times New Roman"/>
                <w:color w:themeColor="text1" w:val="000000"/>
                <w:kern w:val="2"/>
                <w:szCs w:val="22"/>
              </w:rPr>
              <w:t>Units</w:t>
            </w:r>
          </w:p>
        </w:tc>
      </w:tr>
      <w:tr>
        <w:trPr>
          <w:trHeight w:val="331" w:hRule="atLeast"/>
        </w:trPr>
        <w:tc>
          <w:tcPr>
            <w:tcW w:w="1980"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Gross Production</w:t>
            </w:r>
          </w:p>
        </w:tc>
        <w:tc>
          <w:tcPr>
            <w:tcW w:w="1101"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GPP</w:t>
            </w:r>
          </w:p>
        </w:tc>
        <w:tc>
          <w:tcPr>
            <w:tcW w:w="4478"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 xml:space="preserve">Gross primary production by </w:t>
            </w:r>
            <w:r>
              <w:rPr>
                <w:rFonts w:ascii="Times New Roman" w:hAnsi="Times New Roman"/>
                <w:i/>
                <w:iCs/>
                <w:color w:themeColor="text1" w:val="000000"/>
                <w:kern w:val="2"/>
                <w:szCs w:val="22"/>
              </w:rPr>
              <w:t>Typha</w:t>
            </w:r>
            <w:r>
              <w:rPr>
                <w:rFonts w:ascii="Times New Roman" w:hAnsi="Times New Roman"/>
                <w:color w:themeColor="text1" w:val="000000"/>
                <w:kern w:val="2"/>
                <w:szCs w:val="22"/>
              </w:rPr>
              <w:t>, periphyton, and phytoplankton</w:t>
            </w:r>
          </w:p>
        </w:tc>
        <w:tc>
          <w:tcPr>
            <w:tcW w:w="1620"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2"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Respiration</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R</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 xml:space="preserve">Respiration by </w:t>
            </w:r>
            <w:r>
              <w:rPr>
                <w:rFonts w:ascii="Times New Roman" w:hAnsi="Times New Roman"/>
                <w:i/>
                <w:iCs/>
                <w:color w:themeColor="text1" w:val="000000"/>
                <w:kern w:val="2"/>
                <w:szCs w:val="22"/>
              </w:rPr>
              <w:t>Typha</w:t>
            </w:r>
            <w:r>
              <w:rPr>
                <w:rFonts w:ascii="Times New Roman" w:hAnsi="Times New Roman"/>
                <w:color w:themeColor="text1" w:val="000000"/>
                <w:kern w:val="2"/>
                <w:szCs w:val="22"/>
              </w:rPr>
              <w:t>, periphyton, and phytoplankton</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Loss</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L</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 xml:space="preserve">Loss of </w:t>
            </w:r>
            <w:r>
              <w:rPr>
                <w:rFonts w:ascii="Times New Roman" w:hAnsi="Times New Roman"/>
                <w:i/>
                <w:iCs/>
                <w:color w:themeColor="text1" w:val="000000"/>
                <w:kern w:val="2"/>
                <w:szCs w:val="22"/>
              </w:rPr>
              <w:t>Typha</w:t>
            </w:r>
            <w:r>
              <w:rPr>
                <w:rFonts w:ascii="Times New Roman" w:hAnsi="Times New Roman"/>
                <w:color w:themeColor="text1" w:val="000000"/>
                <w:kern w:val="2"/>
                <w:szCs w:val="22"/>
              </w:rPr>
              <w:t>, periphyton, and phytoplankton POP to mortality</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Translocation</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TRS</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Internal translocation of POP between shoots and root-rhizomes</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Grazing</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GZ</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Loss of SAV, periphyton, and phytoplankton POP to herbivorous grazing</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bottom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Exudation</w:t>
            </w:r>
          </w:p>
        </w:tc>
        <w:tc>
          <w:tcPr>
            <w:tcW w:w="1101" w:type="dxa"/>
            <w:tcBorders>
              <w:bottom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EXU</w:t>
            </w:r>
          </w:p>
        </w:tc>
        <w:tc>
          <w:tcPr>
            <w:tcW w:w="4478" w:type="dxa"/>
            <w:tcBorders>
              <w:bottom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Loss of periphyton, and phytoplankton POP to DOP in the water column</w:t>
            </w:r>
          </w:p>
        </w:tc>
        <w:tc>
          <w:tcPr>
            <w:tcW w:w="1620" w:type="dxa"/>
            <w:tcBorders>
              <w:bottom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C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top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Uptake</w:t>
            </w:r>
          </w:p>
        </w:tc>
        <w:tc>
          <w:tcPr>
            <w:tcW w:w="1101" w:type="dxa"/>
            <w:tcBorders>
              <w:top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UP</w:t>
            </w:r>
          </w:p>
        </w:tc>
        <w:tc>
          <w:tcPr>
            <w:tcW w:w="4478" w:type="dxa"/>
            <w:tcBorders>
              <w:top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 xml:space="preserve">Uptake of DIP from water or soil by </w:t>
            </w:r>
            <w:r>
              <w:rPr>
                <w:rFonts w:ascii="Times New Roman" w:hAnsi="Times New Roman"/>
                <w:i/>
                <w:iCs/>
                <w:color w:themeColor="text1" w:val="000000"/>
                <w:kern w:val="2"/>
                <w:szCs w:val="22"/>
              </w:rPr>
              <w:t>Typha</w:t>
            </w:r>
            <w:r>
              <w:rPr>
                <w:rFonts w:ascii="Times New Roman" w:hAnsi="Times New Roman"/>
                <w:color w:themeColor="text1" w:val="000000"/>
                <w:kern w:val="2"/>
                <w:szCs w:val="22"/>
              </w:rPr>
              <w:t>, periphyton, and phytoplankton</w:t>
            </w:r>
          </w:p>
        </w:tc>
        <w:tc>
          <w:tcPr>
            <w:tcW w:w="1620" w:type="dxa"/>
            <w:tcBorders>
              <w:top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Precipitation</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PRC</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Co-precipitation of DIP to PIP due to daytime gross production</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Excretion</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EXC</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Input to water column DIP via excretion by herbivores</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bottom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Resuspension</w:t>
            </w:r>
          </w:p>
        </w:tc>
        <w:tc>
          <w:tcPr>
            <w:tcW w:w="1101" w:type="dxa"/>
            <w:tcBorders>
              <w:bottom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RES</w:t>
            </w:r>
          </w:p>
        </w:tc>
        <w:tc>
          <w:tcPr>
            <w:tcW w:w="4478" w:type="dxa"/>
            <w:tcBorders>
              <w:bottom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Physical transport of POP and DIP from the soil to the water column</w:t>
            </w:r>
          </w:p>
        </w:tc>
        <w:tc>
          <w:tcPr>
            <w:tcW w:w="1620" w:type="dxa"/>
            <w:tcBorders>
              <w:bottom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Production</w:t>
            </w:r>
          </w:p>
        </w:tc>
        <w:tc>
          <w:tcPr>
            <w:tcW w:w="1101"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PRD</w:t>
            </w:r>
          </w:p>
        </w:tc>
        <w:tc>
          <w:tcPr>
            <w:tcW w:w="4478"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Production term for water and soil P pools</w:t>
            </w:r>
          </w:p>
        </w:tc>
        <w:tc>
          <w:tcPr>
            <w:tcW w:w="1620" w:type="dxa"/>
            <w:tcBorders>
              <w:top w:val="single" w:sz="8" w:space="0" w:color="08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Sinking</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SNK</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Sinking of POP from the water column to the soil</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Hydrolysis</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HYD</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Conversion of POP to DOP in the water column and soil via microbial decomposition</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Photolysis</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PHT</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Conversion of DOP to DIP in the water column and soil via photodegradation</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Remineralization</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REM</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Conversion of DOP to DIP in the water column and soil via microbial decomposition</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Soil-water Exchange</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SWX</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Movement of DIP and DOP between the soil and water column</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Sorption</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SB</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Loss of water column DIP to PIP pool via binding with inorganic Ca particles</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Desorption</w:t>
            </w:r>
          </w:p>
        </w:tc>
        <w:tc>
          <w:tcPr>
            <w:tcW w:w="1101"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DSB</w:t>
            </w:r>
          </w:p>
        </w:tc>
        <w:tc>
          <w:tcPr>
            <w:tcW w:w="4478"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Input to water column DIP from PIP pool via disassociation from inorganic Ca particles</w:t>
            </w:r>
          </w:p>
        </w:tc>
        <w:tc>
          <w:tcPr>
            <w:tcW w:w="1620" w:type="dxa"/>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r>
        <w:trPr>
          <w:trHeight w:val="331" w:hRule="atLeast"/>
        </w:trPr>
        <w:tc>
          <w:tcPr>
            <w:tcW w:w="1980" w:type="dxa"/>
            <w:tcBorders>
              <w:bottom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Deposition</w:t>
            </w:r>
          </w:p>
        </w:tc>
        <w:tc>
          <w:tcPr>
            <w:tcW w:w="1101" w:type="dxa"/>
            <w:tcBorders>
              <w:bottom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DEP</w:t>
            </w:r>
          </w:p>
        </w:tc>
        <w:tc>
          <w:tcPr>
            <w:tcW w:w="4478" w:type="dxa"/>
            <w:tcBorders>
              <w:bottom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Loss of POP in soil and PIP at the soil-water interface to long-term wetland elevation</w:t>
            </w:r>
          </w:p>
        </w:tc>
        <w:tc>
          <w:tcPr>
            <w:tcW w:w="1620" w:type="dxa"/>
            <w:tcBorders>
              <w:bottom w:val="single" w:sz="8" w:space="0" w:color="000000"/>
            </w:tcBorders>
            <w:shd w:color="auto" w:fill="auto" w:val="clear"/>
          </w:tcPr>
          <w:p>
            <w:pPr>
              <w:pStyle w:val="Normal"/>
              <w:spacing w:lineRule="auto" w:line="240" w:before="0" w:after="120"/>
              <w:jc w:val="center"/>
              <w:rPr>
                <w:rFonts w:ascii="Arial" w:hAnsi="Arial" w:cs="Arial"/>
                <w:color w:themeColor="text1" w:val="000000"/>
                <w:szCs w:val="22"/>
              </w:rPr>
            </w:pPr>
            <w:r>
              <w:rPr>
                <w:rFonts w:ascii="Times New Roman" w:hAnsi="Times New Roman"/>
                <w:color w:themeColor="text1" w:val="000000"/>
                <w:kern w:val="2"/>
                <w:szCs w:val="22"/>
              </w:rPr>
              <w:t>g P m</w:t>
            </w:r>
            <w:r>
              <w:rPr>
                <w:rFonts w:ascii="Times New Roman" w:hAnsi="Times New Roman"/>
                <w:color w:themeColor="text1" w:val="000000"/>
                <w:kern w:val="2"/>
                <w:position w:val="7"/>
                <w:szCs w:val="22"/>
              </w:rPr>
              <w:t>-2</w:t>
            </w:r>
            <w:r>
              <w:rPr>
                <w:rFonts w:ascii="Times New Roman" w:hAnsi="Times New Roman"/>
                <w:color w:themeColor="text1" w:val="000000"/>
                <w:kern w:val="2"/>
                <w:szCs w:val="22"/>
              </w:rPr>
              <w:t>d</w:t>
            </w:r>
            <w:r>
              <w:rPr>
                <w:rFonts w:ascii="Times New Roman" w:hAnsi="Times New Roman"/>
                <w:color w:themeColor="text1" w:val="000000"/>
                <w:kern w:val="2"/>
                <w:position w:val="7"/>
                <w:szCs w:val="22"/>
              </w:rPr>
              <w:t>-1</w:t>
            </w:r>
          </w:p>
        </w:tc>
      </w:tr>
    </w:tbl>
    <w:p>
      <w:pPr>
        <w:pStyle w:val="Heading2"/>
        <w:ind w:hanging="576" w:left="540"/>
        <w:rPr/>
      </w:pPr>
      <w:bookmarkStart w:id="29" w:name="_Toc182252498"/>
      <w:r>
        <w:rPr/>
        <w:t>Phase II Model Development</w:t>
      </w:r>
      <w:bookmarkEnd w:id="29"/>
    </w:p>
    <w:p>
      <w:pPr>
        <w:pStyle w:val="Heading3"/>
        <w:rPr>
          <w:color w:themeColor="text1" w:val="000000"/>
        </w:rPr>
      </w:pPr>
      <w:bookmarkStart w:id="30" w:name="_Toc182252499"/>
      <w:r>
        <w:rPr>
          <w:color w:themeColor="text1" w:val="000000"/>
        </w:rPr>
        <w:t>Study Site and Model Design</w:t>
      </w:r>
      <w:bookmarkEnd w:id="30"/>
    </w:p>
    <w:p>
      <w:pPr>
        <w:pStyle w:val="Normal"/>
        <w:rPr>
          <w:color w:themeColor="text1" w:val="000000"/>
        </w:rPr>
      </w:pPr>
      <w:r>
        <mc:AlternateContent>
          <mc:Choice Requires="wps">
            <w:drawing>
              <wp:anchor behindDoc="0" distT="40640" distB="52070" distL="0" distR="128270" simplePos="0" locked="0" layoutInCell="0" allowOverlap="1" relativeHeight="28" wp14:anchorId="0AED4B68">
                <wp:simplePos x="0" y="0"/>
                <wp:positionH relativeFrom="margin">
                  <wp:align>left</wp:align>
                </wp:positionH>
                <wp:positionV relativeFrom="paragraph">
                  <wp:posOffset>1810385</wp:posOffset>
                </wp:positionV>
                <wp:extent cx="5943600" cy="5836920"/>
                <wp:effectExtent l="0" t="5080" r="5080" b="5080"/>
                <wp:wrapSquare wrapText="bothSides"/>
                <wp:docPr id="20" name="Text Box 2"/>
                <a:graphic xmlns:a="http://schemas.openxmlformats.org/drawingml/2006/main">
                  <a:graphicData uri="http://schemas.microsoft.com/office/word/2010/wordprocessingShape">
                    <wps:wsp>
                      <wps:cNvSpPr/>
                      <wps:spPr>
                        <a:xfrm>
                          <a:off x="0" y="0"/>
                          <a:ext cx="5943600" cy="583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drawing>
                                <wp:inline distT="0" distB="0" distL="0" distR="0">
                                  <wp:extent cx="5714365" cy="5113020"/>
                                  <wp:effectExtent l="0" t="0" r="0" b="0"/>
                                  <wp:docPr id="22" name="Image2" descr="A collage of images of different types of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A collage of images of different types of land&#10;&#10;Description automatically generated"/>
                                          <pic:cNvPicPr>
                                            <a:picLocks noChangeAspect="1" noChangeArrowheads="1"/>
                                          </pic:cNvPicPr>
                                        </pic:nvPicPr>
                                        <pic:blipFill>
                                          <a:blip r:embed="rId24"/>
                                          <a:stretch>
                                            <a:fillRect/>
                                          </a:stretch>
                                        </pic:blipFill>
                                        <pic:spPr bwMode="auto">
                                          <a:xfrm>
                                            <a:off x="0" y="0"/>
                                            <a:ext cx="5714365" cy="5113020"/>
                                          </a:xfrm>
                                          <a:prstGeom prst="rect">
                                            <a:avLst/>
                                          </a:prstGeom>
                                        </pic:spPr>
                                      </pic:pic>
                                    </a:graphicData>
                                  </a:graphic>
                                </wp:inline>
                              </w:drawing>
                            </w:r>
                          </w:p>
                          <w:p>
                            <w:pPr>
                              <w:pStyle w:val="Caption"/>
                              <w:widowControl/>
                              <w:bidi w:val="0"/>
                              <w:spacing w:lineRule="auto" w:line="276" w:before="0" w:after="60"/>
                              <w:jc w:val="center"/>
                              <w:rPr/>
                            </w:pPr>
                            <w:bookmarkStart w:id="31" w:name="_Toc18180264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4</w:t>
                            </w:r>
                            <w:r>
                              <w:rPr/>
                              <w:fldChar w:fldCharType="end"/>
                            </w:r>
                            <w:r>
                              <w:rPr/>
                              <w:t>. Sampling location maps in STA-2 FW1 for (A) Water Column; (B) Macrophytes; (C) Soil P Concentrations; (D) Soil Porewater P Concentrations</w:t>
                            </w:r>
                            <w:bookmarkEnd w:id="31"/>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142.55pt;width:467.95pt;height:459.55pt;mso-wrap-style:square;v-text-anchor:top;mso-position-horizontal:left;mso-position-horizontal-relative:margin" wp14:anchorId="0AED4B68">
                <v:fill o:detectmouseclick="t" type="solid" color2="black"/>
                <v:stroke color="black" weight="9360" joinstyle="miter" endcap="flat"/>
                <v:textbox>
                  <w:txbxContent>
                    <w:p>
                      <w:pPr>
                        <w:pStyle w:val="FrameContents"/>
                        <w:rPr/>
                      </w:pPr>
                      <w:r>
                        <w:rPr/>
                        <w:drawing>
                          <wp:inline distT="0" distB="0" distL="0" distR="0">
                            <wp:extent cx="5714365" cy="5113020"/>
                            <wp:effectExtent l="0" t="0" r="0" b="0"/>
                            <wp:docPr id="23" name="Image2" descr="A collage of images of different types of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A collage of images of different types of land&#10;&#10;Description automatically generated"/>
                                    <pic:cNvPicPr>
                                      <a:picLocks noChangeAspect="1" noChangeArrowheads="1"/>
                                    </pic:cNvPicPr>
                                  </pic:nvPicPr>
                                  <pic:blipFill>
                                    <a:blip r:embed="rId25"/>
                                    <a:stretch>
                                      <a:fillRect/>
                                    </a:stretch>
                                  </pic:blipFill>
                                  <pic:spPr bwMode="auto">
                                    <a:xfrm>
                                      <a:off x="0" y="0"/>
                                      <a:ext cx="5714365" cy="5113020"/>
                                    </a:xfrm>
                                    <a:prstGeom prst="rect">
                                      <a:avLst/>
                                    </a:prstGeom>
                                  </pic:spPr>
                                </pic:pic>
                              </a:graphicData>
                            </a:graphic>
                          </wp:inline>
                        </w:drawing>
                      </w:r>
                    </w:p>
                    <w:p>
                      <w:pPr>
                        <w:pStyle w:val="Caption"/>
                        <w:widowControl/>
                        <w:bidi w:val="0"/>
                        <w:spacing w:lineRule="auto" w:line="276" w:before="0" w:after="60"/>
                        <w:jc w:val="center"/>
                        <w:rPr/>
                      </w:pPr>
                      <w:bookmarkStart w:id="32" w:name="_Toc18180264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4</w:t>
                      </w:r>
                      <w:r>
                        <w:rPr/>
                        <w:fldChar w:fldCharType="end"/>
                      </w:r>
                      <w:r>
                        <w:rPr/>
                        <w:t>. Sampling location maps in STA-2 FW1 for (A) Water Column; (B) Macrophytes; (C) Soil P Concentrations; (D) Soil Porewater P Concentrations</w:t>
                      </w:r>
                      <w:bookmarkEnd w:id="32"/>
                    </w:p>
                  </w:txbxContent>
                </v:textbox>
                <w10:wrap type="square"/>
              </v:rect>
            </w:pict>
          </mc:Fallback>
        </mc:AlternateContent>
      </w:r>
      <w:r>
        <w:rPr>
          <w:color w:themeColor="text1" w:val="000000"/>
        </w:rPr>
        <w:t xml:space="preserve">STA-2 FW1 was </w:t>
      </w:r>
      <w:r>
        <w:rPr>
          <w:i/>
          <w:color w:themeColor="text1" w:val="000000"/>
        </w:rPr>
        <w:t>Typha</w:t>
      </w:r>
      <w:r>
        <w:rPr>
          <w:color w:themeColor="text1" w:val="000000"/>
        </w:rPr>
        <w:t xml:space="preserve"> dominated and became operational in 2000-2001 (Figure 1-1 and Figure 2-2). This flow-way was unique among the STAs because the entire area (2032.7 acres or 822.6 hectares) was never farmed and was previously emergent wetlands and dense tree islands as part of Brown’s Farm Wildlife Management Area (Dombrowski 2019). This history coupled with the abundance of empirical data (water, macrophytes, soil) and the recent documentation of its long-term performance made it an optimal target for model development (UF-WBL 2019; Zhao and Piccone 2020). The spatial domain for the BGC Model was the entire area of FW1 (AFW1 = 7,446,215 m</w:t>
      </w:r>
      <w:r>
        <w:rPr>
          <w:color w:themeColor="text1" w:val="000000"/>
          <w:vertAlign w:val="superscript"/>
        </w:rPr>
        <w:t>2</w:t>
      </w:r>
      <w:r>
        <w:rPr>
          <w:color w:themeColor="text1" w:val="000000"/>
        </w:rPr>
        <w:t>) of which approximately 7% of AFW1 was classified as SAV/Open Water (521,235 m</w:t>
      </w:r>
      <w:r>
        <w:rPr>
          <w:color w:themeColor="text1" w:val="000000"/>
          <w:vertAlign w:val="superscript"/>
        </w:rPr>
        <w:t>2</w:t>
      </w:r>
      <w:r>
        <w:rPr>
          <w:color w:themeColor="text1" w:val="000000"/>
        </w:rPr>
        <w:t xml:space="preserve">). </w:t>
      </w:r>
    </w:p>
    <w:p>
      <w:pPr>
        <w:pStyle w:val="Normal"/>
        <w:rPr>
          <w:color w:themeColor="text1" w:val="000000"/>
        </w:rPr>
      </w:pPr>
      <w:r>
        <mc:AlternateContent>
          <mc:Choice Requires="wps">
            <w:drawing>
              <wp:anchor behindDoc="0" distT="40640" distB="67310" distL="0" distR="128270" simplePos="0" locked="0" layoutInCell="0" allowOverlap="1" relativeHeight="55" wp14:anchorId="6271ABAC">
                <wp:simplePos x="0" y="0"/>
                <wp:positionH relativeFrom="margin">
                  <wp:align>left</wp:align>
                </wp:positionH>
                <wp:positionV relativeFrom="paragraph">
                  <wp:posOffset>1892300</wp:posOffset>
                </wp:positionV>
                <wp:extent cx="5943600" cy="4716780"/>
                <wp:effectExtent l="0" t="5080" r="5080" b="5080"/>
                <wp:wrapSquare wrapText="bothSides"/>
                <wp:docPr id="21" name="Text Box 2"/>
                <a:graphic xmlns:a="http://schemas.openxmlformats.org/drawingml/2006/main">
                  <a:graphicData uri="http://schemas.microsoft.com/office/word/2010/wordprocessingShape">
                    <wps:wsp>
                      <wps:cNvSpPr/>
                      <wps:spPr>
                        <a:xfrm>
                          <a:off x="0" y="0"/>
                          <a:ext cx="5943600" cy="47167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drawing>
                                <wp:inline distT="0" distB="0" distL="0" distR="0">
                                  <wp:extent cx="5751195" cy="3603625"/>
                                  <wp:effectExtent l="0" t="0" r="0" b="0"/>
                                  <wp:docPr id="23"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6" descr=""/>
                                          <pic:cNvPicPr>
                                            <a:picLocks noChangeAspect="1" noChangeArrowheads="1"/>
                                          </pic:cNvPicPr>
                                        </pic:nvPicPr>
                                        <pic:blipFill>
                                          <a:blip r:embed="rId26"/>
                                          <a:stretch>
                                            <a:fillRect/>
                                          </a:stretch>
                                        </pic:blipFill>
                                        <pic:spPr bwMode="auto">
                                          <a:xfrm>
                                            <a:off x="0" y="0"/>
                                            <a:ext cx="5751195" cy="3603625"/>
                                          </a:xfrm>
                                          <a:prstGeom prst="rect">
                                            <a:avLst/>
                                          </a:prstGeom>
                                        </pic:spPr>
                                      </pic:pic>
                                    </a:graphicData>
                                  </a:graphic>
                                </wp:inline>
                              </w:drawing>
                            </w:r>
                          </w:p>
                          <w:p>
                            <w:pPr>
                              <w:pStyle w:val="Caption"/>
                              <w:widowControl/>
                              <w:bidi w:val="0"/>
                              <w:spacing w:lineRule="auto" w:line="276" w:before="0" w:after="60"/>
                              <w:jc w:val="center"/>
                              <w:rPr/>
                            </w:pPr>
                            <w:bookmarkStart w:id="33" w:name="_Toc181802645"/>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5</w:t>
                            </w:r>
                            <w:r>
                              <w:rPr/>
                              <w:fldChar w:fldCharType="end"/>
                            </w:r>
                            <w:r>
                              <w:rPr/>
                              <w:t>.  Time series of average depth of STA-2 Flow-Way 1 from 1/1/2005 to 12/2020.  The depth time series was combined with the flow-way area to calculate daily volume changes in the Phase II BGC Model.  The time series was divided into equal parts for later Calibration and Validation of the BGC Model.</w:t>
                            </w:r>
                            <w:bookmarkEnd w:id="33"/>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149pt;width:467.95pt;height:371.35pt;mso-wrap-style:square;v-text-anchor:top;mso-position-horizontal:left;mso-position-horizontal-relative:margin" wp14:anchorId="6271ABAC">
                <v:fill o:detectmouseclick="t" type="solid" color2="black"/>
                <v:stroke color="black" weight="9360" joinstyle="miter" endcap="flat"/>
                <v:textbox>
                  <w:txbxContent>
                    <w:p>
                      <w:pPr>
                        <w:pStyle w:val="FrameContents"/>
                        <w:rPr/>
                      </w:pPr>
                      <w:r>
                        <w:rPr/>
                        <w:drawing>
                          <wp:inline distT="0" distB="0" distL="0" distR="0">
                            <wp:extent cx="5751195" cy="3603625"/>
                            <wp:effectExtent l="0" t="0" r="0" b="0"/>
                            <wp:docPr id="24"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6" descr=""/>
                                    <pic:cNvPicPr>
                                      <a:picLocks noChangeAspect="1" noChangeArrowheads="1"/>
                                    </pic:cNvPicPr>
                                  </pic:nvPicPr>
                                  <pic:blipFill>
                                    <a:blip r:embed="rId27"/>
                                    <a:stretch>
                                      <a:fillRect/>
                                    </a:stretch>
                                  </pic:blipFill>
                                  <pic:spPr bwMode="auto">
                                    <a:xfrm>
                                      <a:off x="0" y="0"/>
                                      <a:ext cx="5751195" cy="3603625"/>
                                    </a:xfrm>
                                    <a:prstGeom prst="rect">
                                      <a:avLst/>
                                    </a:prstGeom>
                                  </pic:spPr>
                                </pic:pic>
                              </a:graphicData>
                            </a:graphic>
                          </wp:inline>
                        </w:drawing>
                      </w:r>
                    </w:p>
                    <w:p>
                      <w:pPr>
                        <w:pStyle w:val="Caption"/>
                        <w:widowControl/>
                        <w:bidi w:val="0"/>
                        <w:spacing w:lineRule="auto" w:line="276" w:before="0" w:after="60"/>
                        <w:jc w:val="center"/>
                        <w:rPr/>
                      </w:pPr>
                      <w:bookmarkStart w:id="34" w:name="_Toc181802645"/>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5</w:t>
                      </w:r>
                      <w:r>
                        <w:rPr/>
                        <w:fldChar w:fldCharType="end"/>
                      </w:r>
                      <w:r>
                        <w:rPr/>
                        <w:t>.  Time series of average depth of STA-2 Flow-Way 1 from 1/1/2005 to 12/2020.  The depth time series was combined with the flow-way area to calculate daily volume changes in the Phase II BGC Model.  The time series was divided into equal parts for later Calibration and Validation of the BGC Model.</w:t>
                      </w:r>
                      <w:bookmarkEnd w:id="34"/>
                    </w:p>
                  </w:txbxContent>
                </v:textbox>
                <w10:wrap type="square"/>
              </v:rect>
            </w:pict>
          </mc:Fallback>
        </mc:AlternateContent>
      </w:r>
      <w:r>
        <w:rPr>
          <w:color w:themeColor="text1" w:val="000000"/>
        </w:rPr>
        <w:t>The first generation BGC Model treated STA-2 FW1 as a landscape scale flow-through flume with empirically determined rates of daily inflow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depth (m) and water volume (m</w:t>
      </w:r>
      <w:r>
        <w:rPr>
          <w:color w:themeColor="text1" w:val="000000"/>
          <w:vertAlign w:val="superscript"/>
        </w:rPr>
        <w:t>3</w:t>
      </w:r>
      <w:r>
        <w:rPr>
          <w:color w:themeColor="text1" w:val="000000"/>
        </w:rPr>
        <w:t xml:space="preserve">).  Depth was introduced using a daily time series of average depth derived from stage data on the north (inflow) and south (outflow) flow-way boundaries (Figure 2-2). Volume was the product of the average depth and AFW1 (Figure 2-3). Thus, the inflow time series was used with P constituent concentrations observed at the north end of the flow-way to simulate TP loadings and not to affect water volume. The full Hydrologic Sub-Model was developed in a later task (See Phase III Task 8.3). </w:t>
      </w:r>
    </w:p>
    <w:p>
      <w:pPr>
        <w:pStyle w:val="Normal"/>
        <w:rPr>
          <w:color w:themeColor="text1" w:val="000000"/>
        </w:rPr>
      </w:pPr>
      <w:r>
        <w:rPr>
          <w:color w:themeColor="text1" w:val="000000"/>
        </w:rPr>
        <w:t xml:space="preserve">While the model time domain was assumed to be the entire POR (1/1/2005 to 12/31/2020 = 5844 days = 192 months = 16 years), it was split into two separate intervals of seven water years for model Calibration (5/1/2006 to 4/30/2012) vs Validation (5/1/2013 to 4/30/2020; Figure 2-3). A water year (WY) is the period from May 1 to April 30 to include both wet (May-October) and dry (November-April) sub-tropical seasons. The BGC Model time periods were 2,922 days (8 calendar years = 96 months) for calibration and validation with an integration interval (dt) of 1.5 hrs (dt = 0.0625 d; sixteen time steps per day). </w:t>
      </w:r>
    </w:p>
    <w:p>
      <w:pPr>
        <w:pStyle w:val="Heading3"/>
        <w:rPr>
          <w:color w:themeColor="text1" w:val="000000"/>
        </w:rPr>
      </w:pPr>
      <w:bookmarkStart w:id="35" w:name="_Toc182252500"/>
      <w:r>
        <w:rPr>
          <w:color w:themeColor="text1" w:val="000000"/>
        </w:rPr>
        <w:t>Empirical Data for Model Target Concentrations</w:t>
      </w:r>
      <w:bookmarkEnd w:id="35"/>
    </w:p>
    <w:p>
      <w:pPr>
        <w:pStyle w:val="Normal"/>
        <w:rPr>
          <w:color w:themeColor="text1" w:val="000000"/>
        </w:rPr>
      </w:pPr>
      <w:r>
        <w:rPr>
          <w:color w:themeColor="text1" w:val="000000"/>
        </w:rPr>
        <w:t xml:space="preserve">The SFWMD provided the physical, water column, macrophyte, and soil data for EAV habitat model development (UF-WBL 2019; Villapando and King 2019; Dombrowski, et al. 2020). Information, parameter values, and model targets for periphyton were derived from SFWMD supported periphyton studies (Hagerthey et al. 2011; DB Environmental 2015; UF-WBL 2019). The values for some parameters were from local experiments, literature sources, and calibration. </w:t>
      </w:r>
    </w:p>
    <w:p>
      <w:pPr>
        <w:pStyle w:val="Normal"/>
        <w:rPr>
          <w:color w:themeColor="text1" w:val="000000"/>
        </w:rPr>
      </w:pPr>
      <w:r>
        <w:rPr>
          <w:color w:themeColor="text1" w:val="000000"/>
        </w:rPr>
        <w:t>The proto-model included average monthly water temperature (TW; °C) derived from local data. Eventually daily variations in temperature were modeled using a trigonometric function for south Florida aquatic ecosystems (Buzzelli et al. 2015). While the depth time series included days with negative depth for the depression in sub-surface water level at times of no surface water in STA-2 FW1, the minimum depth of the model flow-way (h</w:t>
      </w:r>
      <w:r>
        <w:rPr>
          <w:color w:themeColor="text1" w:val="000000"/>
          <w:vertAlign w:val="subscript"/>
        </w:rPr>
        <w:t>MIN</w:t>
      </w:r>
      <w:r>
        <w:rPr>
          <w:color w:themeColor="text1" w:val="000000"/>
        </w:rPr>
        <w:t xml:space="preserve">) was set at 0.1 m for the remainder of the modeling project. </w:t>
      </w:r>
    </w:p>
    <w:p>
      <w:pPr>
        <w:pStyle w:val="Normal"/>
        <w:rPr>
          <w:color w:themeColor="text1" w:val="000000"/>
        </w:rPr>
      </w:pPr>
      <w:r>
        <w:rPr>
          <w:color w:themeColor="text1" w:val="000000"/>
        </w:rPr>
        <w:t>The concentrations of total phosphorus (TP), soluble reactive phosphorus (SRP), and total dissolved phosphorus (TDP) were monitored regularly by the SFWMD and determined at G329B (inflow) and G335 (outflow) at bi-weekly to monthly intervals over the model time period (2005-2020; Figure 2-4A). Thus,</w:t>
      </w:r>
    </w:p>
    <w:p>
      <w:pPr>
        <w:pStyle w:val="Normal"/>
        <w:rPr>
          <w:color w:themeColor="text1" w:val="000000"/>
        </w:rPr>
      </w:pPr>
      <w:r>
        <w:rPr>
          <w:color w:themeColor="text1" w:val="000000"/>
        </w:rPr>
      </w:r>
    </w:p>
    <w:p>
      <w:pPr>
        <w:pStyle w:val="Normal"/>
        <w:ind w:left="2250"/>
        <w:jc w:val="left"/>
        <w:rPr>
          <w:i/>
          <w:i/>
          <w:iCs/>
          <w:color w:themeColor="text1" w:val="000000"/>
        </w:rPr>
      </w:pPr>
      <w:r>
        <w:rPr>
          <w:i/>
          <w:iCs/>
          <w:color w:themeColor="text1" w:val="000000"/>
        </w:rPr>
        <w:t>Dissolved Inorganic Phosphorus = DIP = SRP</w:t>
      </w:r>
    </w:p>
    <w:p>
      <w:pPr>
        <w:pStyle w:val="Normal"/>
        <w:ind w:left="2250"/>
        <w:jc w:val="left"/>
        <w:rPr>
          <w:i/>
          <w:i/>
          <w:iCs/>
          <w:color w:themeColor="text1" w:val="000000"/>
        </w:rPr>
      </w:pPr>
      <w:r>
        <w:rPr>
          <w:i/>
          <w:iCs/>
          <w:color w:themeColor="text1" w:val="000000"/>
        </w:rPr>
        <w:t>Dissolved Organic Phosphorus = DOP = TDP - DIP</w:t>
      </w:r>
    </w:p>
    <w:p>
      <w:pPr>
        <w:pStyle w:val="Normal"/>
        <w:ind w:left="2250"/>
        <w:jc w:val="left"/>
        <w:rPr>
          <w:i/>
          <w:i/>
          <w:iCs/>
          <w:color w:themeColor="text1" w:val="000000"/>
        </w:rPr>
      </w:pPr>
      <w:r>
        <w:rPr>
          <w:i/>
          <w:iCs/>
          <w:color w:themeColor="text1" w:val="000000"/>
        </w:rPr>
        <w:t>Total Particulate Phosphorus = TP - TDP</w:t>
      </w:r>
    </w:p>
    <w:p>
      <w:pPr>
        <w:pStyle w:val="Normal"/>
        <w:rPr>
          <w:color w:themeColor="text1" w:val="000000"/>
        </w:rPr>
      </w:pPr>
      <w:r>
        <w:rPr>
          <w:color w:themeColor="text1" w:val="000000"/>
        </w:rPr>
      </w:r>
    </w:p>
    <w:p>
      <w:pPr>
        <w:pStyle w:val="Normal"/>
        <w:rPr>
          <w:color w:themeColor="text1" w:val="000000"/>
        </w:rPr>
      </w:pPr>
      <w:r>
        <w:rPr>
          <w:color w:themeColor="text1" w:val="000000"/>
        </w:rPr>
        <w:t>The BGC Model required inflow concentrations for [POPW]</w:t>
      </w:r>
      <w:r>
        <w:rPr>
          <w:color w:themeColor="text1" w:val="000000"/>
          <w:vertAlign w:val="subscript"/>
        </w:rPr>
        <w:t>IN</w:t>
      </w:r>
      <w:r>
        <w:rPr>
          <w:color w:themeColor="text1" w:val="000000"/>
        </w:rPr>
        <w:t>, [DOPW]</w:t>
      </w:r>
      <w:r>
        <w:rPr>
          <w:color w:themeColor="text1" w:val="000000"/>
          <w:vertAlign w:val="subscript"/>
        </w:rPr>
        <w:t>IN</w:t>
      </w:r>
      <w:r>
        <w:rPr>
          <w:color w:themeColor="text1" w:val="000000"/>
        </w:rPr>
        <w:t>, [DIPW]</w:t>
      </w:r>
      <w:r>
        <w:rPr>
          <w:color w:themeColor="text1" w:val="000000"/>
          <w:vertAlign w:val="subscript"/>
        </w:rPr>
        <w:t>IN</w:t>
      </w:r>
      <w:r>
        <w:rPr>
          <w:color w:themeColor="text1" w:val="000000"/>
        </w:rPr>
        <w:t>, and [PIPW]</w:t>
      </w:r>
      <w:r>
        <w:rPr>
          <w:color w:themeColor="text1" w:val="000000"/>
          <w:vertAlign w:val="subscript"/>
        </w:rPr>
        <w:t>IN</w:t>
      </w:r>
      <w:r>
        <w:rPr>
          <w:color w:themeColor="text1" w:val="000000"/>
        </w:rPr>
        <w:t>.  Since there were no regular monitoring data for the organic vs. inorganic fractionation of TPP, the POP:PIP ratio was initially assumed 80:20. The average inflow concentrations over the entire model time were constant at the inflow boundary to simplify model development. Variable inflow P concentrations were introduced in a later task (see Task 8.4 Calibration and Validation).</w:t>
      </w:r>
    </w:p>
    <w:p>
      <w:pPr>
        <w:pStyle w:val="Normal"/>
        <w:rPr>
          <w:color w:themeColor="text1" w:val="000000"/>
        </w:rPr>
      </w:pPr>
      <w:r>
        <w:rPr>
          <w:color w:themeColor="text1" w:val="000000"/>
        </w:rPr>
        <w:t xml:space="preserve">The data for macrophytes (e.g. vegetation), soil particulate attributes, and dissolved P in the soil were collected at locations in the upper (inflow), middle, and lower (outflow) zones of STA-2 FW1 (Figure 2-4B, C, and D). The multiple data sources were assembled and analyzed to derive target concentrations for the 15 P state variables and total phosphorus in the water (TPW) for the BGC Model (Figure 2-3; Table 2-4 and Table 2-5; CELLC 2022). In most cases values ranged widely seasonally and/or spatially. </w:t>
      </w:r>
    </w:p>
    <w:p>
      <w:pPr>
        <w:pStyle w:val="Normal"/>
        <w:rPr>
          <w:color w:themeColor="text1" w:val="000000"/>
        </w:rPr>
      </w:pPr>
      <w:r>
        <w:rPr>
          <w:color w:themeColor="text1" w:val="000000"/>
        </w:rPr>
        <mc:AlternateContent>
          <mc:Choice Requires="wps">
            <w:drawing>
              <wp:anchor behindDoc="0" distT="40640" distB="52070" distL="109220" distR="124460" simplePos="0" locked="0" layoutInCell="0" allowOverlap="1" relativeHeight="33" wp14:anchorId="7FB30112">
                <wp:simplePos x="0" y="0"/>
                <wp:positionH relativeFrom="column">
                  <wp:posOffset>30480</wp:posOffset>
                </wp:positionH>
                <wp:positionV relativeFrom="paragraph">
                  <wp:posOffset>7620</wp:posOffset>
                </wp:positionV>
                <wp:extent cx="5966460" cy="8008620"/>
                <wp:effectExtent l="5080" t="5080" r="5080" b="5080"/>
                <wp:wrapSquare wrapText="bothSides"/>
                <wp:docPr id="22" name="Text Box 2"/>
                <a:graphic xmlns:a="http://schemas.openxmlformats.org/drawingml/2006/main">
                  <a:graphicData uri="http://schemas.microsoft.com/office/word/2010/wordprocessingShape">
                    <wps:wsp>
                      <wps:cNvSpPr/>
                      <wps:spPr>
                        <a:xfrm>
                          <a:off x="0" y="0"/>
                          <a:ext cx="5966640" cy="80085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4251960" cy="7037070"/>
                                  <wp:effectExtent l="0" t="0" r="0" b="0"/>
                                  <wp:docPr id="24" name="Picture 15" descr="A close-up of several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descr="A close-up of several diagrams&#10;&#10;Description automatically generated"/>
                                          <pic:cNvPicPr>
                                            <a:picLocks noChangeAspect="1" noChangeArrowheads="1"/>
                                          </pic:cNvPicPr>
                                        </pic:nvPicPr>
                                        <pic:blipFill>
                                          <a:blip r:embed="rId28"/>
                                          <a:stretch>
                                            <a:fillRect/>
                                          </a:stretch>
                                        </pic:blipFill>
                                        <pic:spPr bwMode="auto">
                                          <a:xfrm>
                                            <a:off x="0" y="0"/>
                                            <a:ext cx="4251960" cy="7037070"/>
                                          </a:xfrm>
                                          <a:prstGeom prst="rect">
                                            <a:avLst/>
                                          </a:prstGeom>
                                        </pic:spPr>
                                      </pic:pic>
                                    </a:graphicData>
                                  </a:graphic>
                                </wp:inline>
                              </w:drawing>
                            </w:r>
                          </w:p>
                          <w:p>
                            <w:pPr>
                              <w:pStyle w:val="Caption"/>
                              <w:widowControl/>
                              <w:bidi w:val="0"/>
                              <w:spacing w:lineRule="auto" w:line="276" w:before="0" w:after="60"/>
                              <w:jc w:val="center"/>
                              <w:rPr/>
                            </w:pPr>
                            <w:bookmarkStart w:id="36" w:name="_Toc181802646"/>
                            <w:bookmarkStart w:id="37" w:name="_Hlk170394483"/>
                            <w:bookmarkStart w:id="38" w:name="_Hlk17039448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6</w:t>
                            </w:r>
                            <w:r>
                              <w:rPr/>
                              <w:fldChar w:fldCharType="end"/>
                            </w:r>
                            <w:r>
                              <w:rPr/>
                              <w:t>. Summary of target P concentrations from STA-2 FW1 for the Biogeochemical Model.  (A) Water column variables in the dry season (Nov-Apr).  (B) Water column variables in the wet season (May-Oct).  (C) Soil variables.  (D) Other P variables in Biogeochemical Model.</w:t>
                            </w:r>
                            <w:bookmarkEnd w:id="37"/>
                            <w:bookmarkEnd w:id="38"/>
                            <w:r>
                              <w:rPr/>
                              <w:t xml:space="preserve">  Note the doubling in magnitude between dry (A) and wet (B) seasons.</w:t>
                            </w:r>
                            <w:bookmarkEnd w:id="36"/>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2.4pt;margin-top:0.6pt;width:469.75pt;height:630.55pt;mso-wrap-style:square;v-text-anchor:top" wp14:anchorId="7FB30112">
                <v:fill o:detectmouseclick="t" type="solid" color2="black"/>
                <v:stroke color="black" weight="9360" joinstyle="miter" endcap="flat"/>
                <v:textbox>
                  <w:txbxContent>
                    <w:p>
                      <w:pPr>
                        <w:pStyle w:val="FrameContents"/>
                        <w:jc w:val="center"/>
                        <w:rPr/>
                      </w:pPr>
                      <w:r>
                        <w:rPr/>
                        <w:drawing>
                          <wp:inline distT="0" distB="0" distL="0" distR="0">
                            <wp:extent cx="4251960" cy="7037070"/>
                            <wp:effectExtent l="0" t="0" r="0" b="0"/>
                            <wp:docPr id="25" name="Picture 15" descr="A close-up of several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descr="A close-up of several diagrams&#10;&#10;Description automatically generated"/>
                                    <pic:cNvPicPr>
                                      <a:picLocks noChangeAspect="1" noChangeArrowheads="1"/>
                                    </pic:cNvPicPr>
                                  </pic:nvPicPr>
                                  <pic:blipFill>
                                    <a:blip r:embed="rId29"/>
                                    <a:stretch>
                                      <a:fillRect/>
                                    </a:stretch>
                                  </pic:blipFill>
                                  <pic:spPr bwMode="auto">
                                    <a:xfrm>
                                      <a:off x="0" y="0"/>
                                      <a:ext cx="4251960" cy="7037070"/>
                                    </a:xfrm>
                                    <a:prstGeom prst="rect">
                                      <a:avLst/>
                                    </a:prstGeom>
                                  </pic:spPr>
                                </pic:pic>
                              </a:graphicData>
                            </a:graphic>
                          </wp:inline>
                        </w:drawing>
                      </w:r>
                    </w:p>
                    <w:p>
                      <w:pPr>
                        <w:pStyle w:val="Caption"/>
                        <w:widowControl/>
                        <w:bidi w:val="0"/>
                        <w:spacing w:lineRule="auto" w:line="276" w:before="0" w:after="60"/>
                        <w:jc w:val="center"/>
                        <w:rPr/>
                      </w:pPr>
                      <w:bookmarkStart w:id="39" w:name="_Toc181802646"/>
                      <w:bookmarkStart w:id="40" w:name="_Hlk170394483"/>
                      <w:bookmarkStart w:id="41" w:name="_Hlk17039448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6</w:t>
                      </w:r>
                      <w:r>
                        <w:rPr/>
                        <w:fldChar w:fldCharType="end"/>
                      </w:r>
                      <w:r>
                        <w:rPr/>
                        <w:t>. Summary of target P concentrations from STA-2 FW1 for the Biogeochemical Model.  (A) Water column variables in the dry season (Nov-Apr).  (B) Water column variables in the wet season (May-Oct).  (C) Soil variables.  (D) Other P variables in Biogeochemical Model.</w:t>
                      </w:r>
                      <w:bookmarkEnd w:id="40"/>
                      <w:bookmarkEnd w:id="41"/>
                      <w:r>
                        <w:rPr/>
                        <w:t xml:space="preserve">  Note the doubling in magnitude between dry (A) and wet (B) seasons.</w:t>
                      </w:r>
                      <w:bookmarkEnd w:id="39"/>
                    </w:p>
                  </w:txbxContent>
                </v:textbox>
                <w10:wrap type="square"/>
              </v:rect>
            </w:pict>
          </mc:Fallback>
        </mc:AlternateContent>
      </w:r>
      <w:r>
        <w:br w:type="page"/>
      </w:r>
    </w:p>
    <w:p>
      <w:pPr>
        <w:pStyle w:val="Caption"/>
        <w:spacing w:lineRule="auto" w:line="240" w:before="0" w:after="60"/>
        <w:rPr>
          <w:color w:themeColor="text1" w:val="000000"/>
        </w:rPr>
      </w:pPr>
      <w:bookmarkStart w:id="42" w:name="_Hlk170390707"/>
      <w:bookmarkStart w:id="43" w:name="_Toc182250913"/>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4</w:t>
      </w:r>
      <w:r>
        <w:rPr>
          <w:color w:themeColor="text1" w:val="000000"/>
        </w:rPr>
        <w:fldChar w:fldCharType="end"/>
      </w:r>
      <w:r>
        <w:rPr>
          <w:color w:themeColor="text1" w:val="000000"/>
        </w:rPr>
        <w:t>. Model targets derived from Phase II data integration and analysis of STA-2 FW1.</w:t>
      </w:r>
      <w:bookmarkEnd w:id="42"/>
      <w:bookmarkEnd w:id="43"/>
    </w:p>
    <w:tbl>
      <w:tblPr>
        <w:tblW w:w="8095" w:type="dxa"/>
        <w:jc w:val="center"/>
        <w:tblInd w:w="0" w:type="dxa"/>
        <w:tblLayout w:type="fixed"/>
        <w:tblCellMar>
          <w:top w:w="20" w:type="dxa"/>
          <w:left w:w="20" w:type="dxa"/>
          <w:bottom w:w="72" w:type="dxa"/>
          <w:right w:w="20" w:type="dxa"/>
        </w:tblCellMar>
        <w:tblLook w:val="04a0" w:noHBand="0" w:noVBand="1" w:firstColumn="1" w:lastRow="0" w:lastColumn="0" w:firstRow="1"/>
      </w:tblPr>
      <w:tblGrid>
        <w:gridCol w:w="3144"/>
        <w:gridCol w:w="2881"/>
        <w:gridCol w:w="2070"/>
      </w:tblGrid>
      <w:tr>
        <w:trPr>
          <w:trHeight w:val="432" w:hRule="exact"/>
          <w:cantSplit w:val="true"/>
        </w:trPr>
        <w:tc>
          <w:tcPr>
            <w:tcW w:w="3144" w:type="dxa"/>
            <w:tcBorders>
              <w:top w:val="single" w:sz="4" w:space="0" w:color="000000"/>
              <w:left w:val="single" w:sz="4"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 w:val="24"/>
                <w:szCs w:val="24"/>
              </w:rPr>
            </w:pPr>
            <w:r>
              <w:rPr>
                <w:rFonts w:cs="Calibri" w:ascii="Calibri" w:hAnsi="Calibri"/>
                <w:b/>
                <w:bCs/>
                <w:color w:themeColor="text1" w:val="000000"/>
                <w:kern w:val="2"/>
                <w:sz w:val="24"/>
                <w:szCs w:val="24"/>
              </w:rPr>
              <w:t>P POOLS</w:t>
            </w:r>
          </w:p>
        </w:tc>
        <w:tc>
          <w:tcPr>
            <w:tcW w:w="2881" w:type="dxa"/>
            <w:tcBorders>
              <w:top w:val="single" w:sz="8" w:space="0" w:color="000000"/>
              <w:left w:val="single" w:sz="8"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 w:val="24"/>
                <w:szCs w:val="24"/>
              </w:rPr>
            </w:pPr>
            <w:r>
              <w:rPr>
                <w:rFonts w:cs="Calibri" w:ascii="Calibri" w:hAnsi="Calibri"/>
                <w:b/>
                <w:bCs/>
                <w:color w:themeColor="text1" w:val="000000"/>
                <w:kern w:val="2"/>
                <w:sz w:val="24"/>
                <w:szCs w:val="24"/>
              </w:rPr>
              <w:t xml:space="preserve"> </w:t>
            </w:r>
            <w:r>
              <w:rPr>
                <w:rFonts w:cs="Calibri" w:ascii="Calibri" w:hAnsi="Calibri"/>
                <w:b/>
                <w:bCs/>
                <w:color w:themeColor="text1" w:val="000000"/>
                <w:kern w:val="2"/>
                <w:sz w:val="24"/>
                <w:szCs w:val="24"/>
              </w:rPr>
              <w:t xml:space="preserve">Target AVG </w:t>
            </w:r>
            <w:r>
              <w:rPr>
                <w:rFonts w:cs="Calibri" w:ascii="Calibri" w:hAnsi="Calibri"/>
                <w:b/>
                <w:bCs/>
                <w:color w:themeColor="text1" w:val="000000"/>
                <w:kern w:val="2"/>
                <w:sz w:val="24"/>
                <w:szCs w:val="24"/>
                <w:u w:val="single"/>
              </w:rPr>
              <w:t>+</w:t>
            </w:r>
            <w:r>
              <w:rPr>
                <w:rFonts w:cs="Calibri" w:ascii="Calibri" w:hAnsi="Calibri"/>
                <w:b/>
                <w:bCs/>
                <w:color w:themeColor="text1" w:val="000000"/>
                <w:kern w:val="2"/>
                <w:sz w:val="24"/>
                <w:szCs w:val="24"/>
              </w:rPr>
              <w:t xml:space="preserve"> SD</w:t>
            </w:r>
          </w:p>
        </w:tc>
        <w:tc>
          <w:tcPr>
            <w:tcW w:w="2070" w:type="dxa"/>
            <w:tcBorders>
              <w:top w:val="single" w:sz="4" w:space="0" w:color="000000"/>
              <w:left w:val="single" w:sz="8"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4"/>
                <w:szCs w:val="24"/>
              </w:rPr>
            </w:pPr>
            <w:r>
              <w:rPr>
                <w:rFonts w:cs="Calibri" w:ascii="Calibri" w:hAnsi="Calibri"/>
                <w:b/>
                <w:bCs/>
                <w:color w:themeColor="text1" w:val="000000"/>
                <w:kern w:val="2"/>
                <w:sz w:val="24"/>
                <w:szCs w:val="24"/>
              </w:rPr>
              <w:t>CV</w:t>
            </w:r>
          </w:p>
        </w:tc>
      </w:tr>
      <w:tr>
        <w:trPr>
          <w:trHeight w:val="432" w:hRule="exact"/>
          <w:cantSplit w:val="true"/>
        </w:trPr>
        <w:tc>
          <w:tcPr>
            <w:tcW w:w="3144" w:type="dxa"/>
            <w:tcBorders>
              <w:top w:val="single" w:sz="4" w:space="0" w:color="000000"/>
              <w:left w:val="single" w:sz="4"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w:t>
            </w:r>
            <w:r>
              <w:rPr>
                <w:rFonts w:cs="Calibri" w:ascii="Calibri" w:hAnsi="Calibri"/>
                <w:b/>
                <w:bCs/>
                <w:color w:themeColor="text1" w:val="000000"/>
                <w:kern w:val="2"/>
                <w:position w:val="-7"/>
                <w:szCs w:val="22"/>
              </w:rPr>
              <w:t>PHYTO</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-3</w:t>
            </w:r>
            <w:r>
              <w:rPr>
                <w:rFonts w:cs="Calibri" w:ascii="Calibri" w:hAnsi="Calibri"/>
                <w:b/>
                <w:bCs/>
                <w:color w:themeColor="text1" w:val="000000"/>
                <w:kern w:val="2"/>
                <w:szCs w:val="22"/>
              </w:rPr>
              <w:t>)</w:t>
            </w:r>
          </w:p>
        </w:tc>
        <w:tc>
          <w:tcPr>
            <w:tcW w:w="2881" w:type="dxa"/>
            <w:tcBorders>
              <w:top w:val="single" w:sz="4" w:space="0" w:color="000000"/>
              <w:left w:val="single" w:sz="8"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0.002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0.001</w:t>
            </w:r>
          </w:p>
        </w:tc>
        <w:tc>
          <w:tcPr>
            <w:tcW w:w="2070" w:type="dxa"/>
            <w:tcBorders>
              <w:top w:val="single" w:sz="4" w:space="0" w:color="000000"/>
              <w:left w:val="single" w:sz="8"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50.0%</w:t>
            </w:r>
          </w:p>
        </w:tc>
      </w:tr>
      <w:tr>
        <w:trPr>
          <w:trHeight w:val="432" w:hRule="exact"/>
          <w:cantSplit w:val="true"/>
        </w:trPr>
        <w:tc>
          <w:tcPr>
            <w:tcW w:w="3144" w:type="dxa"/>
            <w:tcBorders>
              <w:top w:val="single" w:sz="4" w:space="0" w:color="000000"/>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w:t>
            </w:r>
            <w:r>
              <w:rPr>
                <w:rFonts w:cs="Calibri" w:ascii="Calibri" w:hAnsi="Calibri"/>
                <w:b/>
                <w:bCs/>
                <w:color w:themeColor="text1" w:val="000000"/>
                <w:kern w:val="2"/>
                <w:position w:val="-7"/>
                <w:szCs w:val="22"/>
              </w:rPr>
              <w:t>PERI</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top w:val="single" w:sz="4" w:space="0" w:color="000000"/>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0.05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0.03</w:t>
            </w:r>
          </w:p>
        </w:tc>
        <w:tc>
          <w:tcPr>
            <w:tcW w:w="2070" w:type="dxa"/>
            <w:tcBorders>
              <w:top w:val="single" w:sz="4" w:space="0" w:color="000000"/>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60.0%</w:t>
            </w:r>
          </w:p>
        </w:tc>
      </w:tr>
      <w:tr>
        <w:trPr>
          <w:trHeight w:val="432" w:hRule="exact"/>
          <w:cantSplit w:val="true"/>
        </w:trPr>
        <w:tc>
          <w:tcPr>
            <w:tcW w:w="3144" w:type="dxa"/>
            <w:tcBorders>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w:t>
            </w:r>
            <w:r>
              <w:rPr>
                <w:rFonts w:cs="Calibri" w:ascii="Calibri" w:hAnsi="Calibri"/>
                <w:b/>
                <w:bCs/>
                <w:color w:themeColor="text1" w:val="000000"/>
                <w:kern w:val="2"/>
                <w:position w:val="-7"/>
                <w:szCs w:val="22"/>
              </w:rPr>
              <w:t>EAVSH</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1.95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0.87</w:t>
            </w:r>
          </w:p>
        </w:tc>
        <w:tc>
          <w:tcPr>
            <w:tcW w:w="2070" w:type="dxa"/>
            <w:tcBorders>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44.6%</w:t>
            </w:r>
          </w:p>
        </w:tc>
      </w:tr>
      <w:tr>
        <w:trPr>
          <w:trHeight w:val="432" w:hRule="exact"/>
          <w:cantSplit w:val="true"/>
        </w:trPr>
        <w:tc>
          <w:tcPr>
            <w:tcW w:w="3144" w:type="dxa"/>
            <w:tcBorders>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w:t>
            </w:r>
            <w:r>
              <w:rPr>
                <w:rFonts w:cs="Calibri" w:ascii="Calibri" w:hAnsi="Calibri"/>
                <w:b/>
                <w:bCs/>
                <w:color w:themeColor="text1" w:val="000000"/>
                <w:kern w:val="2"/>
                <w:position w:val="-7"/>
                <w:szCs w:val="22"/>
              </w:rPr>
              <w:t>EAVRR</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0.83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0.62</w:t>
            </w:r>
          </w:p>
        </w:tc>
        <w:tc>
          <w:tcPr>
            <w:tcW w:w="2070" w:type="dxa"/>
            <w:tcBorders>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75.3%</w:t>
            </w:r>
          </w:p>
        </w:tc>
      </w:tr>
      <w:tr>
        <w:trPr>
          <w:trHeight w:val="432" w:hRule="exact"/>
          <w:cantSplit w:val="true"/>
        </w:trPr>
        <w:tc>
          <w:tcPr>
            <w:tcW w:w="3144" w:type="dxa"/>
            <w:tcBorders>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w:t>
            </w:r>
            <w:r>
              <w:rPr>
                <w:rFonts w:cs="Calibri" w:ascii="Calibri" w:hAnsi="Calibri"/>
                <w:b/>
                <w:bCs/>
                <w:color w:themeColor="text1" w:val="000000"/>
                <w:kern w:val="2"/>
                <w:position w:val="-7"/>
                <w:szCs w:val="22"/>
              </w:rPr>
              <w:t>LITTER</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0.70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0.32</w:t>
            </w:r>
          </w:p>
        </w:tc>
        <w:tc>
          <w:tcPr>
            <w:tcW w:w="2070" w:type="dxa"/>
            <w:tcBorders>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45.7%</w:t>
            </w:r>
          </w:p>
        </w:tc>
      </w:tr>
      <w:tr>
        <w:trPr>
          <w:trHeight w:val="432" w:hRule="exact"/>
          <w:cantSplit w:val="true"/>
        </w:trPr>
        <w:tc>
          <w:tcPr>
            <w:tcW w:w="3144" w:type="dxa"/>
            <w:tcBorders>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w:t>
            </w:r>
            <w:r>
              <w:rPr>
                <w:rFonts w:cs="Calibri" w:ascii="Calibri" w:hAnsi="Calibri"/>
                <w:b/>
                <w:bCs/>
                <w:color w:themeColor="text1" w:val="000000"/>
                <w:kern w:val="2"/>
                <w:position w:val="-7"/>
                <w:szCs w:val="22"/>
              </w:rPr>
              <w:t xml:space="preserve">FLOC </w:t>
            </w:r>
            <w:r>
              <w:rPr>
                <w:rFonts w:cs="Calibri" w:ascii="Calibri" w:hAnsi="Calibri"/>
                <w:b/>
                <w:bCs/>
                <w:color w:themeColor="text1" w:val="000000"/>
                <w:kern w:val="2"/>
                <w:szCs w:val="22"/>
              </w:rPr>
              <w:t>(g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1.64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0.65</w:t>
            </w:r>
          </w:p>
        </w:tc>
        <w:tc>
          <w:tcPr>
            <w:tcW w:w="2070" w:type="dxa"/>
            <w:tcBorders>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39.8%</w:t>
            </w:r>
          </w:p>
        </w:tc>
      </w:tr>
      <w:tr>
        <w:trPr>
          <w:trHeight w:val="432" w:hRule="exact"/>
          <w:cantSplit w:val="true"/>
        </w:trPr>
        <w:tc>
          <w:tcPr>
            <w:tcW w:w="3144" w:type="dxa"/>
            <w:tcBorders>
              <w:left w:val="single" w:sz="4"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w:t>
            </w:r>
            <w:r>
              <w:rPr>
                <w:rFonts w:cs="Calibri" w:ascii="Calibri" w:hAnsi="Calibri"/>
                <w:b/>
                <w:bCs/>
                <w:color w:themeColor="text1" w:val="000000"/>
                <w:kern w:val="2"/>
                <w:position w:val="-7"/>
                <w:szCs w:val="22"/>
              </w:rPr>
              <w:t>SAV</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left w:val="single" w:sz="8"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0.16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0.04</w:t>
            </w:r>
          </w:p>
        </w:tc>
        <w:tc>
          <w:tcPr>
            <w:tcW w:w="2070" w:type="dxa"/>
            <w:tcBorders>
              <w:left w:val="single" w:sz="8"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25.0%</w:t>
            </w:r>
          </w:p>
        </w:tc>
      </w:tr>
      <w:tr>
        <w:trPr>
          <w:trHeight w:val="432" w:hRule="exact"/>
          <w:cantSplit w:val="true"/>
        </w:trPr>
        <w:tc>
          <w:tcPr>
            <w:tcW w:w="3144" w:type="dxa"/>
            <w:tcBorders>
              <w:top w:val="single" w:sz="4" w:space="0" w:color="000000"/>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POP</w:t>
            </w:r>
            <w:r>
              <w:rPr>
                <w:rFonts w:cs="Calibri" w:ascii="Calibri" w:hAnsi="Calibri"/>
                <w:b/>
                <w:bCs/>
                <w:color w:themeColor="text1" w:val="000000"/>
                <w:kern w:val="2"/>
                <w:position w:val="-7"/>
                <w:szCs w:val="22"/>
              </w:rPr>
              <w:t>s</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top w:val="single" w:sz="4" w:space="0" w:color="000000"/>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2.57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2.16</w:t>
            </w:r>
          </w:p>
        </w:tc>
        <w:tc>
          <w:tcPr>
            <w:tcW w:w="2070" w:type="dxa"/>
            <w:tcBorders>
              <w:top w:val="single" w:sz="4" w:space="0" w:color="000000"/>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83.9%</w:t>
            </w:r>
          </w:p>
        </w:tc>
      </w:tr>
      <w:tr>
        <w:trPr>
          <w:trHeight w:val="432" w:hRule="exact"/>
          <w:cantSplit w:val="true"/>
        </w:trPr>
        <w:tc>
          <w:tcPr>
            <w:tcW w:w="3144" w:type="dxa"/>
            <w:tcBorders>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DOP</w:t>
            </w:r>
            <w:r>
              <w:rPr>
                <w:rFonts w:cs="Calibri" w:ascii="Calibri" w:hAnsi="Calibri"/>
                <w:b/>
                <w:bCs/>
                <w:color w:themeColor="text1" w:val="000000"/>
                <w:kern w:val="2"/>
                <w:position w:val="-7"/>
                <w:szCs w:val="22"/>
              </w:rPr>
              <w:t>s</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0.15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0.12</w:t>
            </w:r>
          </w:p>
        </w:tc>
        <w:tc>
          <w:tcPr>
            <w:tcW w:w="2070" w:type="dxa"/>
            <w:tcBorders>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81.9%</w:t>
            </w:r>
          </w:p>
        </w:tc>
      </w:tr>
      <w:tr>
        <w:trPr>
          <w:trHeight w:val="432" w:hRule="exact"/>
          <w:cantSplit w:val="true"/>
        </w:trPr>
        <w:tc>
          <w:tcPr>
            <w:tcW w:w="3144" w:type="dxa"/>
            <w:tcBorders>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DIP</w:t>
            </w:r>
            <w:r>
              <w:rPr>
                <w:rFonts w:cs="Calibri" w:ascii="Calibri" w:hAnsi="Calibri"/>
                <w:b/>
                <w:bCs/>
                <w:color w:themeColor="text1" w:val="000000"/>
                <w:kern w:val="2"/>
                <w:position w:val="-7"/>
                <w:szCs w:val="22"/>
              </w:rPr>
              <w:t>s</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0.10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0.08</w:t>
            </w:r>
          </w:p>
        </w:tc>
        <w:tc>
          <w:tcPr>
            <w:tcW w:w="2070" w:type="dxa"/>
            <w:tcBorders>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80.5%</w:t>
            </w:r>
          </w:p>
        </w:tc>
      </w:tr>
      <w:tr>
        <w:trPr>
          <w:trHeight w:val="432" w:hRule="exact"/>
          <w:cantSplit w:val="true"/>
        </w:trPr>
        <w:tc>
          <w:tcPr>
            <w:tcW w:w="3144" w:type="dxa"/>
            <w:tcBorders>
              <w:left w:val="single" w:sz="4"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PIP</w:t>
            </w:r>
            <w:r>
              <w:rPr>
                <w:rFonts w:cs="Calibri" w:ascii="Calibri" w:hAnsi="Calibri"/>
                <w:b/>
                <w:bCs/>
                <w:color w:themeColor="text1" w:val="000000"/>
                <w:kern w:val="2"/>
                <w:position w:val="-7"/>
                <w:szCs w:val="22"/>
              </w:rPr>
              <w:t>s</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-2</w:t>
            </w:r>
            <w:r>
              <w:rPr>
                <w:rFonts w:cs="Calibri" w:ascii="Calibri" w:hAnsi="Calibri"/>
                <w:b/>
                <w:bCs/>
                <w:color w:themeColor="text1" w:val="000000"/>
                <w:kern w:val="2"/>
                <w:szCs w:val="22"/>
              </w:rPr>
              <w:t>)</w:t>
            </w:r>
          </w:p>
        </w:tc>
        <w:tc>
          <w:tcPr>
            <w:tcW w:w="2881" w:type="dxa"/>
            <w:tcBorders>
              <w:left w:val="single" w:sz="8"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0.44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0.27</w:t>
            </w:r>
          </w:p>
        </w:tc>
        <w:tc>
          <w:tcPr>
            <w:tcW w:w="2070" w:type="dxa"/>
            <w:tcBorders>
              <w:left w:val="single" w:sz="8"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61.6%</w:t>
            </w:r>
          </w:p>
        </w:tc>
      </w:tr>
      <w:tr>
        <w:trPr>
          <w:trHeight w:val="432" w:hRule="exact"/>
          <w:cantSplit w:val="true"/>
        </w:trPr>
        <w:tc>
          <w:tcPr>
            <w:tcW w:w="3144" w:type="dxa"/>
            <w:tcBorders>
              <w:top w:val="single" w:sz="4" w:space="0" w:color="000000"/>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POP</w:t>
            </w:r>
            <w:r>
              <w:rPr>
                <w:rFonts w:cs="Calibri" w:ascii="Calibri" w:hAnsi="Calibri"/>
                <w:b/>
                <w:bCs/>
                <w:color w:themeColor="text1" w:val="000000"/>
                <w:kern w:val="2"/>
                <w:position w:val="-7"/>
                <w:szCs w:val="22"/>
              </w:rPr>
              <w:t>w</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-3</w:t>
            </w:r>
            <w:r>
              <w:rPr>
                <w:rFonts w:cs="Calibri" w:ascii="Calibri" w:hAnsi="Calibri"/>
                <w:b/>
                <w:bCs/>
                <w:color w:themeColor="text1" w:val="000000"/>
                <w:kern w:val="2"/>
                <w:szCs w:val="22"/>
              </w:rPr>
              <w:t>)</w:t>
            </w:r>
          </w:p>
        </w:tc>
        <w:tc>
          <w:tcPr>
            <w:tcW w:w="2881" w:type="dxa"/>
            <w:tcBorders>
              <w:top w:val="single" w:sz="4" w:space="0" w:color="000000"/>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0.0100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0.0100</w:t>
            </w:r>
          </w:p>
        </w:tc>
        <w:tc>
          <w:tcPr>
            <w:tcW w:w="2070" w:type="dxa"/>
            <w:tcBorders>
              <w:top w:val="single" w:sz="4" w:space="0" w:color="000000"/>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100.0%</w:t>
            </w:r>
          </w:p>
        </w:tc>
      </w:tr>
      <w:tr>
        <w:trPr>
          <w:trHeight w:val="432" w:hRule="exact"/>
          <w:cantSplit w:val="true"/>
        </w:trPr>
        <w:tc>
          <w:tcPr>
            <w:tcW w:w="3144" w:type="dxa"/>
            <w:tcBorders>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DOP</w:t>
            </w:r>
            <w:r>
              <w:rPr>
                <w:rFonts w:cs="Calibri" w:ascii="Calibri" w:hAnsi="Calibri"/>
                <w:b/>
                <w:bCs/>
                <w:color w:themeColor="text1" w:val="000000"/>
                <w:kern w:val="2"/>
                <w:position w:val="-7"/>
                <w:szCs w:val="22"/>
              </w:rPr>
              <w:t>w</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-3</w:t>
            </w:r>
            <w:r>
              <w:rPr>
                <w:rFonts w:cs="Calibri" w:ascii="Calibri" w:hAnsi="Calibri"/>
                <w:b/>
                <w:bCs/>
                <w:color w:themeColor="text1" w:val="000000"/>
                <w:kern w:val="2"/>
                <w:szCs w:val="22"/>
              </w:rPr>
              <w:t>)</w:t>
            </w:r>
          </w:p>
        </w:tc>
        <w:tc>
          <w:tcPr>
            <w:tcW w:w="2881" w:type="dxa"/>
            <w:tcBorders>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0.0140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0.0074</w:t>
            </w:r>
          </w:p>
        </w:tc>
        <w:tc>
          <w:tcPr>
            <w:tcW w:w="2070" w:type="dxa"/>
            <w:tcBorders>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52.5%</w:t>
            </w:r>
          </w:p>
        </w:tc>
      </w:tr>
      <w:tr>
        <w:trPr>
          <w:trHeight w:val="432" w:hRule="exact"/>
          <w:cantSplit w:val="true"/>
        </w:trPr>
        <w:tc>
          <w:tcPr>
            <w:tcW w:w="3144" w:type="dxa"/>
            <w:tcBorders>
              <w:left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DIP</w:t>
            </w:r>
            <w:r>
              <w:rPr>
                <w:rFonts w:cs="Calibri" w:ascii="Calibri" w:hAnsi="Calibri"/>
                <w:b/>
                <w:bCs/>
                <w:color w:themeColor="text1" w:val="000000"/>
                <w:kern w:val="2"/>
                <w:position w:val="-7"/>
                <w:szCs w:val="22"/>
              </w:rPr>
              <w:t>w</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-3</w:t>
            </w:r>
            <w:r>
              <w:rPr>
                <w:rFonts w:cs="Calibri" w:ascii="Calibri" w:hAnsi="Calibri"/>
                <w:b/>
                <w:bCs/>
                <w:color w:themeColor="text1" w:val="000000"/>
                <w:kern w:val="2"/>
                <w:szCs w:val="22"/>
              </w:rPr>
              <w:t>)</w:t>
            </w:r>
          </w:p>
        </w:tc>
        <w:tc>
          <w:tcPr>
            <w:tcW w:w="2881" w:type="dxa"/>
            <w:tcBorders>
              <w:left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0.0260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0.0282</w:t>
            </w:r>
          </w:p>
        </w:tc>
        <w:tc>
          <w:tcPr>
            <w:tcW w:w="2070" w:type="dxa"/>
            <w:tcBorders>
              <w:left w:val="single" w:sz="8"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108.4%</w:t>
            </w:r>
          </w:p>
        </w:tc>
      </w:tr>
      <w:tr>
        <w:trPr>
          <w:trHeight w:val="432" w:hRule="exact"/>
          <w:cantSplit w:val="true"/>
        </w:trPr>
        <w:tc>
          <w:tcPr>
            <w:tcW w:w="3144" w:type="dxa"/>
            <w:tcBorders>
              <w:left w:val="single" w:sz="4"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PIP</w:t>
            </w:r>
            <w:r>
              <w:rPr>
                <w:rFonts w:cs="Calibri" w:ascii="Calibri" w:hAnsi="Calibri"/>
                <w:b/>
                <w:bCs/>
                <w:color w:themeColor="text1" w:val="000000"/>
                <w:kern w:val="2"/>
                <w:position w:val="-7"/>
                <w:szCs w:val="22"/>
              </w:rPr>
              <w:t>w</w:t>
            </w:r>
            <w:r>
              <w:rPr>
                <w:rFonts w:cs="Calibri" w:ascii="Calibri" w:hAnsi="Calibri"/>
                <w:b/>
                <w:bCs/>
                <w:color w:themeColor="text1" w:val="000000"/>
                <w:kern w:val="2"/>
                <w:szCs w:val="22"/>
              </w:rPr>
              <w:t xml:space="preserve"> (g P m</w:t>
            </w:r>
            <w:r>
              <w:rPr>
                <w:rFonts w:cs="Calibri" w:ascii="Calibri" w:hAnsi="Calibri"/>
                <w:b/>
                <w:bCs/>
                <w:color w:themeColor="text1" w:val="000000"/>
                <w:kern w:val="2"/>
                <w:position w:val="8"/>
                <w:szCs w:val="22"/>
              </w:rPr>
              <w:t>-3</w:t>
            </w:r>
            <w:r>
              <w:rPr>
                <w:rFonts w:cs="Calibri" w:ascii="Calibri" w:hAnsi="Calibri"/>
                <w:b/>
                <w:bCs/>
                <w:color w:themeColor="text1" w:val="000000"/>
                <w:kern w:val="2"/>
                <w:szCs w:val="22"/>
              </w:rPr>
              <w:t>)</w:t>
            </w:r>
          </w:p>
        </w:tc>
        <w:tc>
          <w:tcPr>
            <w:tcW w:w="2881" w:type="dxa"/>
            <w:tcBorders>
              <w:left w:val="single" w:sz="8"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0.0060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0.0025</w:t>
            </w:r>
          </w:p>
        </w:tc>
        <w:tc>
          <w:tcPr>
            <w:tcW w:w="2070" w:type="dxa"/>
            <w:tcBorders>
              <w:left w:val="single" w:sz="8"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41.9%</w:t>
            </w:r>
          </w:p>
        </w:tc>
      </w:tr>
      <w:tr>
        <w:trPr>
          <w:trHeight w:val="432" w:hRule="exact"/>
          <w:cantSplit w:val="true"/>
        </w:trPr>
        <w:tc>
          <w:tcPr>
            <w:tcW w:w="3144" w:type="dxa"/>
            <w:tcBorders>
              <w:top w:val="single" w:sz="4" w:space="0" w:color="000000"/>
              <w:left w:val="single" w:sz="4" w:space="0" w:color="000000"/>
              <w:bottom w:val="single" w:sz="4"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rPr>
            </w:pPr>
            <w:r>
              <w:rPr>
                <w:rFonts w:cs="Calibri" w:ascii="Calibri" w:hAnsi="Calibri"/>
                <w:b/>
                <w:color w:themeColor="text1" w:val="000000"/>
                <w:kern w:val="2"/>
              </w:rPr>
              <w:t>TP</w:t>
            </w:r>
            <w:r>
              <w:rPr>
                <w:rFonts w:cs="Calibri" w:ascii="Calibri" w:hAnsi="Calibri"/>
                <w:b/>
                <w:color w:themeColor="text1" w:val="000000"/>
                <w:kern w:val="2"/>
                <w:position w:val="-7"/>
              </w:rPr>
              <w:t>w</w:t>
            </w:r>
            <w:r>
              <w:rPr>
                <w:rFonts w:cs="Calibri" w:ascii="Calibri" w:hAnsi="Calibri"/>
                <w:b/>
                <w:color w:themeColor="text1" w:val="000000"/>
                <w:kern w:val="2"/>
              </w:rPr>
              <w:t xml:space="preserve"> (g P m</w:t>
            </w:r>
            <w:r>
              <w:rPr>
                <w:rFonts w:cs="Calibri" w:ascii="Calibri" w:hAnsi="Calibri"/>
                <w:b/>
                <w:color w:themeColor="text1" w:val="000000"/>
                <w:kern w:val="2"/>
                <w:position w:val="8"/>
              </w:rPr>
              <w:t>-3</w:t>
            </w:r>
            <w:r>
              <w:rPr>
                <w:rFonts w:cs="Calibri" w:ascii="Calibri" w:hAnsi="Calibri"/>
                <w:b/>
                <w:color w:themeColor="text1" w:val="000000"/>
                <w:kern w:val="2"/>
              </w:rPr>
              <w:t>)</w:t>
            </w:r>
          </w:p>
        </w:tc>
        <w:tc>
          <w:tcPr>
            <w:tcW w:w="2881" w:type="dxa"/>
            <w:tcBorders>
              <w:top w:val="single" w:sz="4" w:space="0" w:color="000000"/>
              <w:left w:val="single" w:sz="8" w:space="0" w:color="000000"/>
              <w:bottom w:val="single" w:sz="8" w:space="0" w:color="000000"/>
              <w:right w:val="single" w:sz="8"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 xml:space="preserve">0.0560 </w:t>
            </w:r>
            <w:r>
              <w:rPr>
                <w:rFonts w:cs="Calibri" w:ascii="Calibri" w:hAnsi="Calibri"/>
                <w:b/>
                <w:bCs/>
                <w:color w:themeColor="text1" w:val="000000"/>
                <w:kern w:val="2"/>
                <w:szCs w:val="22"/>
                <w:u w:val="single"/>
              </w:rPr>
              <w:t>+</w:t>
            </w:r>
            <w:r>
              <w:rPr>
                <w:rFonts w:cs="Calibri" w:ascii="Calibri" w:hAnsi="Calibri"/>
                <w:b/>
                <w:bCs/>
                <w:color w:themeColor="text1" w:val="000000"/>
                <w:kern w:val="2"/>
                <w:szCs w:val="22"/>
              </w:rPr>
              <w:t xml:space="preserve"> 0.0120</w:t>
            </w:r>
          </w:p>
        </w:tc>
        <w:tc>
          <w:tcPr>
            <w:tcW w:w="2070" w:type="dxa"/>
            <w:tcBorders>
              <w:top w:val="single" w:sz="4" w:space="0" w:color="000000"/>
              <w:left w:val="single" w:sz="8"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Cs w:val="22"/>
              </w:rPr>
            </w:pPr>
            <w:r>
              <w:rPr>
                <w:rFonts w:cs="Calibri" w:ascii="Calibri" w:hAnsi="Calibri"/>
                <w:b/>
                <w:bCs/>
                <w:color w:themeColor="text1" w:val="000000"/>
                <w:kern w:val="2"/>
                <w:szCs w:val="22"/>
              </w:rPr>
              <w:t>21.5%</w:t>
            </w:r>
          </w:p>
        </w:tc>
      </w:tr>
    </w:tbl>
    <w:p>
      <w:pPr>
        <w:pStyle w:val="Normal"/>
        <w:rPr>
          <w:color w:themeColor="text1" w:val="000000"/>
        </w:rPr>
      </w:pPr>
      <w:r>
        <w:rPr>
          <w:color w:themeColor="text1" w:val="000000"/>
        </w:rPr>
      </w:r>
    </w:p>
    <w:p>
      <w:pPr>
        <w:pStyle w:val="Normal"/>
        <w:rPr>
          <w:color w:themeColor="text1" w:val="000000"/>
        </w:rPr>
      </w:pPr>
      <w:r>
        <w:rPr>
          <w:color w:themeColor="text1" w:val="000000"/>
        </w:rPr>
        <w:t>The P concentrations of the biogeochemical pools ranged from 0.001-0.025 g P m</w:t>
      </w:r>
      <w:r>
        <w:rPr>
          <w:color w:themeColor="text1" w:val="000000"/>
          <w:vertAlign w:val="superscript"/>
        </w:rPr>
        <w:t>-2</w:t>
      </w:r>
      <w:r>
        <w:rPr>
          <w:color w:themeColor="text1" w:val="000000"/>
        </w:rPr>
        <w:t xml:space="preserve"> in the dry and wet seasons at the inflow and outflow structures among the five water column constituents (P</w:t>
      </w:r>
      <w:r>
        <w:rPr>
          <w:color w:themeColor="text1" w:val="000000"/>
          <w:vertAlign w:val="subscript"/>
        </w:rPr>
        <w:t>PHYTO</w:t>
      </w:r>
      <w:r>
        <w:rPr>
          <w:color w:themeColor="text1" w:val="000000"/>
        </w:rPr>
        <w:t>, POP</w:t>
      </w:r>
      <w:r>
        <w:rPr>
          <w:color w:themeColor="text1" w:val="000000"/>
          <w:vertAlign w:val="subscript"/>
        </w:rPr>
        <w:t>W</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PIP</w:t>
      </w:r>
      <w:r>
        <w:rPr>
          <w:color w:themeColor="text1" w:val="000000"/>
          <w:vertAlign w:val="subscript"/>
        </w:rPr>
        <w:t>W</w:t>
      </w:r>
      <w:r>
        <w:rPr>
          <w:color w:themeColor="text1" w:val="000000"/>
        </w:rPr>
        <w:t xml:space="preserve">; Figure 2-3). The average concentrations were divided by an estimated flow-way depth of 0.5 m to derive model targets of 0.002 </w:t>
      </w:r>
      <w:r>
        <w:rPr>
          <w:rFonts w:cs="Segoe UI"/>
          <w:color w:themeColor="text1" w:val="000000"/>
        </w:rPr>
        <w:t>±</w:t>
      </w:r>
      <w:r>
        <w:rPr>
          <w:color w:themeColor="text1" w:val="000000"/>
        </w:rPr>
        <w:t xml:space="preserve"> 0.001 g P m</w:t>
      </w:r>
      <w:r>
        <w:rPr>
          <w:color w:themeColor="text1" w:val="000000"/>
          <w:vertAlign w:val="superscript"/>
        </w:rPr>
        <w:t>-3</w:t>
      </w:r>
      <w:r>
        <w:rPr>
          <w:color w:themeColor="text1" w:val="000000"/>
        </w:rPr>
        <w:t xml:space="preserve">, 0.010 </w:t>
      </w:r>
      <w:r>
        <w:rPr>
          <w:rFonts w:cs="Segoe UI"/>
          <w:color w:themeColor="text1" w:val="000000"/>
        </w:rPr>
        <w:t>±</w:t>
      </w:r>
      <w:r>
        <w:rPr>
          <w:color w:themeColor="text1" w:val="000000"/>
        </w:rPr>
        <w:t xml:space="preserve"> 0.010 g P m</w:t>
      </w:r>
      <w:r>
        <w:rPr>
          <w:color w:themeColor="text1" w:val="000000"/>
          <w:vertAlign w:val="superscript"/>
        </w:rPr>
        <w:t>-3</w:t>
      </w:r>
      <w:r>
        <w:rPr>
          <w:color w:themeColor="text1" w:val="000000"/>
        </w:rPr>
        <w:t xml:space="preserve"> ,0.014</w:t>
      </w:r>
      <w:r>
        <w:rPr>
          <w:rFonts w:cs="Segoe UI"/>
          <w:color w:themeColor="text1" w:val="000000"/>
        </w:rPr>
        <w:t>±</w:t>
      </w:r>
      <w:r>
        <w:rPr>
          <w:color w:themeColor="text1" w:val="000000"/>
        </w:rPr>
        <w:t>0.007 g P m</w:t>
      </w:r>
      <w:r>
        <w:rPr>
          <w:color w:themeColor="text1" w:val="000000"/>
          <w:vertAlign w:val="superscript"/>
        </w:rPr>
        <w:t>-3</w:t>
      </w:r>
      <w:r>
        <w:rPr>
          <w:color w:themeColor="text1" w:val="000000"/>
        </w:rPr>
        <w:t xml:space="preserve">, and 0.026 </w:t>
      </w:r>
      <w:r>
        <w:rPr>
          <w:rFonts w:cs="Segoe UI"/>
          <w:color w:themeColor="text1" w:val="000000"/>
        </w:rPr>
        <w:t>±</w:t>
      </w:r>
      <w:r>
        <w:rPr>
          <w:color w:themeColor="text1" w:val="000000"/>
        </w:rPr>
        <w:t xml:space="preserve"> 0.028 g P m</w:t>
      </w:r>
      <w:r>
        <w:rPr>
          <w:color w:themeColor="text1" w:val="000000"/>
          <w:vertAlign w:val="superscript"/>
        </w:rPr>
        <w:t>-3</w:t>
      </w:r>
      <w:r>
        <w:rPr>
          <w:color w:themeColor="text1" w:val="000000"/>
        </w:rPr>
        <w:t xml:space="preserve">, 0.006 </w:t>
      </w:r>
      <w:r>
        <w:rPr>
          <w:rFonts w:cs="Segoe UI"/>
          <w:color w:themeColor="text1" w:val="000000"/>
        </w:rPr>
        <w:t>±</w:t>
      </w:r>
      <w:r>
        <w:rPr>
          <w:color w:themeColor="text1" w:val="000000"/>
        </w:rPr>
        <w:t xml:space="preserve"> 0.003 g P m</w:t>
      </w:r>
      <w:r>
        <w:rPr>
          <w:color w:themeColor="text1" w:val="000000"/>
          <w:vertAlign w:val="superscript"/>
        </w:rPr>
        <w:t>-3</w:t>
      </w:r>
      <w:r>
        <w:rPr>
          <w:color w:themeColor="text1" w:val="000000"/>
        </w:rPr>
        <w:t xml:space="preserve"> for the five constituents (Table 2-4). While POP</w:t>
      </w:r>
      <w:r>
        <w:rPr>
          <w:color w:themeColor="text1" w:val="000000"/>
          <w:vertAlign w:val="subscript"/>
        </w:rPr>
        <w:t>S</w:t>
      </w:r>
      <w:r>
        <w:rPr>
          <w:color w:themeColor="text1" w:val="000000"/>
        </w:rPr>
        <w:t xml:space="preserve"> was comparatively high ranging from 2.25-2.75 g P m</w:t>
      </w:r>
      <w:r>
        <w:rPr>
          <w:color w:themeColor="text1" w:val="000000"/>
          <w:vertAlign w:val="superscript"/>
        </w:rPr>
        <w:t>-2</w:t>
      </w:r>
      <w:r>
        <w:rPr>
          <w:color w:themeColor="text1" w:val="000000"/>
        </w:rPr>
        <w:t>, the PIP concentrations in the soil declined from approximately 0.55 g P m</w:t>
      </w:r>
      <w:r>
        <w:rPr>
          <w:color w:themeColor="text1" w:val="000000"/>
          <w:vertAlign w:val="superscript"/>
        </w:rPr>
        <w:t>-2</w:t>
      </w:r>
      <w:r>
        <w:rPr>
          <w:color w:themeColor="text1" w:val="000000"/>
        </w:rPr>
        <w:t xml:space="preserve"> to ~0.30 g P m</w:t>
      </w:r>
      <w:r>
        <w:rPr>
          <w:color w:themeColor="text1" w:val="000000"/>
          <w:vertAlign w:val="superscript"/>
        </w:rPr>
        <w:t>-2</w:t>
      </w:r>
      <w:r>
        <w:rPr>
          <w:color w:themeColor="text1" w:val="000000"/>
        </w:rPr>
        <w:t xml:space="preserve"> between the inflow and outflow zones of STA-2 FW1 (Figure 2-4C and 2-4D). The model targets for POP</w:t>
      </w:r>
      <w:r>
        <w:rPr>
          <w:color w:themeColor="text1" w:val="000000"/>
          <w:vertAlign w:val="subscript"/>
        </w:rPr>
        <w:t>S</w:t>
      </w:r>
      <w:r>
        <w:rPr>
          <w:color w:themeColor="text1" w:val="000000"/>
        </w:rPr>
        <w:t xml:space="preserve"> and PIPS were 2.57</w:t>
      </w:r>
      <w:r>
        <w:rPr>
          <w:rFonts w:cs="Segoe UI"/>
          <w:color w:themeColor="text1" w:val="000000"/>
        </w:rPr>
        <w:t>±</w:t>
      </w:r>
      <w:r>
        <w:rPr>
          <w:color w:themeColor="text1" w:val="000000"/>
        </w:rPr>
        <w:t>2.16 g P m</w:t>
      </w:r>
      <w:r>
        <w:rPr>
          <w:color w:themeColor="text1" w:val="000000"/>
          <w:vertAlign w:val="superscript"/>
        </w:rPr>
        <w:t>-2</w:t>
      </w:r>
      <w:r>
        <w:rPr>
          <w:color w:themeColor="text1" w:val="000000"/>
        </w:rPr>
        <w:t xml:space="preserve"> and 0.44 </w:t>
      </w:r>
      <w:r>
        <w:rPr>
          <w:rFonts w:cs="Segoe UI"/>
          <w:color w:themeColor="text1" w:val="000000"/>
        </w:rPr>
        <w:t>±</w:t>
      </w:r>
      <w:r>
        <w:rPr>
          <w:color w:themeColor="text1" w:val="000000"/>
        </w:rPr>
        <w:t xml:space="preserve"> 0.27 g P m</w:t>
      </w:r>
      <w:r>
        <w:rPr>
          <w:color w:themeColor="text1" w:val="000000"/>
          <w:vertAlign w:val="superscript"/>
        </w:rPr>
        <w:t>-2</w:t>
      </w:r>
      <w:r>
        <w:rPr>
          <w:color w:themeColor="text1" w:val="000000"/>
        </w:rPr>
        <w:t>, respectively (Table 2-4). P</w:t>
      </w:r>
      <w:r>
        <w:rPr>
          <w:color w:themeColor="text1" w:val="000000"/>
          <w:vertAlign w:val="subscript"/>
        </w:rPr>
        <w:t>LITTER</w:t>
      </w:r>
      <w:r>
        <w:rPr>
          <w:color w:themeColor="text1" w:val="000000"/>
        </w:rPr>
        <w:t>, P</w:t>
      </w:r>
      <w:r>
        <w:rPr>
          <w:color w:themeColor="text1" w:val="000000"/>
          <w:vertAlign w:val="subscript"/>
        </w:rPr>
        <w:t>FLOC</w:t>
      </w:r>
      <w:r>
        <w:rPr>
          <w:color w:themeColor="text1" w:val="000000"/>
        </w:rPr>
        <w:t>, P</w:t>
      </w:r>
      <w:r>
        <w:rPr>
          <w:color w:themeColor="text1" w:val="000000"/>
          <w:vertAlign w:val="subscript"/>
        </w:rPr>
        <w:t>SAV</w:t>
      </w:r>
      <w:r>
        <w:rPr>
          <w:color w:themeColor="text1" w:val="000000"/>
        </w:rPr>
        <w:t>, P</w:t>
      </w:r>
      <w:r>
        <w:rPr>
          <w:color w:themeColor="text1" w:val="000000"/>
          <w:vertAlign w:val="subscript"/>
        </w:rPr>
        <w:t>EAVSH</w:t>
      </w:r>
      <w:r>
        <w:rPr>
          <w:color w:themeColor="text1" w:val="000000"/>
        </w:rPr>
        <w:t>, and P</w:t>
      </w:r>
      <w:r>
        <w:rPr>
          <w:color w:themeColor="text1" w:val="000000"/>
          <w:vertAlign w:val="subscript"/>
        </w:rPr>
        <w:t>PERI</w:t>
      </w:r>
      <w:r>
        <w:rPr>
          <w:color w:themeColor="text1" w:val="000000"/>
        </w:rPr>
        <w:t xml:space="preserve"> ranged from 0.1-3.0 g P m</w:t>
      </w:r>
      <w:r>
        <w:rPr>
          <w:color w:themeColor="text1" w:val="000000"/>
          <w:vertAlign w:val="superscript"/>
        </w:rPr>
        <w:t>-2</w:t>
      </w:r>
      <w:r>
        <w:rPr>
          <w:color w:themeColor="text1" w:val="000000"/>
        </w:rPr>
        <w:t xml:space="preserve"> with target concentrations of 0.07 </w:t>
      </w:r>
      <w:r>
        <w:rPr>
          <w:rFonts w:cs="Segoe UI"/>
          <w:color w:themeColor="text1" w:val="000000"/>
        </w:rPr>
        <w:t>±</w:t>
      </w:r>
      <w:r>
        <w:rPr>
          <w:color w:themeColor="text1" w:val="000000"/>
        </w:rPr>
        <w:t xml:space="preserve"> 0.32 g P m</w:t>
      </w:r>
      <w:r>
        <w:rPr>
          <w:color w:themeColor="text1" w:val="000000"/>
          <w:vertAlign w:val="superscript"/>
        </w:rPr>
        <w:t>-2</w:t>
      </w:r>
      <w:r>
        <w:rPr>
          <w:color w:themeColor="text1" w:val="000000"/>
        </w:rPr>
        <w:t xml:space="preserve">, 1.64 </w:t>
      </w:r>
      <w:r>
        <w:rPr>
          <w:rFonts w:cs="Segoe UI"/>
          <w:color w:themeColor="text1" w:val="000000"/>
        </w:rPr>
        <w:t>±</w:t>
      </w:r>
      <w:r>
        <w:rPr>
          <w:color w:themeColor="text1" w:val="000000"/>
        </w:rPr>
        <w:t xml:space="preserve"> 0.65 g P m</w:t>
      </w:r>
      <w:r>
        <w:rPr>
          <w:color w:themeColor="text1" w:val="000000"/>
          <w:vertAlign w:val="superscript"/>
        </w:rPr>
        <w:t>-2</w:t>
      </w:r>
      <w:r>
        <w:rPr>
          <w:color w:themeColor="text1" w:val="000000"/>
        </w:rPr>
        <w:t>, 0.16</w:t>
      </w:r>
      <w:r>
        <w:rPr>
          <w:rFonts w:cs="Segoe UI"/>
          <w:color w:themeColor="text1" w:val="000000"/>
        </w:rPr>
        <w:t>±</w:t>
      </w:r>
      <w:r>
        <w:rPr>
          <w:color w:themeColor="text1" w:val="000000"/>
        </w:rPr>
        <w:t>0.04 g P m</w:t>
      </w:r>
      <w:r>
        <w:rPr>
          <w:color w:themeColor="text1" w:val="000000"/>
          <w:vertAlign w:val="superscript"/>
        </w:rPr>
        <w:t>-2</w:t>
      </w:r>
      <w:r>
        <w:rPr>
          <w:color w:themeColor="text1" w:val="000000"/>
        </w:rPr>
        <w:t xml:space="preserve">, 1.95 </w:t>
      </w:r>
      <w:r>
        <w:rPr>
          <w:rFonts w:cs="Segoe UI"/>
          <w:color w:themeColor="text1" w:val="000000"/>
        </w:rPr>
        <w:t>±</w:t>
      </w:r>
      <w:r>
        <w:rPr>
          <w:color w:themeColor="text1" w:val="000000"/>
        </w:rPr>
        <w:t xml:space="preserve"> 0.87 g P m</w:t>
      </w:r>
      <w:r>
        <w:rPr>
          <w:color w:themeColor="text1" w:val="000000"/>
          <w:vertAlign w:val="superscript"/>
        </w:rPr>
        <w:t>-2</w:t>
      </w:r>
      <w:r>
        <w:rPr>
          <w:color w:themeColor="text1" w:val="000000"/>
        </w:rPr>
        <w:t xml:space="preserve">, and 0.83 </w:t>
      </w:r>
      <w:r>
        <w:rPr>
          <w:rFonts w:cs="Segoe UI"/>
          <w:color w:themeColor="text1" w:val="000000"/>
        </w:rPr>
        <w:t>±</w:t>
      </w:r>
      <w:r>
        <w:rPr>
          <w:color w:themeColor="text1" w:val="000000"/>
        </w:rPr>
        <w:t xml:space="preserve"> 0.62 g P m</w:t>
      </w:r>
      <w:r>
        <w:rPr>
          <w:color w:themeColor="text1" w:val="000000"/>
          <w:vertAlign w:val="superscript"/>
        </w:rPr>
        <w:t>-2</w:t>
      </w:r>
      <w:r>
        <w:rPr>
          <w:color w:themeColor="text1" w:val="000000"/>
        </w:rPr>
        <w:t xml:space="preserve"> (Table 2-4; Figure 2-4D). The most variable and difficult to determine target concentrations were for DOP</w:t>
      </w:r>
      <w:r>
        <w:rPr>
          <w:color w:themeColor="text1" w:val="000000"/>
          <w:vertAlign w:val="subscript"/>
        </w:rPr>
        <w:t>S</w:t>
      </w:r>
      <w:r>
        <w:rPr>
          <w:color w:themeColor="text1" w:val="000000"/>
        </w:rPr>
        <w:t xml:space="preserve"> and DIP</w:t>
      </w:r>
      <w:r>
        <w:rPr>
          <w:color w:themeColor="text1" w:val="000000"/>
          <w:vertAlign w:val="subscript"/>
        </w:rPr>
        <w:t>S</w:t>
      </w:r>
      <w:r>
        <w:rPr>
          <w:color w:themeColor="text1" w:val="000000"/>
        </w:rPr>
        <w:t>. These biogeochemical pools are notoriously problematic to measure with accuracy or precision. Moreover, the concentrations were determined using two different approaches. The initial target values for DOP</w:t>
      </w:r>
      <w:r>
        <w:rPr>
          <w:color w:themeColor="text1" w:val="000000"/>
          <w:vertAlign w:val="subscript"/>
        </w:rPr>
        <w:t>S</w:t>
      </w:r>
      <w:r>
        <w:rPr>
          <w:color w:themeColor="text1" w:val="000000"/>
        </w:rPr>
        <w:t xml:space="preserve"> and DIP</w:t>
      </w:r>
      <w:r>
        <w:rPr>
          <w:color w:themeColor="text1" w:val="000000"/>
          <w:vertAlign w:val="subscript"/>
        </w:rPr>
        <w:t>S</w:t>
      </w:r>
      <w:r>
        <w:rPr>
          <w:color w:themeColor="text1" w:val="000000"/>
        </w:rPr>
        <w:t xml:space="preserve"> were set at 0.15 </w:t>
      </w:r>
      <w:r>
        <w:rPr>
          <w:rFonts w:cs="Segoe UI"/>
          <w:color w:themeColor="text1" w:val="000000"/>
        </w:rPr>
        <w:t>±</w:t>
      </w:r>
      <w:r>
        <w:rPr>
          <w:color w:themeColor="text1" w:val="000000"/>
        </w:rPr>
        <w:t xml:space="preserve"> 0.12 g P m</w:t>
      </w:r>
      <w:r>
        <w:rPr>
          <w:color w:themeColor="text1" w:val="000000"/>
          <w:vertAlign w:val="superscript"/>
        </w:rPr>
        <w:t>-2</w:t>
      </w:r>
      <w:r>
        <w:rPr>
          <w:color w:themeColor="text1" w:val="000000"/>
        </w:rPr>
        <w:t xml:space="preserve"> and 0.10 </w:t>
      </w:r>
      <w:r>
        <w:rPr>
          <w:rFonts w:cs="Segoe UI"/>
          <w:color w:themeColor="text1" w:val="000000"/>
        </w:rPr>
        <w:t>±</w:t>
      </w:r>
      <w:r>
        <w:rPr>
          <w:color w:themeColor="text1" w:val="000000"/>
        </w:rPr>
        <w:t xml:space="preserve"> 0.08 g P m</w:t>
      </w:r>
      <w:r>
        <w:rPr>
          <w:color w:themeColor="text1" w:val="000000"/>
          <w:vertAlign w:val="superscript"/>
        </w:rPr>
        <w:t>-2</w:t>
      </w:r>
      <w:r>
        <w:rPr>
          <w:color w:themeColor="text1" w:val="000000"/>
        </w:rPr>
        <w:t>, respectively (Table 2-4). However, the raw data from both laboratory extracts and in situ soil porewater equilibrators were revisited in later tasks (Task 8.4 Calibration &amp; Validation). The concentrations of both soil porewater constituents from both approaches were less than previously estimated but extremely variable (Table 2-5). The implications of these data and model results are discussed in later sections.</w:t>
      </w:r>
    </w:p>
    <w:p>
      <w:pPr>
        <w:pStyle w:val="Caption"/>
        <w:spacing w:lineRule="auto" w:line="240"/>
        <w:rPr>
          <w:color w:themeColor="text1" w:val="000000"/>
        </w:rPr>
      </w:pPr>
      <w:bookmarkStart w:id="44" w:name="_Hlk170391293"/>
      <w:bookmarkStart w:id="45" w:name="_Toc182250914"/>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5</w:t>
      </w:r>
      <w:r>
        <w:rPr>
          <w:color w:themeColor="text1" w:val="000000"/>
        </w:rPr>
        <w:fldChar w:fldCharType="end"/>
      </w:r>
      <w:r>
        <w:rPr>
          <w:color w:themeColor="text1" w:val="000000"/>
        </w:rPr>
        <w:t>. Comparisons between pore-water dissolved organic P (DOP) and inorganic P (DIP) from STA2 FW1 (Two different methods were used to determine the pore-water concentrations (Extract vs Peeper).  All concentrations in g P m</w:t>
      </w:r>
      <w:r>
        <w:rPr>
          <w:color w:themeColor="text1" w:val="000000"/>
          <w:vertAlign w:val="superscript"/>
        </w:rPr>
        <w:t>-2</w:t>
      </w:r>
      <w:r>
        <w:rPr>
          <w:color w:themeColor="text1" w:val="000000"/>
        </w:rPr>
        <w:t>.</w:t>
      </w:r>
      <w:bookmarkEnd w:id="45"/>
      <w:r>
        <w:rPr>
          <w:color w:themeColor="text1" w:val="000000"/>
        </w:rPr>
        <w:t xml:space="preserve">  </w:t>
      </w:r>
      <w:bookmarkEnd w:id="44"/>
    </w:p>
    <w:p>
      <w:pPr>
        <w:pStyle w:val="Normal"/>
        <w:jc w:val="center"/>
        <w:rPr>
          <w:color w:themeColor="text1" w:val="000000"/>
        </w:rPr>
      </w:pPr>
      <w:r>
        <w:rPr/>
        <w:drawing>
          <wp:inline distT="0" distB="0" distL="0" distR="0">
            <wp:extent cx="4267200" cy="3352800"/>
            <wp:effectExtent l="0" t="0" r="0" b="0"/>
            <wp:docPr id="2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descr=""/>
                    <pic:cNvPicPr>
                      <a:picLocks noChangeAspect="1" noChangeArrowheads="1"/>
                    </pic:cNvPicPr>
                  </pic:nvPicPr>
                  <pic:blipFill>
                    <a:blip r:embed="rId30"/>
                    <a:stretch>
                      <a:fillRect/>
                    </a:stretch>
                  </pic:blipFill>
                  <pic:spPr bwMode="auto">
                    <a:xfrm>
                      <a:off x="0" y="0"/>
                      <a:ext cx="4267200" cy="3352800"/>
                    </a:xfrm>
                    <a:prstGeom prst="rect">
                      <a:avLst/>
                    </a:prstGeom>
                  </pic:spPr>
                </pic:pic>
              </a:graphicData>
            </a:graphic>
          </wp:inline>
        </w:drawing>
      </w:r>
    </w:p>
    <w:p>
      <w:pPr>
        <w:pStyle w:val="Normal"/>
        <w:rPr>
          <w:color w:themeColor="text1" w:val="000000"/>
        </w:rPr>
      </w:pPr>
      <w:r>
        <w:rPr>
          <w:color w:themeColor="text1" w:val="000000"/>
        </w:rPr>
      </w:r>
    </w:p>
    <w:p>
      <w:pPr>
        <w:pStyle w:val="Heading3"/>
        <w:rPr>
          <w:color w:themeColor="text1" w:val="000000"/>
        </w:rPr>
      </w:pPr>
      <w:bookmarkStart w:id="46" w:name="_Toc182252501"/>
      <w:r>
        <w:rPr>
          <w:color w:themeColor="text1" w:val="000000"/>
        </w:rPr>
        <w:t>Model Structure</w:t>
      </w:r>
      <w:bookmarkEnd w:id="46"/>
    </w:p>
    <w:p>
      <w:pPr>
        <w:pStyle w:val="Normal"/>
        <w:rPr>
          <w:color w:themeColor="text1" w:val="000000"/>
        </w:rPr>
      </w:pPr>
      <w:r>
        <w:rPr>
          <w:color w:themeColor="text1" w:val="000000"/>
        </w:rPr>
        <w:t>The changes in the concentrations of the five C (g C m</w:t>
      </w:r>
      <w:r>
        <w:rPr>
          <w:color w:themeColor="text1" w:val="000000"/>
          <w:vertAlign w:val="superscript"/>
        </w:rPr>
        <w:t>-2</w:t>
      </w:r>
      <w:r>
        <w:rPr>
          <w:color w:themeColor="text1" w:val="000000"/>
        </w:rPr>
        <w:t>) and ten P pools (g P m</w:t>
      </w:r>
      <w:r>
        <w:rPr>
          <w:color w:themeColor="text1" w:val="000000"/>
          <w:vertAlign w:val="superscript"/>
        </w:rPr>
        <w:t>-3</w:t>
      </w:r>
      <w:r>
        <w:rPr>
          <w:color w:themeColor="text1" w:val="000000"/>
        </w:rPr>
        <w:t xml:space="preserve"> or g P m</w:t>
      </w:r>
      <w:r>
        <w:rPr>
          <w:color w:themeColor="text1" w:val="000000"/>
          <w:vertAlign w:val="superscript"/>
        </w:rPr>
        <w:t>-2</w:t>
      </w:r>
      <w:r>
        <w:rPr>
          <w:color w:themeColor="text1" w:val="000000"/>
        </w:rPr>
        <w:t xml:space="preserve">) were determined every time step (dt = 1.5 hours = 0.0625 d) through source-sink difference equations (Table 2-6). The difference equations for the C pools (phytoplankton, periphyton, </w:t>
      </w:r>
      <w:r>
        <w:rPr>
          <w:i/>
          <w:color w:themeColor="text1" w:val="000000"/>
        </w:rPr>
        <w:t>Typha</w:t>
      </w:r>
      <w:r>
        <w:rPr>
          <w:color w:themeColor="text1" w:val="000000"/>
        </w:rPr>
        <w:t xml:space="preserve"> shoots, </w:t>
      </w:r>
      <w:r>
        <w:rPr>
          <w:i/>
          <w:iCs/>
          <w:color w:themeColor="text1" w:val="000000"/>
        </w:rPr>
        <w:t>Typha</w:t>
      </w:r>
      <w:r>
        <w:rPr>
          <w:color w:themeColor="text1" w:val="000000"/>
        </w:rPr>
        <w:t xml:space="preserve"> root-rhizomes and SAV) included gross production (GP), respiration (RS), uptake (UP), loss through mortality (LS), grazing (GZ), exudation (EXU), and translocation (TRS; g C m</w:t>
      </w:r>
      <w:r>
        <w:rPr>
          <w:color w:themeColor="text1" w:val="000000"/>
          <w:vertAlign w:val="superscript"/>
        </w:rPr>
        <w:t xml:space="preserve">-2 </w:t>
      </w:r>
      <w:r>
        <w:rPr>
          <w:color w:themeColor="text1" w:val="000000"/>
        </w:rPr>
        <w:t>d</w:t>
      </w:r>
      <w:r>
        <w:rPr>
          <w:color w:themeColor="text1" w:val="000000"/>
          <w:vertAlign w:val="superscript"/>
        </w:rPr>
        <w:t>-1</w:t>
      </w:r>
      <w:r>
        <w:rPr>
          <w:color w:themeColor="text1" w:val="000000"/>
        </w:rPr>
        <w:t>; Figure 2-1; Table 2-3; Table 2-6). Changes in phytoplankton biomass also included inflow and outflow calculations similar to the P constituents. Each of the gross production equations included a maximum rate (P</w:t>
      </w:r>
      <w:r>
        <w:rPr>
          <w:color w:themeColor="text1" w:val="000000"/>
          <w:vertAlign w:val="subscript"/>
        </w:rPr>
        <w:t>MX</w:t>
      </w:r>
      <w:r>
        <w:rPr>
          <w:color w:themeColor="text1" w:val="000000"/>
        </w:rPr>
        <w:t>; d</w:t>
      </w:r>
      <w:r>
        <w:rPr>
          <w:color w:themeColor="text1" w:val="000000"/>
          <w:vertAlign w:val="superscript"/>
        </w:rPr>
        <w:t>-1</w:t>
      </w:r>
      <w:r>
        <w:rPr>
          <w:color w:themeColor="text1" w:val="000000"/>
        </w:rPr>
        <w:t>), a temperature effect (Tfx), P limitation function, a maximum biomass self-limitation function, and the producer biomass (g C m</w:t>
      </w:r>
      <w:r>
        <w:rPr>
          <w:color w:themeColor="text1" w:val="000000"/>
          <w:vertAlign w:val="superscript"/>
        </w:rPr>
        <w:t>-2</w:t>
      </w:r>
      <w:r>
        <w:rPr>
          <w:color w:themeColor="text1" w:val="000000"/>
        </w:rPr>
        <w:t>; Table 2-7). Water temperature (T</w:t>
      </w:r>
      <w:r>
        <w:rPr>
          <w:color w:themeColor="text1" w:val="000000"/>
          <w:vertAlign w:val="subscript"/>
        </w:rPr>
        <w:t>W</w:t>
      </w:r>
      <w:r>
        <w:rPr>
          <w:color w:themeColor="text1" w:val="000000"/>
        </w:rPr>
        <w:t>) had an exponential effect on gross production, respiration, remineralization of DOP, and decomposition of P</w:t>
      </w:r>
      <w:r>
        <w:rPr>
          <w:color w:themeColor="text1" w:val="000000"/>
          <w:vertAlign w:val="subscript"/>
        </w:rPr>
        <w:t>LITTER</w:t>
      </w:r>
      <w:r>
        <w:rPr>
          <w:color w:themeColor="text1" w:val="000000"/>
        </w:rPr>
        <w:t xml:space="preserve"> (Tfx; unitless). </w:t>
      </w:r>
    </w:p>
    <w:p>
      <w:pPr>
        <w:pStyle w:val="Normal"/>
        <w:rPr>
          <w:color w:themeColor="text1" w:val="000000"/>
        </w:rPr>
      </w:pPr>
      <w:r>
        <w:rPr>
          <w:color w:themeColor="text1" w:val="000000"/>
        </w:rPr>
        <w:t>Phytoplankton, periphyton and SAV required submarine irradiance. Surface irradiance was modeled using a trigonometric function with the maximum annual magnitude and a photoperiod function specified for 27°N latitude (Buzzelli et al. 2014; Table 17).  Light was attenuated exponentially with depth and the combined effects of colored dissolved organic matter (color), turbidity (TURB), and chlorophyll a (CHL). The average values for color (112 Pt-Co units) and turbidity (2.5 NTU) from the intensive assessment of P were multiplied the constituent-specific attenuation factors (f</w:t>
      </w:r>
      <w:r>
        <w:rPr>
          <w:color w:themeColor="text1" w:val="000000"/>
          <w:vertAlign w:val="subscript"/>
        </w:rPr>
        <w:t>CHL</w:t>
      </w:r>
      <w:r>
        <w:rPr>
          <w:color w:themeColor="text1" w:val="000000"/>
        </w:rPr>
        <w:t>, f</w:t>
      </w:r>
      <w:r>
        <w:rPr>
          <w:color w:themeColor="text1" w:val="000000"/>
          <w:vertAlign w:val="subscript"/>
        </w:rPr>
        <w:t>TURB</w:t>
      </w:r>
      <w:r>
        <w:rPr>
          <w:color w:themeColor="text1" w:val="000000"/>
        </w:rPr>
        <w:t>; f</w:t>
      </w:r>
      <w:r>
        <w:rPr>
          <w:color w:themeColor="text1" w:val="000000"/>
          <w:vertAlign w:val="subscript"/>
        </w:rPr>
        <w:t>COLOR</w:t>
      </w:r>
      <w:r>
        <w:rPr>
          <w:color w:themeColor="text1" w:val="000000"/>
        </w:rPr>
        <w:t>; Kelble et al. 2005; Villapando and King 2019).  CHL (g CHL m</w:t>
      </w:r>
      <w:r>
        <w:rPr>
          <w:color w:themeColor="text1" w:val="000000"/>
          <w:vertAlign w:val="superscript"/>
        </w:rPr>
        <w:noBreakHyphen/>
        <w:t>3</w:t>
      </w:r>
      <w:r>
        <w:rPr>
          <w:color w:themeColor="text1" w:val="000000"/>
        </w:rPr>
        <w:t>) was calculated every time step from C</w:t>
      </w:r>
      <w:r>
        <w:rPr>
          <w:color w:themeColor="text1" w:val="000000"/>
          <w:vertAlign w:val="subscript"/>
        </w:rPr>
        <w:t>PHYTO</w:t>
      </w:r>
      <w:r>
        <w:rPr>
          <w:color w:themeColor="text1" w:val="000000"/>
        </w:rPr>
        <w:t xml:space="preserve">, depth (m), and the C:CHL ratio (C:CHL = 0.25; James et al. 2005). The light formulation for periphyton included the effect of biomass self-shading (Buzzelli et al. 2014). </w:t>
      </w:r>
    </w:p>
    <w:p>
      <w:pPr>
        <w:pStyle w:val="Normal"/>
        <w:rPr>
          <w:color w:themeColor="text1" w:val="000000"/>
        </w:rPr>
      </w:pPr>
      <w:r>
        <w:rPr>
          <w:color w:themeColor="text1" w:val="000000"/>
        </w:rPr>
        <w:t xml:space="preserve">The </w:t>
      </w:r>
      <w:r>
        <w:rPr>
          <w:i/>
          <w:iCs/>
          <w:color w:themeColor="text1" w:val="000000"/>
        </w:rPr>
        <w:t>Typha</w:t>
      </w:r>
      <w:r>
        <w:rPr>
          <w:color w:themeColor="text1" w:val="000000"/>
        </w:rPr>
        <w:t xml:space="preserve"> shoot equation included the effects of depth on growth (hfx) and limitation calculated using soil DIP and RR half-saturation parameter (k</w:t>
      </w:r>
      <w:r>
        <w:rPr>
          <w:color w:themeColor="text1" w:val="000000"/>
          <w:vertAlign w:val="subscript"/>
        </w:rPr>
        <w:t>EAVRR</w:t>
      </w:r>
      <w:r>
        <w:rPr>
          <w:color w:themeColor="text1" w:val="000000"/>
        </w:rPr>
        <w:t>; g P m</w:t>
      </w:r>
      <w:r>
        <w:rPr>
          <w:color w:themeColor="text1" w:val="000000"/>
          <w:vertAlign w:val="superscript"/>
        </w:rPr>
        <w:t>-2</w:t>
      </w:r>
      <w:r>
        <w:rPr>
          <w:color w:themeColor="text1" w:val="000000"/>
        </w:rPr>
        <w:t xml:space="preserve">; Brix et al. 2010; Eqn. 3; Table 6). The modeling study by Eid et al. (2012) provided essential species-specific rates of gross production, respiration, and loss for shoot and root-rhizomes of </w:t>
      </w:r>
      <w:r>
        <w:rPr>
          <w:i/>
          <w:iCs/>
          <w:color w:themeColor="text1" w:val="000000"/>
        </w:rPr>
        <w:t>Typha domingensis</w:t>
      </w:r>
      <w:r>
        <w:rPr>
          <w:color w:themeColor="text1" w:val="000000"/>
        </w:rPr>
        <w:t xml:space="preserve">. In addition to these fundamental biological processes there were two custom functions essential for </w:t>
      </w:r>
      <w:r>
        <w:rPr>
          <w:i/>
          <w:iCs/>
          <w:color w:themeColor="text1" w:val="000000"/>
        </w:rPr>
        <w:t xml:space="preserve">Typha </w:t>
      </w:r>
      <w:r>
        <w:rPr>
          <w:color w:themeColor="text1" w:val="000000"/>
        </w:rPr>
        <w:t xml:space="preserve">modeling in the STAs (Figure 2-5A and 2-5B). First, the gross production rate of </w:t>
      </w:r>
      <w:r>
        <w:rPr>
          <w:i/>
          <w:color w:themeColor="text1" w:val="000000"/>
        </w:rPr>
        <w:t>Typha</w:t>
      </w:r>
      <w:r>
        <w:rPr>
          <w:color w:themeColor="text1" w:val="000000"/>
        </w:rPr>
        <w:t xml:space="preserve"> shoots declined with increasing depth based on the effects of depth on cattail photosynthesis and growth in the STAs (Chen et al. 2010; Chen and Vaughan 2014; Diaz and Vaughan 2019). </w:t>
      </w:r>
    </w:p>
    <w:p>
      <w:pPr>
        <w:pStyle w:val="Normal"/>
        <w:rPr>
          <w:color w:themeColor="text1" w:val="000000"/>
        </w:rPr>
      </w:pPr>
      <w:r>
        <w:rPr>
          <w:color w:themeColor="text1" w:val="000000"/>
        </w:rPr>
        <w:t xml:space="preserve">The second custom function represented the effect of surface roughness due to </w:t>
      </w:r>
      <w:r>
        <w:rPr>
          <w:i/>
          <w:color w:themeColor="text1" w:val="000000"/>
        </w:rPr>
        <w:t>Typha</w:t>
      </w:r>
      <w:r>
        <w:rPr>
          <w:color w:themeColor="text1" w:val="000000"/>
        </w:rPr>
        <w:t xml:space="preserve"> above-ground biomass (g C m</w:t>
      </w:r>
      <w:r>
        <w:rPr>
          <w:color w:themeColor="text1" w:val="000000"/>
          <w:vertAlign w:val="superscript"/>
        </w:rPr>
        <w:t>-2</w:t>
      </w:r>
      <w:r>
        <w:rPr>
          <w:color w:themeColor="text1" w:val="000000"/>
        </w:rPr>
        <w:t>) on the removal or sinking of POP</w:t>
      </w:r>
      <w:r>
        <w:rPr>
          <w:color w:themeColor="text1" w:val="000000"/>
          <w:vertAlign w:val="subscript"/>
        </w:rPr>
        <w:t>W</w:t>
      </w:r>
      <w:r>
        <w:rPr>
          <w:color w:themeColor="text1" w:val="000000"/>
        </w:rPr>
        <w:t xml:space="preserve"> (g P m</w:t>
      </w:r>
      <w:r>
        <w:rPr>
          <w:color w:themeColor="text1" w:val="000000"/>
          <w:vertAlign w:val="superscript"/>
        </w:rPr>
        <w:t>-2</w:t>
      </w:r>
      <w:r>
        <w:rPr>
          <w:color w:themeColor="text1" w:val="000000"/>
        </w:rPr>
        <w:t xml:space="preserve"> d</w:t>
      </w:r>
      <w:r>
        <w:rPr>
          <w:color w:themeColor="text1" w:val="000000"/>
          <w:vertAlign w:val="superscript"/>
        </w:rPr>
        <w:t>-1</w:t>
      </w:r>
      <w:r>
        <w:rPr>
          <w:color w:themeColor="text1" w:val="000000"/>
        </w:rPr>
        <w:t xml:space="preserve">). A hyperbolic relationship was applied because the effects of </w:t>
      </w:r>
      <w:r>
        <w:rPr>
          <w:i/>
          <w:color w:themeColor="text1" w:val="000000"/>
        </w:rPr>
        <w:t>Typha</w:t>
      </w:r>
      <w:r>
        <w:rPr>
          <w:color w:themeColor="text1" w:val="000000"/>
        </w:rPr>
        <w:t xml:space="preserve"> were assumed to reach a limit as shoots approached the maximum biomass (C</w:t>
      </w:r>
      <w:r>
        <w:rPr>
          <w:color w:themeColor="text1" w:val="000000"/>
          <w:vertAlign w:val="subscript"/>
        </w:rPr>
        <w:t>SHMX</w:t>
      </w:r>
      <w:r>
        <w:rPr>
          <w:color w:themeColor="text1" w:val="000000"/>
        </w:rPr>
        <w:t>). Values for the maximum sinking rate (0.0067 g P m</w:t>
      </w:r>
      <w:r>
        <w:rPr>
          <w:color w:themeColor="text1" w:val="000000"/>
          <w:vertAlign w:val="superscript"/>
        </w:rPr>
        <w:t>-2</w:t>
      </w:r>
      <w:r>
        <w:rPr>
          <w:color w:themeColor="text1" w:val="000000"/>
        </w:rPr>
        <w:t xml:space="preserve"> d</w:t>
      </w:r>
      <w:r>
        <w:rPr>
          <w:color w:themeColor="text1" w:val="000000"/>
          <w:vertAlign w:val="superscript"/>
        </w:rPr>
        <w:t>-1</w:t>
      </w:r>
      <w:r>
        <w:rPr>
          <w:color w:themeColor="text1" w:val="000000"/>
        </w:rPr>
        <w:t>; a</w:t>
      </w:r>
      <w:r>
        <w:rPr>
          <w:color w:themeColor="text1" w:val="000000"/>
          <w:vertAlign w:val="subscript"/>
        </w:rPr>
        <w:t>TYPHA</w:t>
      </w:r>
      <w:r>
        <w:rPr>
          <w:color w:themeColor="text1" w:val="000000"/>
        </w:rPr>
        <w:t>) and the half-saturation shoot biomass (351.4 g C m</w:t>
      </w:r>
      <w:r>
        <w:rPr>
          <w:color w:themeColor="text1" w:val="000000"/>
          <w:vertAlign w:val="superscript"/>
        </w:rPr>
        <w:t>-2</w:t>
      </w:r>
      <w:r>
        <w:rPr>
          <w:color w:themeColor="text1" w:val="000000"/>
        </w:rPr>
        <w:t>; b</w:t>
      </w:r>
      <w:r>
        <w:rPr>
          <w:color w:themeColor="text1" w:val="000000"/>
          <w:vertAlign w:val="subscript"/>
        </w:rPr>
        <w:t>TYPHA</w:t>
      </w:r>
      <w:r>
        <w:rPr>
          <w:color w:themeColor="text1" w:val="000000"/>
        </w:rPr>
        <w:t xml:space="preserve">) were determined through calibration of POP concentrations in the water column Table 2-7).  Finally, translocation moved C from the </w:t>
      </w:r>
      <w:r>
        <w:rPr>
          <w:i/>
          <w:color w:themeColor="text1" w:val="000000"/>
        </w:rPr>
        <w:t>Typha</w:t>
      </w:r>
      <w:r>
        <w:rPr>
          <w:color w:themeColor="text1" w:val="000000"/>
        </w:rPr>
        <w:t xml:space="preserve"> shoots to the root-rhizomes as a fraction of net primary production (NPP = GP - RS).  All C concentrations and process rates were converted using C:P ratios of the respective pools (Table 2-7).  </w:t>
      </w:r>
    </w:p>
    <w:p>
      <w:pPr>
        <w:pStyle w:val="Normal"/>
        <w:rPr>
          <w:color w:themeColor="text1" w:val="000000"/>
        </w:rPr>
      </w:pPr>
      <w:r>
        <w:rPr>
          <w:color w:themeColor="text1" w:val="000000"/>
        </w:rPr>
        <w:t xml:space="preserve">The P-based loss terms for </w:t>
      </w:r>
      <w:r>
        <w:rPr>
          <w:i/>
          <w:color w:themeColor="text1" w:val="000000"/>
        </w:rPr>
        <w:t>Typha</w:t>
      </w:r>
      <w:r>
        <w:rPr>
          <w:color w:themeColor="text1" w:val="000000"/>
        </w:rPr>
        <w:t xml:space="preserve"> and SAV shoots provided the source of material for P</w:t>
      </w:r>
      <w:r>
        <w:rPr>
          <w:color w:themeColor="text1" w:val="000000"/>
          <w:vertAlign w:val="subscript"/>
        </w:rPr>
        <w:t xml:space="preserve">LITTER </w:t>
      </w:r>
      <w:r>
        <w:rPr>
          <w:color w:themeColor="text1" w:val="000000"/>
        </w:rPr>
        <w:t>(Eqn. 6 Table 2-6). Slow decomposition to P</w:t>
      </w:r>
      <w:r>
        <w:rPr>
          <w:color w:themeColor="text1" w:val="000000"/>
          <w:vertAlign w:val="subscript"/>
        </w:rPr>
        <w:t>FLOC</w:t>
      </w:r>
      <w:r>
        <w:rPr>
          <w:color w:themeColor="text1" w:val="000000"/>
        </w:rPr>
        <w:t xml:space="preserve"> was the only loss term for P</w:t>
      </w:r>
      <w:r>
        <w:rPr>
          <w:color w:themeColor="text1" w:val="000000"/>
          <w:vertAlign w:val="subscript"/>
        </w:rPr>
        <w:t>LITTER</w:t>
      </w:r>
      <w:r>
        <w:rPr>
          <w:color w:themeColor="text1" w:val="000000"/>
        </w:rPr>
        <w:t xml:space="preserve"> (UF-WBL 2019). The P losses from periphyton and phytoplankton and POPW sinking were the other sources of P</w:t>
      </w:r>
      <w:r>
        <w:rPr>
          <w:color w:themeColor="text1" w:val="000000"/>
          <w:vertAlign w:val="subscript"/>
        </w:rPr>
        <w:t>FLOC</w:t>
      </w:r>
      <w:r>
        <w:rPr>
          <w:color w:themeColor="text1" w:val="000000"/>
        </w:rPr>
        <w:t xml:space="preserve"> (Eqn. 7). P</w:t>
      </w:r>
      <w:r>
        <w:rPr>
          <w:color w:themeColor="text1" w:val="000000"/>
          <w:vertAlign w:val="subscript"/>
        </w:rPr>
        <w:t>FLOC</w:t>
      </w:r>
      <w:r>
        <w:rPr>
          <w:color w:themeColor="text1" w:val="000000"/>
        </w:rPr>
        <w:t xml:space="preserve"> decreased via fast decomposition (P</w:t>
      </w:r>
      <w:r>
        <w:rPr>
          <w:color w:themeColor="text1" w:val="000000"/>
          <w:vertAlign w:val="subscript"/>
        </w:rPr>
        <w:t>FLOCL</w:t>
      </w:r>
      <w:r>
        <w:rPr>
          <w:color w:themeColor="text1" w:val="000000"/>
        </w:rPr>
        <w:t>) and resuspension (P</w:t>
      </w:r>
      <w:r>
        <w:rPr>
          <w:color w:themeColor="text1" w:val="000000"/>
          <w:vertAlign w:val="subscript"/>
        </w:rPr>
        <w:t>FLOCRES</w:t>
      </w:r>
      <w:r>
        <w:rPr>
          <w:color w:themeColor="text1" w:val="000000"/>
        </w:rPr>
        <w:t xml:space="preserve">). </w:t>
      </w:r>
    </w:p>
    <w:p>
      <w:pPr>
        <w:pStyle w:val="Normal"/>
        <w:rPr>
          <w:color w:themeColor="text1" w:val="000000"/>
        </w:rPr>
      </w:pPr>
      <w:r>
        <w:rPr>
          <w:color w:themeColor="text1" w:val="000000"/>
        </w:rPr>
        <mc:AlternateContent>
          <mc:Choice Requires="wps">
            <w:drawing>
              <wp:anchor behindDoc="0" distT="45720" distB="49530" distL="114300" distR="114300" simplePos="0" locked="0" layoutInCell="0" allowOverlap="1" relativeHeight="45" wp14:anchorId="48717110">
                <wp:simplePos x="0" y="0"/>
                <wp:positionH relativeFrom="margin">
                  <wp:posOffset>0</wp:posOffset>
                </wp:positionH>
                <wp:positionV relativeFrom="paragraph">
                  <wp:posOffset>335280</wp:posOffset>
                </wp:positionV>
                <wp:extent cx="6019800" cy="7825740"/>
                <wp:effectExtent l="0" t="0" r="0" b="3810"/>
                <wp:wrapSquare wrapText="bothSides"/>
                <wp:docPr id="24" name="Text Box 2"/>
                <a:graphic xmlns:a="http://schemas.openxmlformats.org/drawingml/2006/main">
                  <a:graphicData uri="http://schemas.microsoft.com/office/word/2010/wordprocessingShape">
                    <wps:wsp>
                      <wps:cNvSpPr/>
                      <wps:spPr>
                        <a:xfrm>
                          <a:off x="0" y="0"/>
                          <a:ext cx="6019920" cy="7825680"/>
                        </a:xfrm>
                        <a:prstGeom prst="rect">
                          <a:avLst/>
                        </a:prstGeom>
                        <a:solidFill>
                          <a:srgbClr val="ffffff"/>
                        </a:solidFill>
                        <a:ln w="9525">
                          <a:noFill/>
                        </a:ln>
                      </wps:spPr>
                      <wps:style>
                        <a:lnRef idx="0"/>
                        <a:fillRef idx="0"/>
                        <a:effectRef idx="0"/>
                        <a:fontRef idx="minor"/>
                      </wps:style>
                      <wps:txbx>
                        <w:txbxContent>
                          <w:p>
                            <w:pPr>
                              <w:pStyle w:val="Caption"/>
                              <w:spacing w:lineRule="auto" w:line="240"/>
                              <w:rPr/>
                            </w:pPr>
                            <w:bookmarkStart w:id="47" w:name="_Toc182250915"/>
                            <w:r>
                              <w:rPr/>
                              <w:t xml:space="preserve">Table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Table \* ARABIC </w:instrText>
                            </w:r>
                            <w:r>
                              <w:rPr/>
                              <w:fldChar w:fldCharType="separate"/>
                            </w:r>
                            <w:r>
                              <w:rPr/>
                              <w:t>6</w:t>
                            </w:r>
                            <w:r>
                              <w:rPr/>
                              <w:fldChar w:fldCharType="end"/>
                            </w:r>
                            <w:r>
                              <w:rPr/>
                              <w:t>. List of difference-based source-sink equations for each of the 15 carbon (C) and phosphorus (P) pools of the Biogeochemical Model of STA-2 FW1.  See text for descriptions and units and Table 2-7 for parameter values.</w:t>
                            </w:r>
                            <w:bookmarkEnd w:id="47"/>
                          </w:p>
                          <w:p>
                            <w:pPr>
                              <w:pStyle w:val="FrameContents"/>
                              <w:jc w:val="center"/>
                              <w:rPr/>
                            </w:pPr>
                            <w:r>
                              <w:rPr/>
                              <w:drawing>
                                <wp:inline distT="0" distB="0" distL="0" distR="0">
                                  <wp:extent cx="5029200" cy="3672205"/>
                                  <wp:effectExtent l="0" t="0" r="0" b="0"/>
                                  <wp:docPr id="2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 descr=""/>
                                          <pic:cNvPicPr>
                                            <a:picLocks noChangeAspect="1" noChangeArrowheads="1"/>
                                          </pic:cNvPicPr>
                                        </pic:nvPicPr>
                                        <pic:blipFill>
                                          <a:blip r:embed="rId31"/>
                                          <a:stretch>
                                            <a:fillRect/>
                                          </a:stretch>
                                        </pic:blipFill>
                                        <pic:spPr bwMode="auto">
                                          <a:xfrm>
                                            <a:off x="0" y="0"/>
                                            <a:ext cx="5029200" cy="3672205"/>
                                          </a:xfrm>
                                          <a:prstGeom prst="rect">
                                            <a:avLst/>
                                          </a:prstGeom>
                                        </pic:spPr>
                                      </pic:pic>
                                    </a:graphicData>
                                  </a:graphic>
                                </wp:inline>
                              </w:drawing>
                            </w:r>
                          </w:p>
                          <w:p>
                            <w:pPr>
                              <w:pStyle w:val="FrameContents"/>
                              <w:jc w:val="center"/>
                              <w:rPr/>
                            </w:pPr>
                            <w:r>
                              <w:rPr/>
                              <w:drawing>
                                <wp:inline distT="0" distB="0" distL="0" distR="0">
                                  <wp:extent cx="5029200" cy="3350260"/>
                                  <wp:effectExtent l="0" t="0" r="0" b="0"/>
                                  <wp:docPr id="27"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9" descr=""/>
                                          <pic:cNvPicPr>
                                            <a:picLocks noChangeAspect="1" noChangeArrowheads="1"/>
                                          </pic:cNvPicPr>
                                        </pic:nvPicPr>
                                        <pic:blipFill>
                                          <a:blip r:embed="rId32"/>
                                          <a:stretch>
                                            <a:fillRect/>
                                          </a:stretch>
                                        </pic:blipFill>
                                        <pic:spPr bwMode="auto">
                                          <a:xfrm>
                                            <a:off x="0" y="0"/>
                                            <a:ext cx="5029200" cy="3350260"/>
                                          </a:xfrm>
                                          <a:prstGeom prst="rect">
                                            <a:avLst/>
                                          </a:prstGeom>
                                        </pic:spPr>
                                      </pic:pic>
                                    </a:graphicData>
                                  </a:graphic>
                                </wp:inline>
                              </w:drawing>
                            </w:r>
                          </w:p>
                          <w:p>
                            <w:pPr>
                              <w:pStyle w:val="FrameContents"/>
                              <w:spacing w:before="0" w:after="120"/>
                              <w:jc w:val="center"/>
                              <w:rPr/>
                            </w:pPr>
                            <w:r>
                              <w:rPr/>
                            </w:r>
                          </w:p>
                        </w:txbxContent>
                      </wps:txbx>
                      <wps:bodyPr anchor="t">
                        <a:noAutofit/>
                      </wps:bodyPr>
                    </wps:wsp>
                  </a:graphicData>
                </a:graphic>
              </wp:anchor>
            </w:drawing>
          </mc:Choice>
          <mc:Fallback>
            <w:pict>
              <v:rect id="shape_0" ID="Text Box 2" path="m0,0l-2147483645,0l-2147483645,-2147483646l0,-2147483646xe" fillcolor="white" stroked="f" o:allowincell="f" style="position:absolute;margin-left:0pt;margin-top:26.4pt;width:473.95pt;height:616.15pt;mso-wrap-style:square;v-text-anchor:top;mso-position-horizontal-relative:margin" wp14:anchorId="48717110">
                <v:fill o:detectmouseclick="t" type="solid" color2="black"/>
                <v:stroke color="#3465a4" weight="9360" joinstyle="miter" endcap="flat"/>
                <v:textbox>
                  <w:txbxContent>
                    <w:p>
                      <w:pPr>
                        <w:pStyle w:val="Caption"/>
                        <w:spacing w:lineRule="auto" w:line="240"/>
                        <w:rPr/>
                      </w:pPr>
                      <w:bookmarkStart w:id="48" w:name="_Toc182250915"/>
                      <w:r>
                        <w:rPr/>
                        <w:t xml:space="preserve">Table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Table \* ARABIC </w:instrText>
                      </w:r>
                      <w:r>
                        <w:rPr/>
                        <w:fldChar w:fldCharType="separate"/>
                      </w:r>
                      <w:r>
                        <w:rPr/>
                        <w:t>6</w:t>
                      </w:r>
                      <w:r>
                        <w:rPr/>
                        <w:fldChar w:fldCharType="end"/>
                      </w:r>
                      <w:r>
                        <w:rPr/>
                        <w:t>. List of difference-based source-sink equations for each of the 15 carbon (C) and phosphorus (P) pools of the Biogeochemical Model of STA-2 FW1.  See text for descriptions and units and Table 2-7 for parameter values.</w:t>
                      </w:r>
                      <w:bookmarkEnd w:id="48"/>
                    </w:p>
                    <w:p>
                      <w:pPr>
                        <w:pStyle w:val="FrameContents"/>
                        <w:jc w:val="center"/>
                        <w:rPr/>
                      </w:pPr>
                      <w:r>
                        <w:rPr/>
                        <w:drawing>
                          <wp:inline distT="0" distB="0" distL="0" distR="0">
                            <wp:extent cx="5029200" cy="3672205"/>
                            <wp:effectExtent l="0" t="0" r="0" b="0"/>
                            <wp:docPr id="2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 descr=""/>
                                    <pic:cNvPicPr>
                                      <a:picLocks noChangeAspect="1" noChangeArrowheads="1"/>
                                    </pic:cNvPicPr>
                                  </pic:nvPicPr>
                                  <pic:blipFill>
                                    <a:blip r:embed="rId33"/>
                                    <a:stretch>
                                      <a:fillRect/>
                                    </a:stretch>
                                  </pic:blipFill>
                                  <pic:spPr bwMode="auto">
                                    <a:xfrm>
                                      <a:off x="0" y="0"/>
                                      <a:ext cx="5029200" cy="3672205"/>
                                    </a:xfrm>
                                    <a:prstGeom prst="rect">
                                      <a:avLst/>
                                    </a:prstGeom>
                                  </pic:spPr>
                                </pic:pic>
                              </a:graphicData>
                            </a:graphic>
                          </wp:inline>
                        </w:drawing>
                      </w:r>
                    </w:p>
                    <w:p>
                      <w:pPr>
                        <w:pStyle w:val="FrameContents"/>
                        <w:jc w:val="center"/>
                        <w:rPr/>
                      </w:pPr>
                      <w:r>
                        <w:rPr/>
                        <w:drawing>
                          <wp:inline distT="0" distB="0" distL="0" distR="0">
                            <wp:extent cx="5029200" cy="3350260"/>
                            <wp:effectExtent l="0" t="0" r="0" b="0"/>
                            <wp:docPr id="2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9" descr=""/>
                                    <pic:cNvPicPr>
                                      <a:picLocks noChangeAspect="1" noChangeArrowheads="1"/>
                                    </pic:cNvPicPr>
                                  </pic:nvPicPr>
                                  <pic:blipFill>
                                    <a:blip r:embed="rId34"/>
                                    <a:stretch>
                                      <a:fillRect/>
                                    </a:stretch>
                                  </pic:blipFill>
                                  <pic:spPr bwMode="auto">
                                    <a:xfrm>
                                      <a:off x="0" y="0"/>
                                      <a:ext cx="5029200" cy="3350260"/>
                                    </a:xfrm>
                                    <a:prstGeom prst="rect">
                                      <a:avLst/>
                                    </a:prstGeom>
                                  </pic:spPr>
                                </pic:pic>
                              </a:graphicData>
                            </a:graphic>
                          </wp:inline>
                        </w:drawing>
                      </w:r>
                    </w:p>
                    <w:p>
                      <w:pPr>
                        <w:pStyle w:val="FrameContents"/>
                        <w:spacing w:before="0" w:after="120"/>
                        <w:jc w:val="center"/>
                        <w:rPr/>
                      </w:pPr>
                      <w:r>
                        <w:rPr/>
                      </w:r>
                    </w:p>
                  </w:txbxContent>
                </v:textbox>
                <w10:wrap type="square"/>
              </v:rect>
            </w:pict>
          </mc:Fallback>
        </mc:AlternateContent>
      </w:r>
    </w:p>
    <w:p>
      <w:pPr>
        <w:sectPr>
          <w:headerReference w:type="default" r:id="rId37"/>
          <w:headerReference w:type="first" r:id="rId38"/>
          <w:footerReference w:type="default" r:id="rId39"/>
          <w:footerReference w:type="first" r:id="rId40"/>
          <w:type w:val="nextPage"/>
          <w:pgSz w:w="12240" w:h="15840"/>
          <w:pgMar w:left="1440" w:right="1440" w:gutter="0" w:header="576" w:top="1440" w:footer="576" w:bottom="1440"/>
          <w:pgNumType w:start="1" w:fmt="decimal"/>
          <w:formProt w:val="false"/>
          <w:titlePg/>
          <w:textDirection w:val="lrTb"/>
          <w:docGrid w:type="default" w:linePitch="299" w:charSpace="0"/>
        </w:sectPr>
        <w:pStyle w:val="Normal"/>
        <w:rPr>
          <w:color w:themeColor="text1" w:val="000000"/>
        </w:rPr>
      </w:pPr>
      <w:r>
        <w:rPr>
          <w:color w:themeColor="text1" w:val="000000"/>
        </w:rPr>
        <mc:AlternateContent>
          <mc:Choice Requires="wps">
            <w:drawing>
              <wp:anchor behindDoc="0" distT="45085" distB="48895" distL="114300" distR="114300" simplePos="0" locked="0" layoutInCell="0" allowOverlap="1" relativeHeight="98" wp14:anchorId="236E9581">
                <wp:simplePos x="0" y="0"/>
                <wp:positionH relativeFrom="margin">
                  <wp:posOffset>0</wp:posOffset>
                </wp:positionH>
                <wp:positionV relativeFrom="paragraph">
                  <wp:posOffset>49530</wp:posOffset>
                </wp:positionV>
                <wp:extent cx="6019800" cy="5673725"/>
                <wp:effectExtent l="0" t="0" r="0" b="3175"/>
                <wp:wrapSquare wrapText="bothSides"/>
                <wp:docPr id="25" name="Text Box 2"/>
                <a:graphic xmlns:a="http://schemas.openxmlformats.org/drawingml/2006/main">
                  <a:graphicData uri="http://schemas.microsoft.com/office/word/2010/wordprocessingShape">
                    <wps:wsp>
                      <wps:cNvSpPr/>
                      <wps:spPr>
                        <a:xfrm>
                          <a:off x="0" y="0"/>
                          <a:ext cx="6019920" cy="5673600"/>
                        </a:xfrm>
                        <a:prstGeom prst="rect">
                          <a:avLst/>
                        </a:prstGeom>
                        <a:solidFill>
                          <a:srgbClr val="ffffff"/>
                        </a:solidFill>
                        <a:ln w="9525">
                          <a:noFill/>
                        </a:ln>
                      </wps:spPr>
                      <wps:style>
                        <a:lnRef idx="0"/>
                        <a:fillRef idx="0"/>
                        <a:effectRef idx="0"/>
                        <a:fontRef idx="minor"/>
                      </wps:style>
                      <wps:txbx>
                        <w:txbxContent>
                          <w:p>
                            <w:pPr>
                              <w:pStyle w:val="Caption"/>
                              <w:spacing w:lineRule="auto" w:line="240"/>
                              <w:rPr/>
                            </w:pPr>
                            <w:bookmarkStart w:id="49" w:name="_Toc182250916"/>
                            <w:r>
                              <w:rPr/>
                              <w:t xml:space="preserve">Table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Table \* ARABIC </w:instrText>
                            </w:r>
                            <w:r>
                              <w:rPr/>
                              <w:fldChar w:fldCharType="separate"/>
                            </w:r>
                            <w:r>
                              <w:rPr/>
                              <w:t>7</w:t>
                            </w:r>
                            <w:r>
                              <w:rPr/>
                              <w:fldChar w:fldCharType="end"/>
                            </w:r>
                            <w:r>
                              <w:rPr/>
                              <w:t xml:space="preserve"> continued. List of difference-based source-sink equations for each of the 15 carbon (C) and phosphorus (P) pools of the Biogeochemical Model of STA-2 FW1.  See text for descriptions and units and Table 2-7 for parameter values.</w:t>
                            </w:r>
                            <w:bookmarkEnd w:id="49"/>
                          </w:p>
                          <w:p>
                            <w:pPr>
                              <w:pStyle w:val="FrameContents"/>
                              <w:jc w:val="center"/>
                              <w:rPr/>
                            </w:pPr>
                            <w:r>
                              <w:rPr/>
                            </w:r>
                          </w:p>
                          <w:p>
                            <w:pPr>
                              <w:pStyle w:val="FrameContents"/>
                              <w:jc w:val="center"/>
                              <w:rPr/>
                            </w:pPr>
                            <w:r>
                              <w:rPr/>
                            </w:r>
                          </w:p>
                          <w:p>
                            <w:pPr>
                              <w:pStyle w:val="FrameContents"/>
                              <w:jc w:val="center"/>
                              <w:rPr/>
                            </w:pPr>
                            <w:r>
                              <w:rPr/>
                              <w:drawing>
                                <wp:inline distT="0" distB="0" distL="0" distR="0">
                                  <wp:extent cx="5486400" cy="3907155"/>
                                  <wp:effectExtent l="0" t="0" r="0" b="0"/>
                                  <wp:docPr id="27"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8" descr=""/>
                                          <pic:cNvPicPr>
                                            <a:picLocks noChangeAspect="1" noChangeArrowheads="1"/>
                                          </pic:cNvPicPr>
                                        </pic:nvPicPr>
                                        <pic:blipFill>
                                          <a:blip r:embed="rId35"/>
                                          <a:stretch>
                                            <a:fillRect/>
                                          </a:stretch>
                                        </pic:blipFill>
                                        <pic:spPr bwMode="auto">
                                          <a:xfrm>
                                            <a:off x="0" y="0"/>
                                            <a:ext cx="5486400" cy="3907155"/>
                                          </a:xfrm>
                                          <a:prstGeom prst="rect">
                                            <a:avLst/>
                                          </a:prstGeom>
                                        </pic:spPr>
                                      </pic:pic>
                                    </a:graphicData>
                                  </a:graphic>
                                </wp:inline>
                              </w:drawing>
                            </w:r>
                          </w:p>
                          <w:p>
                            <w:pPr>
                              <w:pStyle w:val="FrameContents"/>
                              <w:spacing w:before="0" w:after="120"/>
                              <w:jc w:val="center"/>
                              <w:rPr/>
                            </w:pPr>
                            <w:r>
                              <w:rPr/>
                            </w:r>
                          </w:p>
                        </w:txbxContent>
                      </wps:txbx>
                      <wps:bodyPr anchor="t">
                        <a:noAutofit/>
                      </wps:bodyPr>
                    </wps:wsp>
                  </a:graphicData>
                </a:graphic>
              </wp:anchor>
            </w:drawing>
          </mc:Choice>
          <mc:Fallback>
            <w:pict>
              <v:rect id="shape_0" ID="Text Box 2" path="m0,0l-2147483645,0l-2147483645,-2147483646l0,-2147483646xe" fillcolor="white" stroked="f" o:allowincell="f" style="position:absolute;margin-left:0pt;margin-top:3.9pt;width:473.95pt;height:446.7pt;mso-wrap-style:square;v-text-anchor:top;mso-position-horizontal-relative:margin" wp14:anchorId="236E9581">
                <v:fill o:detectmouseclick="t" type="solid" color2="black"/>
                <v:stroke color="#3465a4" weight="9360" joinstyle="miter" endcap="flat"/>
                <v:textbox>
                  <w:txbxContent>
                    <w:p>
                      <w:pPr>
                        <w:pStyle w:val="Caption"/>
                        <w:spacing w:lineRule="auto" w:line="240"/>
                        <w:rPr/>
                      </w:pPr>
                      <w:bookmarkStart w:id="50" w:name="_Toc182250916"/>
                      <w:r>
                        <w:rPr/>
                        <w:t xml:space="preserve">Table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Table \* ARABIC </w:instrText>
                      </w:r>
                      <w:r>
                        <w:rPr/>
                        <w:fldChar w:fldCharType="separate"/>
                      </w:r>
                      <w:r>
                        <w:rPr/>
                        <w:t>7</w:t>
                      </w:r>
                      <w:r>
                        <w:rPr/>
                        <w:fldChar w:fldCharType="end"/>
                      </w:r>
                      <w:r>
                        <w:rPr/>
                        <w:t xml:space="preserve"> continued. List of difference-based source-sink equations for each of the 15 carbon (C) and phosphorus (P) pools of the Biogeochemical Model of STA-2 FW1.  See text for descriptions and units and Table 2-7 for parameter values.</w:t>
                      </w:r>
                      <w:bookmarkEnd w:id="50"/>
                    </w:p>
                    <w:p>
                      <w:pPr>
                        <w:pStyle w:val="FrameContents"/>
                        <w:jc w:val="center"/>
                        <w:rPr/>
                      </w:pPr>
                      <w:r>
                        <w:rPr/>
                      </w:r>
                    </w:p>
                    <w:p>
                      <w:pPr>
                        <w:pStyle w:val="FrameContents"/>
                        <w:jc w:val="center"/>
                        <w:rPr/>
                      </w:pPr>
                      <w:r>
                        <w:rPr/>
                      </w:r>
                    </w:p>
                    <w:p>
                      <w:pPr>
                        <w:pStyle w:val="FrameContents"/>
                        <w:jc w:val="center"/>
                        <w:rPr/>
                      </w:pPr>
                      <w:r>
                        <w:rPr/>
                        <w:drawing>
                          <wp:inline distT="0" distB="0" distL="0" distR="0">
                            <wp:extent cx="5486400" cy="3907155"/>
                            <wp:effectExtent l="0" t="0" r="0" b="0"/>
                            <wp:docPr id="2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8" descr=""/>
                                    <pic:cNvPicPr>
                                      <a:picLocks noChangeAspect="1" noChangeArrowheads="1"/>
                                    </pic:cNvPicPr>
                                  </pic:nvPicPr>
                                  <pic:blipFill>
                                    <a:blip r:embed="rId36"/>
                                    <a:stretch>
                                      <a:fillRect/>
                                    </a:stretch>
                                  </pic:blipFill>
                                  <pic:spPr bwMode="auto">
                                    <a:xfrm>
                                      <a:off x="0" y="0"/>
                                      <a:ext cx="5486400" cy="3907155"/>
                                    </a:xfrm>
                                    <a:prstGeom prst="rect">
                                      <a:avLst/>
                                    </a:prstGeom>
                                  </pic:spPr>
                                </pic:pic>
                              </a:graphicData>
                            </a:graphic>
                          </wp:inline>
                        </w:drawing>
                      </w:r>
                    </w:p>
                    <w:p>
                      <w:pPr>
                        <w:pStyle w:val="FrameContents"/>
                        <w:spacing w:before="0" w:after="120"/>
                        <w:jc w:val="center"/>
                        <w:rPr/>
                      </w:pPr>
                      <w:r>
                        <w:rPr/>
                      </w:r>
                    </w:p>
                  </w:txbxContent>
                </v:textbox>
                <w10:wrap type="square"/>
              </v:rect>
            </w:pict>
          </mc:Fallback>
        </mc:AlternateContent>
      </w:r>
    </w:p>
    <w:p>
      <w:pPr>
        <w:pStyle w:val="Caption"/>
        <w:spacing w:lineRule="auto" w:line="240"/>
        <w:rPr>
          <w:color w:themeColor="text1" w:val="000000"/>
        </w:rPr>
      </w:pPr>
      <w:bookmarkStart w:id="51" w:name="_Toc182250917"/>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8</w:t>
      </w:r>
      <w:r>
        <w:rPr>
          <w:color w:themeColor="text1" w:val="000000"/>
        </w:rPr>
        <w:fldChar w:fldCharType="end"/>
      </w:r>
      <w:r>
        <w:rPr>
          <w:color w:themeColor="text1" w:val="000000"/>
        </w:rPr>
        <w:t>. List of initial concentrations and parameters for the Biogeochemical Model of STA-2 FW1</w:t>
      </w:r>
      <w:bookmarkEnd w:id="51"/>
    </w:p>
    <w:p>
      <w:pPr>
        <w:pStyle w:val="Normal"/>
        <w:jc w:val="center"/>
        <w:rPr>
          <w:b/>
          <w:bCs/>
          <w:sz w:val="20"/>
        </w:rPr>
      </w:pPr>
      <w:r>
        <w:rPr/>
        <w:drawing>
          <wp:inline distT="0" distB="0" distL="0" distR="0">
            <wp:extent cx="7279005" cy="6127115"/>
            <wp:effectExtent l="0" t="0" r="0" b="0"/>
            <wp:docPr id="3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5" descr=""/>
                    <pic:cNvPicPr>
                      <a:picLocks noChangeAspect="1" noChangeArrowheads="1"/>
                    </pic:cNvPicPr>
                  </pic:nvPicPr>
                  <pic:blipFill>
                    <a:blip r:embed="rId41"/>
                    <a:stretch>
                      <a:fillRect/>
                    </a:stretch>
                  </pic:blipFill>
                  <pic:spPr bwMode="auto">
                    <a:xfrm>
                      <a:off x="0" y="0"/>
                      <a:ext cx="7279005" cy="6127115"/>
                    </a:xfrm>
                    <a:prstGeom prst="rect">
                      <a:avLst/>
                    </a:prstGeom>
                  </pic:spPr>
                </pic:pic>
              </a:graphicData>
            </a:graphic>
          </wp:inline>
        </w:drawing>
      </w:r>
      <w:bookmarkStart w:id="52" w:name="_Hlk170392270"/>
      <w:r>
        <w:br w:type="page"/>
      </w:r>
    </w:p>
    <w:p>
      <w:pPr>
        <w:pStyle w:val="Normal"/>
        <w:spacing w:before="0" w:after="0"/>
        <w:jc w:val="center"/>
        <w:rPr>
          <w:b/>
          <w:bCs/>
          <w:color w:themeColor="text1" w:val="000000"/>
          <w:sz w:val="20"/>
        </w:rPr>
      </w:pPr>
      <w:r>
        <w:rPr>
          <w:b/>
          <w:bCs/>
          <w:color w:themeColor="text1" w:val="000000"/>
          <w:sz w:val="20"/>
        </w:rPr>
        <w:t>Table 2-7. Continued.</w:t>
      </w:r>
      <w:bookmarkEnd w:id="52"/>
    </w:p>
    <w:p>
      <w:pPr>
        <w:pStyle w:val="Normal"/>
        <w:jc w:val="center"/>
        <w:rPr>
          <w:color w:themeColor="text1" w:val="000000"/>
        </w:rPr>
      </w:pPr>
      <w:r>
        <w:rPr/>
        <w:drawing>
          <wp:inline distT="0" distB="0" distL="0" distR="0">
            <wp:extent cx="7194550" cy="6027420"/>
            <wp:effectExtent l="0" t="0" r="0" b="0"/>
            <wp:docPr id="3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6" descr=""/>
                    <pic:cNvPicPr>
                      <a:picLocks noChangeAspect="1" noChangeArrowheads="1"/>
                    </pic:cNvPicPr>
                  </pic:nvPicPr>
                  <pic:blipFill>
                    <a:blip r:embed="rId42"/>
                    <a:stretch>
                      <a:fillRect/>
                    </a:stretch>
                  </pic:blipFill>
                  <pic:spPr bwMode="auto">
                    <a:xfrm>
                      <a:off x="0" y="0"/>
                      <a:ext cx="7194550" cy="6027420"/>
                    </a:xfrm>
                    <a:prstGeom prst="rect">
                      <a:avLst/>
                    </a:prstGeom>
                  </pic:spPr>
                </pic:pic>
              </a:graphicData>
            </a:graphic>
          </wp:inline>
        </w:drawing>
      </w:r>
    </w:p>
    <w:p>
      <w:pPr>
        <w:pStyle w:val="Normal"/>
        <w:spacing w:before="0" w:after="0"/>
        <w:jc w:val="center"/>
        <w:rPr>
          <w:b/>
          <w:bCs/>
          <w:color w:themeColor="text1" w:val="000000"/>
          <w:sz w:val="20"/>
        </w:rPr>
      </w:pPr>
      <w:r>
        <w:rPr>
          <w:b/>
          <w:bCs/>
          <w:color w:themeColor="text1" w:val="000000"/>
          <w:sz w:val="20"/>
        </w:rPr>
        <w:t>Table 2-7. Continued.</w:t>
      </w:r>
    </w:p>
    <w:p>
      <w:pPr>
        <w:pStyle w:val="Normal"/>
        <w:jc w:val="center"/>
        <w:rPr>
          <w:color w:themeColor="text1" w:val="000000"/>
        </w:rPr>
      </w:pPr>
      <w:r>
        <w:rPr/>
        <w:drawing>
          <wp:inline distT="0" distB="0" distL="0" distR="0">
            <wp:extent cx="7091680" cy="6143625"/>
            <wp:effectExtent l="0" t="0" r="0" b="0"/>
            <wp:docPr id="36"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4" descr=""/>
                    <pic:cNvPicPr>
                      <a:picLocks noChangeAspect="1" noChangeArrowheads="1"/>
                    </pic:cNvPicPr>
                  </pic:nvPicPr>
                  <pic:blipFill>
                    <a:blip r:embed="rId43"/>
                    <a:stretch>
                      <a:fillRect/>
                    </a:stretch>
                  </pic:blipFill>
                  <pic:spPr bwMode="auto">
                    <a:xfrm>
                      <a:off x="0" y="0"/>
                      <a:ext cx="7091680" cy="6143625"/>
                    </a:xfrm>
                    <a:prstGeom prst="rect">
                      <a:avLst/>
                    </a:prstGeom>
                  </pic:spPr>
                </pic:pic>
              </a:graphicData>
            </a:graphic>
          </wp:inline>
        </w:drawing>
      </w:r>
    </w:p>
    <w:p>
      <w:pPr>
        <w:sectPr>
          <w:headerReference w:type="default" r:id="rId46"/>
          <w:headerReference w:type="first" r:id="rId47"/>
          <w:footerReference w:type="even" r:id="rId48"/>
          <w:footerReference w:type="default" r:id="rId49"/>
          <w:footerReference w:type="first" r:id="rId50"/>
          <w:type w:val="nextPage"/>
          <w:pgSz w:orient="landscape" w:w="15840" w:h="12240"/>
          <w:pgMar w:left="720" w:right="720" w:gutter="0" w:header="576" w:top="720" w:footer="576" w:bottom="720"/>
          <w:pgNumType w:fmt="decimal"/>
          <w:formProt w:val="false"/>
          <w:titlePg/>
          <w:textDirection w:val="lrTb"/>
          <w:docGrid w:type="default" w:linePitch="299" w:charSpace="0"/>
        </w:sectPr>
        <w:pStyle w:val="Normal"/>
        <w:rPr>
          <w:color w:themeColor="text1" w:val="000000"/>
        </w:rPr>
      </w:pPr>
      <w:r>
        <w:rPr>
          <w:color w:themeColor="text1" w:val="000000"/>
        </w:rPr>
        <mc:AlternateContent>
          <mc:Choice Requires="wps">
            <w:drawing>
              <wp:anchor behindDoc="0" distT="40640" distB="55880" distL="0" distR="128270" simplePos="0" locked="0" layoutInCell="0" allowOverlap="1" relativeHeight="88" wp14:anchorId="54DB99CF">
                <wp:simplePos x="0" y="0"/>
                <wp:positionH relativeFrom="margin">
                  <wp:align>left</wp:align>
                </wp:positionH>
                <wp:positionV relativeFrom="paragraph">
                  <wp:posOffset>102870</wp:posOffset>
                </wp:positionV>
                <wp:extent cx="9144000" cy="6156960"/>
                <wp:effectExtent l="0" t="5080" r="5080" b="5080"/>
                <wp:wrapSquare wrapText="bothSides"/>
                <wp:docPr id="37" name="Text Box 2"/>
                <a:graphic xmlns:a="http://schemas.openxmlformats.org/drawingml/2006/main">
                  <a:graphicData uri="http://schemas.microsoft.com/office/word/2010/wordprocessingShape">
                    <wps:wsp>
                      <wps:cNvSpPr/>
                      <wps:spPr>
                        <a:xfrm>
                          <a:off x="0" y="0"/>
                          <a:ext cx="9144000" cy="6157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7733030" cy="5395595"/>
                                  <wp:effectExtent l="0" t="0" r="0" b="0"/>
                                  <wp:docPr id="39" name="Picture 16" descr="A collage of diagrams and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6" descr="A collage of diagrams and graphs&#10;&#10;Description automatically generated"/>
                                          <pic:cNvPicPr>
                                            <a:picLocks noChangeAspect="1" noChangeArrowheads="1"/>
                                          </pic:cNvPicPr>
                                        </pic:nvPicPr>
                                        <pic:blipFill>
                                          <a:blip r:embed="rId44"/>
                                          <a:stretch>
                                            <a:fillRect/>
                                          </a:stretch>
                                        </pic:blipFill>
                                        <pic:spPr bwMode="auto">
                                          <a:xfrm>
                                            <a:off x="0" y="0"/>
                                            <a:ext cx="7733030" cy="5395595"/>
                                          </a:xfrm>
                                          <a:prstGeom prst="rect">
                                            <a:avLst/>
                                          </a:prstGeom>
                                        </pic:spPr>
                                      </pic:pic>
                                    </a:graphicData>
                                  </a:graphic>
                                </wp:inline>
                              </w:drawing>
                            </w:r>
                          </w:p>
                          <w:p>
                            <w:pPr>
                              <w:pStyle w:val="Caption"/>
                              <w:widowControl/>
                              <w:bidi w:val="0"/>
                              <w:spacing w:lineRule="auto" w:line="276" w:before="0" w:after="60"/>
                              <w:jc w:val="center"/>
                              <w:rPr/>
                            </w:pPr>
                            <w:bookmarkStart w:id="53" w:name="_Toc181802647"/>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7</w:t>
                            </w:r>
                            <w:r>
                              <w:rPr/>
                              <w:fldChar w:fldCharType="end"/>
                            </w:r>
                            <w:r>
                              <w:rPr/>
                              <w:t>. (A) Function to model effects of depth on Typha production.  (B)  Function to model effects of Typha shoot biomass on POP</w:t>
                            </w:r>
                            <w:r>
                              <w:rPr>
                                <w:vertAlign w:val="subscript"/>
                              </w:rPr>
                              <w:t>W</w:t>
                            </w:r>
                            <w:r>
                              <w:rPr/>
                              <w:t xml:space="preserve"> sinking.  (C) Function to model resuspension of P</w:t>
                            </w:r>
                            <w:r>
                              <w:rPr>
                                <w:vertAlign w:val="subscript"/>
                              </w:rPr>
                              <w:t>FLOC</w:t>
                            </w:r>
                            <w:r>
                              <w:rPr/>
                              <w:t xml:space="preserve"> based on average daily wind speed.  (D)   Function to model relationship between total gross production and DIPW co-precipitation.  See text for details.</w:t>
                            </w:r>
                            <w:bookmarkEnd w:id="53"/>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8.1pt;width:719.95pt;height:484.75pt;mso-wrap-style:square;v-text-anchor:top;mso-position-horizontal:left;mso-position-horizontal-relative:margin" wp14:anchorId="54DB99CF">
                <v:fill o:detectmouseclick="t" type="solid" color2="black"/>
                <v:stroke color="black" weight="9360" joinstyle="miter" endcap="flat"/>
                <v:textbox>
                  <w:txbxContent>
                    <w:p>
                      <w:pPr>
                        <w:pStyle w:val="FrameContents"/>
                        <w:jc w:val="center"/>
                        <w:rPr/>
                      </w:pPr>
                      <w:r>
                        <w:rPr/>
                        <w:drawing>
                          <wp:inline distT="0" distB="0" distL="0" distR="0">
                            <wp:extent cx="7733030" cy="5395595"/>
                            <wp:effectExtent l="0" t="0" r="0" b="0"/>
                            <wp:docPr id="40" name="Picture 16" descr="A collage of diagrams and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6" descr="A collage of diagrams and graphs&#10;&#10;Description automatically generated"/>
                                    <pic:cNvPicPr>
                                      <a:picLocks noChangeAspect="1" noChangeArrowheads="1"/>
                                    </pic:cNvPicPr>
                                  </pic:nvPicPr>
                                  <pic:blipFill>
                                    <a:blip r:embed="rId45"/>
                                    <a:stretch>
                                      <a:fillRect/>
                                    </a:stretch>
                                  </pic:blipFill>
                                  <pic:spPr bwMode="auto">
                                    <a:xfrm>
                                      <a:off x="0" y="0"/>
                                      <a:ext cx="7733030" cy="5395595"/>
                                    </a:xfrm>
                                    <a:prstGeom prst="rect">
                                      <a:avLst/>
                                    </a:prstGeom>
                                  </pic:spPr>
                                </pic:pic>
                              </a:graphicData>
                            </a:graphic>
                          </wp:inline>
                        </w:drawing>
                      </w:r>
                    </w:p>
                    <w:p>
                      <w:pPr>
                        <w:pStyle w:val="Caption"/>
                        <w:widowControl/>
                        <w:bidi w:val="0"/>
                        <w:spacing w:lineRule="auto" w:line="276" w:before="0" w:after="60"/>
                        <w:jc w:val="center"/>
                        <w:rPr/>
                      </w:pPr>
                      <w:bookmarkStart w:id="54" w:name="_Toc181802647"/>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7</w:t>
                      </w:r>
                      <w:r>
                        <w:rPr/>
                        <w:fldChar w:fldCharType="end"/>
                      </w:r>
                      <w:r>
                        <w:rPr/>
                        <w:t>. (A) Function to model effects of depth on Typha production.  (B)  Function to model effects of Typha shoot biomass on POP</w:t>
                      </w:r>
                      <w:r>
                        <w:rPr>
                          <w:vertAlign w:val="subscript"/>
                        </w:rPr>
                        <w:t>W</w:t>
                      </w:r>
                      <w:r>
                        <w:rPr/>
                        <w:t xml:space="preserve"> sinking.  (C) Function to model resuspension of P</w:t>
                      </w:r>
                      <w:r>
                        <w:rPr>
                          <w:vertAlign w:val="subscript"/>
                        </w:rPr>
                        <w:t>FLOC</w:t>
                      </w:r>
                      <w:r>
                        <w:rPr/>
                        <w:t xml:space="preserve"> based on average daily wind speed.  (D)   Function to model relationship between total gross production and DIPW co-precipitation.  See text for details.</w:t>
                      </w:r>
                      <w:bookmarkEnd w:id="54"/>
                    </w:p>
                  </w:txbxContent>
                </v:textbox>
                <w10:wrap type="square"/>
              </v:rect>
            </w:pict>
          </mc:Fallback>
        </mc:AlternateContent>
      </w:r>
    </w:p>
    <w:p>
      <w:pPr>
        <w:pStyle w:val="Normal"/>
        <w:rPr>
          <w:color w:themeColor="text1" w:val="000000"/>
        </w:rPr>
      </w:pPr>
      <w:r>
        <w:rPr>
          <w:color w:themeColor="text1" w:val="000000"/>
        </w:rPr>
        <w:t>Resuspension increased exponentially with average daily wind speeds greater than 3.0 m s</w:t>
      </w:r>
      <w:r>
        <w:rPr>
          <w:color w:themeColor="text1" w:val="000000"/>
          <w:vertAlign w:val="superscript"/>
        </w:rPr>
        <w:t>-1</w:t>
      </w:r>
      <w:r>
        <w:rPr>
          <w:color w:themeColor="text1" w:val="000000"/>
        </w:rPr>
        <w:t xml:space="preserve"> using a base rate parameter (k</w:t>
      </w:r>
      <w:r>
        <w:rPr>
          <w:color w:themeColor="text1" w:val="000000"/>
          <w:vertAlign w:val="subscript"/>
        </w:rPr>
        <w:t>RES</w:t>
      </w:r>
      <w:r>
        <w:rPr>
          <w:color w:themeColor="text1" w:val="000000"/>
        </w:rPr>
        <w:t xml:space="preserve">; Figure 2-5C; Table 2-7). </w:t>
      </w:r>
    </w:p>
    <w:p>
      <w:pPr>
        <w:pStyle w:val="Normal"/>
        <w:rPr>
          <w:color w:themeColor="text1" w:val="000000"/>
        </w:rPr>
      </w:pPr>
      <w:r>
        <w:rPr>
          <w:color w:themeColor="text1" w:val="000000"/>
        </w:rPr>
        <w:t>P</w:t>
      </w:r>
      <w:r>
        <w:rPr>
          <w:color w:themeColor="text1" w:val="000000"/>
          <w:vertAlign w:val="subscript"/>
        </w:rPr>
        <w:t>FLOCL</w:t>
      </w:r>
      <w:r>
        <w:rPr>
          <w:color w:themeColor="text1" w:val="000000"/>
        </w:rPr>
        <w:t xml:space="preserve"> and the loss of </w:t>
      </w:r>
      <w:r>
        <w:rPr>
          <w:i/>
          <w:iCs/>
          <w:color w:themeColor="text1" w:val="000000"/>
        </w:rPr>
        <w:t>Typha</w:t>
      </w:r>
      <w:r>
        <w:rPr>
          <w:color w:themeColor="text1" w:val="000000"/>
        </w:rPr>
        <w:t xml:space="preserve"> root-rhizome P biomass were the sources of POP</w:t>
      </w:r>
      <w:r>
        <w:rPr>
          <w:color w:themeColor="text1" w:val="000000"/>
          <w:vertAlign w:val="subscript"/>
        </w:rPr>
        <w:t>S</w:t>
      </w:r>
      <w:r>
        <w:rPr>
          <w:color w:themeColor="text1" w:val="000000"/>
        </w:rPr>
        <w:t xml:space="preserve"> (Eqn. 8 Table 2-6). Hydrolysis to DOP</w:t>
      </w:r>
      <w:r>
        <w:rPr>
          <w:color w:themeColor="text1" w:val="000000"/>
          <w:vertAlign w:val="subscript"/>
        </w:rPr>
        <w:t>S</w:t>
      </w:r>
      <w:r>
        <w:rPr>
          <w:color w:themeColor="text1" w:val="000000"/>
        </w:rPr>
        <w:t xml:space="preserve"> (POP</w:t>
      </w:r>
      <w:r>
        <w:rPr>
          <w:color w:themeColor="text1" w:val="000000"/>
          <w:vertAlign w:val="subscript"/>
        </w:rPr>
        <w:t>SHYD</w:t>
      </w:r>
      <w:r>
        <w:rPr>
          <w:color w:themeColor="text1" w:val="000000"/>
        </w:rPr>
        <w:t>) and deposition (POP</w:t>
      </w:r>
      <w:r>
        <w:rPr>
          <w:color w:themeColor="text1" w:val="000000"/>
          <w:vertAlign w:val="subscript"/>
        </w:rPr>
        <w:t>SDEP</w:t>
      </w:r>
      <w:r>
        <w:rPr>
          <w:color w:themeColor="text1" w:val="000000"/>
        </w:rPr>
        <w:t>) were the two sink terms for POP</w:t>
      </w:r>
      <w:r>
        <w:rPr>
          <w:color w:themeColor="text1" w:val="000000"/>
          <w:vertAlign w:val="subscript"/>
        </w:rPr>
        <w:t>S</w:t>
      </w:r>
      <w:r>
        <w:rPr>
          <w:color w:themeColor="text1" w:val="000000"/>
        </w:rPr>
        <w:t>. While POP</w:t>
      </w:r>
      <w:r>
        <w:rPr>
          <w:color w:themeColor="text1" w:val="000000"/>
          <w:vertAlign w:val="subscript"/>
        </w:rPr>
        <w:t>S</w:t>
      </w:r>
      <w:r>
        <w:rPr>
          <w:color w:themeColor="text1" w:val="000000"/>
        </w:rPr>
        <w:t xml:space="preserve"> hydrolysis was the only source term for DOP</w:t>
      </w:r>
      <w:r>
        <w:rPr>
          <w:color w:themeColor="text1" w:val="000000"/>
          <w:vertAlign w:val="subscript"/>
        </w:rPr>
        <w:t>S</w:t>
      </w:r>
      <w:r>
        <w:rPr>
          <w:color w:themeColor="text1" w:val="000000"/>
        </w:rPr>
        <w:t>, it was lost through remineralization (DOP</w:t>
      </w:r>
      <w:r>
        <w:rPr>
          <w:color w:themeColor="text1" w:val="000000"/>
          <w:vertAlign w:val="subscript"/>
        </w:rPr>
        <w:t>SREM</w:t>
      </w:r>
      <w:r>
        <w:rPr>
          <w:color w:themeColor="text1" w:val="000000"/>
        </w:rPr>
        <w:t>) and diffusive efflux to the water column (DOP</w:t>
      </w:r>
      <w:r>
        <w:rPr>
          <w:color w:themeColor="text1" w:val="000000"/>
          <w:vertAlign w:val="subscript"/>
        </w:rPr>
        <w:t>SWX</w:t>
      </w:r>
      <w:r>
        <w:rPr>
          <w:color w:themeColor="text1" w:val="000000"/>
        </w:rPr>
        <w:t>). DOP remineralization and the desorption of PIP</w:t>
      </w:r>
      <w:r>
        <w:rPr>
          <w:color w:themeColor="text1" w:val="000000"/>
          <w:vertAlign w:val="subscript"/>
        </w:rPr>
        <w:t>S</w:t>
      </w:r>
      <w:r>
        <w:rPr>
          <w:color w:themeColor="text1" w:val="000000"/>
        </w:rPr>
        <w:t xml:space="preserve"> were the sources of soil DIP (DIP</w:t>
      </w:r>
      <w:r>
        <w:rPr>
          <w:color w:themeColor="text1" w:val="000000"/>
          <w:vertAlign w:val="subscript"/>
        </w:rPr>
        <w:t>S</w:t>
      </w:r>
      <w:r>
        <w:rPr>
          <w:color w:themeColor="text1" w:val="000000"/>
        </w:rPr>
        <w:t>; Eqn. 10 Table 2-6). DIP</w:t>
      </w:r>
      <w:r>
        <w:rPr>
          <w:color w:themeColor="text1" w:val="000000"/>
          <w:vertAlign w:val="subscript"/>
        </w:rPr>
        <w:t>S</w:t>
      </w:r>
      <w:r>
        <w:rPr>
          <w:color w:themeColor="text1" w:val="000000"/>
        </w:rPr>
        <w:t xml:space="preserve"> was consumed by sorption to PIP</w:t>
      </w:r>
      <w:r>
        <w:rPr>
          <w:color w:themeColor="text1" w:val="000000"/>
          <w:vertAlign w:val="subscript"/>
        </w:rPr>
        <w:t>S</w:t>
      </w:r>
      <w:r>
        <w:rPr>
          <w:color w:themeColor="text1" w:val="000000"/>
        </w:rPr>
        <w:t xml:space="preserve"> (DIP</w:t>
      </w:r>
      <w:r>
        <w:rPr>
          <w:color w:themeColor="text1" w:val="000000"/>
          <w:vertAlign w:val="subscript"/>
        </w:rPr>
        <w:t>SSB</w:t>
      </w:r>
      <w:r>
        <w:rPr>
          <w:color w:themeColor="text1" w:val="000000"/>
        </w:rPr>
        <w:t xml:space="preserve">), uptake by </w:t>
      </w:r>
      <w:r>
        <w:rPr>
          <w:i/>
          <w:color w:themeColor="text1" w:val="000000"/>
        </w:rPr>
        <w:t>Typha</w:t>
      </w:r>
      <w:r>
        <w:rPr>
          <w:color w:themeColor="text1" w:val="000000"/>
        </w:rPr>
        <w:t xml:space="preserve"> as a function of gross production and C:P of the shoots (C</w:t>
      </w:r>
      <w:r>
        <w:rPr>
          <w:color w:themeColor="text1" w:val="000000"/>
          <w:vertAlign w:val="subscript"/>
        </w:rPr>
        <w:t>SHG</w:t>
      </w:r>
      <w:r>
        <w:rPr>
          <w:color w:themeColor="text1" w:val="000000"/>
        </w:rPr>
        <w:t xml:space="preserve"> and C</w:t>
      </w:r>
      <w:r>
        <w:rPr>
          <w:color w:themeColor="text1" w:val="000000"/>
          <w:vertAlign w:val="subscript"/>
        </w:rPr>
        <w:t>PEAVSH</w:t>
      </w:r>
      <w:r>
        <w:rPr>
          <w:color w:themeColor="text1" w:val="000000"/>
        </w:rPr>
        <w:t>), and diffusive efflux to the water column (DIP</w:t>
      </w:r>
      <w:r>
        <w:rPr>
          <w:color w:themeColor="text1" w:val="000000"/>
          <w:vertAlign w:val="subscript"/>
        </w:rPr>
        <w:t>SWX</w:t>
      </w:r>
      <w:r>
        <w:rPr>
          <w:color w:themeColor="text1" w:val="000000"/>
        </w:rPr>
        <w:t>). DIP</w:t>
      </w:r>
      <w:r>
        <w:rPr>
          <w:color w:themeColor="text1" w:val="000000"/>
          <w:vertAlign w:val="subscript"/>
        </w:rPr>
        <w:t>SSB</w:t>
      </w:r>
      <w:r>
        <w:rPr>
          <w:color w:themeColor="text1" w:val="000000"/>
        </w:rPr>
        <w:t xml:space="preserve"> and PIP sinking from the water column (PIP</w:t>
      </w:r>
      <w:r>
        <w:rPr>
          <w:color w:themeColor="text1" w:val="000000"/>
          <w:vertAlign w:val="subscript"/>
        </w:rPr>
        <w:t>WS</w:t>
      </w:r>
      <w:r>
        <w:rPr>
          <w:color w:themeColor="text1" w:val="000000"/>
        </w:rPr>
        <w:t>) were the source terms for PIP</w:t>
      </w:r>
      <w:r>
        <w:rPr>
          <w:color w:themeColor="text1" w:val="000000"/>
          <w:vertAlign w:val="subscript"/>
        </w:rPr>
        <w:t>S</w:t>
      </w:r>
      <w:r>
        <w:rPr>
          <w:color w:themeColor="text1" w:val="000000"/>
        </w:rPr>
        <w:t xml:space="preserve"> (Eqn. 11 Table 2-6). Desorption and deposition (PIP</w:t>
      </w:r>
      <w:r>
        <w:rPr>
          <w:color w:themeColor="text1" w:val="000000"/>
          <w:vertAlign w:val="subscript"/>
        </w:rPr>
        <w:t>SDEP</w:t>
      </w:r>
      <w:r>
        <w:rPr>
          <w:color w:themeColor="text1" w:val="000000"/>
        </w:rPr>
        <w:t>) provided the loss pathways. Phosphorus sorption and desorption experiments were conducted as part of a larger study of the STAs (UF-WBL 2019). The average rate of desorption was determined in these experiments and used as the initial value in the model (0.07 d</w:t>
      </w:r>
      <w:r>
        <w:rPr>
          <w:color w:themeColor="text1" w:val="000000"/>
          <w:vertAlign w:val="superscript"/>
        </w:rPr>
        <w:t>-1</w:t>
      </w:r>
      <w:r>
        <w:rPr>
          <w:color w:themeColor="text1" w:val="000000"/>
        </w:rPr>
        <w:t xml:space="preserve">; UF-WBL 2019). </w:t>
      </w:r>
    </w:p>
    <w:p>
      <w:pPr>
        <w:pStyle w:val="Normal"/>
        <w:rPr>
          <w:color w:themeColor="text1" w:val="000000"/>
        </w:rPr>
      </w:pPr>
      <w:r>
        <w:rPr>
          <w:color w:themeColor="text1" w:val="000000"/>
        </w:rPr>
        <w:t>Each of the four water column P constituents (POP</w:t>
      </w:r>
      <w:r>
        <w:rPr>
          <w:color w:themeColor="text1" w:val="000000"/>
          <w:vertAlign w:val="subscript"/>
        </w:rPr>
        <w:t>W</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PIP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had inflow (IN) and outflow (OUT) terms (Eqns. 12-15; Table 2-6). POP</w:t>
      </w:r>
      <w:r>
        <w:rPr>
          <w:color w:themeColor="text1" w:val="000000"/>
          <w:vertAlign w:val="subscript"/>
        </w:rPr>
        <w:t>W</w:t>
      </w:r>
      <w:r>
        <w:rPr>
          <w:color w:themeColor="text1" w:val="000000"/>
        </w:rPr>
        <w:t xml:space="preserve"> increased with the sinking of phytoplankton (C</w:t>
      </w:r>
      <w:r>
        <w:rPr>
          <w:color w:themeColor="text1" w:val="000000"/>
          <w:vertAlign w:val="subscript"/>
        </w:rPr>
        <w:t>PHYTOS</w:t>
      </w:r>
      <w:r>
        <w:rPr>
          <w:color w:themeColor="text1" w:val="000000"/>
        </w:rPr>
        <w:t xml:space="preserve"> and C</w:t>
      </w:r>
      <w:r>
        <w:rPr>
          <w:color w:themeColor="text1" w:val="000000"/>
          <w:vertAlign w:val="subscript"/>
        </w:rPr>
        <w:t>PPHYTO</w:t>
      </w:r>
      <w:r>
        <w:rPr>
          <w:color w:themeColor="text1" w:val="000000"/>
        </w:rPr>
        <w:t>) and P</w:t>
      </w:r>
      <w:r>
        <w:rPr>
          <w:color w:themeColor="text1" w:val="000000"/>
          <w:vertAlign w:val="subscript"/>
        </w:rPr>
        <w:t>FLOCRES</w:t>
      </w:r>
      <w:r>
        <w:rPr>
          <w:color w:themeColor="text1" w:val="000000"/>
        </w:rPr>
        <w:t>, and, decreased with sinking (POP</w:t>
      </w:r>
      <w:r>
        <w:rPr>
          <w:color w:themeColor="text1" w:val="000000"/>
          <w:vertAlign w:val="subscript"/>
        </w:rPr>
        <w:t>WS</w:t>
      </w:r>
      <w:r>
        <w:rPr>
          <w:color w:themeColor="text1" w:val="000000"/>
        </w:rPr>
        <w:t>) and hydrolysis to DOP</w:t>
      </w:r>
      <w:r>
        <w:rPr>
          <w:color w:themeColor="text1" w:val="000000"/>
          <w:vertAlign w:val="subscript"/>
        </w:rPr>
        <w:t>W</w:t>
      </w:r>
      <w:r>
        <w:rPr>
          <w:color w:themeColor="text1" w:val="000000"/>
        </w:rPr>
        <w:t xml:space="preserve"> (POP</w:t>
      </w:r>
      <w:r>
        <w:rPr>
          <w:color w:themeColor="text1" w:val="000000"/>
          <w:vertAlign w:val="subscript"/>
        </w:rPr>
        <w:t>WHYD</w:t>
      </w:r>
      <w:r>
        <w:rPr>
          <w:color w:themeColor="text1" w:val="000000"/>
        </w:rPr>
        <w:t>; Eqn. 12 Table 2-6). It was removed via two independent sinking processes (POP</w:t>
      </w:r>
      <w:r>
        <w:rPr>
          <w:color w:themeColor="text1" w:val="000000"/>
          <w:vertAlign w:val="subscript"/>
        </w:rPr>
        <w:t>WS</w:t>
      </w:r>
      <w:r>
        <w:rPr>
          <w:color w:themeColor="text1" w:val="000000"/>
        </w:rPr>
        <w:t>). First, changes in concentration and depth were used to calculate sinking using a base rate parameter (k</w:t>
      </w:r>
      <w:r>
        <w:rPr>
          <w:color w:themeColor="text1" w:val="000000"/>
          <w:vertAlign w:val="subscript"/>
        </w:rPr>
        <w:t>SNK</w:t>
      </w:r>
      <w:r>
        <w:rPr>
          <w:color w:themeColor="text1" w:val="000000"/>
        </w:rPr>
        <w:t>; m d</w:t>
      </w:r>
      <w:r>
        <w:rPr>
          <w:color w:themeColor="text1" w:val="000000"/>
          <w:vertAlign w:val="superscript"/>
        </w:rPr>
        <w:t>-1</w:t>
      </w:r>
      <w:r>
        <w:rPr>
          <w:color w:themeColor="text1" w:val="000000"/>
        </w:rPr>
        <w:t xml:space="preserve">). The </w:t>
      </w:r>
      <w:r>
        <w:rPr>
          <w:i/>
          <w:color w:themeColor="text1" w:val="000000"/>
        </w:rPr>
        <w:t>Typha</w:t>
      </w:r>
      <w:r>
        <w:rPr>
          <w:color w:themeColor="text1" w:val="000000"/>
        </w:rPr>
        <w:t xml:space="preserve"> surface roughness function was the second (see above; Figure 2-5B). Finally, hydrolysis (POP</w:t>
      </w:r>
      <w:r>
        <w:rPr>
          <w:color w:themeColor="text1" w:val="000000"/>
          <w:vertAlign w:val="subscript"/>
        </w:rPr>
        <w:t>WHYD</w:t>
      </w:r>
      <w:r>
        <w:rPr>
          <w:color w:themeColor="text1" w:val="000000"/>
        </w:rPr>
        <w:t>) was a sink for POP</w:t>
      </w:r>
      <w:r>
        <w:rPr>
          <w:color w:themeColor="text1" w:val="000000"/>
          <w:vertAlign w:val="subscript"/>
        </w:rPr>
        <w:t>W</w:t>
      </w:r>
      <w:r>
        <w:rPr>
          <w:color w:themeColor="text1" w:val="000000"/>
        </w:rPr>
        <w:t xml:space="preserve"> and internal source of DOP</w:t>
      </w:r>
      <w:r>
        <w:rPr>
          <w:color w:themeColor="text1" w:val="000000"/>
          <w:vertAlign w:val="subscript"/>
        </w:rPr>
        <w:t>W</w:t>
      </w:r>
      <w:r>
        <w:rPr>
          <w:color w:themeColor="text1" w:val="000000"/>
        </w:rPr>
        <w:t xml:space="preserve"> in the water column. </w:t>
      </w:r>
    </w:p>
    <w:p>
      <w:pPr>
        <w:pStyle w:val="Normal"/>
        <w:rPr>
          <w:color w:themeColor="text1" w:val="000000"/>
        </w:rPr>
      </w:pPr>
      <w:r>
        <w:rPr>
          <w:color w:themeColor="text1" w:val="000000"/>
        </w:rPr>
        <w:t>Rainfall was a source term for both DOP</w:t>
      </w:r>
      <w:r>
        <w:rPr>
          <w:color w:themeColor="text1" w:val="000000"/>
          <w:vertAlign w:val="subscript"/>
        </w:rPr>
        <w:t>W</w:t>
      </w:r>
      <w:r>
        <w:rPr>
          <w:color w:themeColor="text1" w:val="000000"/>
        </w:rPr>
        <w:t xml:space="preserve"> and DIP</w:t>
      </w:r>
      <w:r>
        <w:rPr>
          <w:color w:themeColor="text1" w:val="000000"/>
          <w:vertAlign w:val="subscript"/>
        </w:rPr>
        <w:t>W</w:t>
      </w:r>
      <w:r>
        <w:rPr>
          <w:color w:themeColor="text1" w:val="000000"/>
        </w:rPr>
        <w:t xml:space="preserve"> (Eqns. 13 and 14 Table 2-6). Daily NEXRAD rainfall values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from the SFWMD DBHydro were imported into the model and multiplied by constant concentrations (Table 2-7). Daily seepage rates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across the four boundaries of the flow-way were developed using the surrounding stage water levels along with seepage coefficients based on differences in water levels (Zhao and Piccone 2018). While the daily input via seepage was small, there were a few occasions of seepage outflow. The minimum concentrations for DOPS and DIPS were applied to calculate the contribution of seepage.</w:t>
      </w:r>
    </w:p>
    <w:p>
      <w:pPr>
        <w:pStyle w:val="Normal"/>
        <w:rPr>
          <w:color w:themeColor="text1" w:val="000000"/>
        </w:rPr>
      </w:pPr>
      <w:r>
        <w:rPr>
          <w:color w:themeColor="text1" w:val="000000"/>
        </w:rPr>
        <w:t>Exudation (g C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by phytoplankton and periphyton (C</w:t>
      </w:r>
      <w:r>
        <w:rPr>
          <w:color w:themeColor="text1" w:val="000000"/>
          <w:vertAlign w:val="subscript"/>
        </w:rPr>
        <w:t>PHYTOEX</w:t>
      </w:r>
      <w:r>
        <w:rPr>
          <w:color w:themeColor="text1" w:val="000000"/>
        </w:rPr>
        <w:t xml:space="preserve"> and C</w:t>
      </w:r>
      <w:r>
        <w:rPr>
          <w:color w:themeColor="text1" w:val="000000"/>
          <w:vertAlign w:val="subscript"/>
        </w:rPr>
        <w:t>PERIEX</w:t>
      </w:r>
      <w:r>
        <w:rPr>
          <w:color w:themeColor="text1" w:val="000000"/>
        </w:rPr>
        <w:t>) was converted to P using the C:P ratios (C</w:t>
      </w:r>
      <w:r>
        <w:rPr>
          <w:color w:themeColor="text1" w:val="000000"/>
          <w:vertAlign w:val="subscript"/>
        </w:rPr>
        <w:t>PPHYTO</w:t>
      </w:r>
      <w:r>
        <w:rPr>
          <w:color w:themeColor="text1" w:val="000000"/>
        </w:rPr>
        <w:t>; C</w:t>
      </w:r>
      <w:r>
        <w:rPr>
          <w:color w:themeColor="text1" w:val="000000"/>
          <w:vertAlign w:val="subscript"/>
        </w:rPr>
        <w:t>PPERI</w:t>
      </w:r>
      <w:r>
        <w:rPr>
          <w:color w:themeColor="text1" w:val="000000"/>
        </w:rPr>
        <w:t>) as a source of DOP</w:t>
      </w:r>
      <w:r>
        <w:rPr>
          <w:color w:themeColor="text1" w:val="000000"/>
          <w:vertAlign w:val="subscript"/>
        </w:rPr>
        <w:t>W</w:t>
      </w:r>
      <w:r>
        <w:rPr>
          <w:color w:themeColor="text1" w:val="000000"/>
        </w:rPr>
        <w:t xml:space="preserve"> (Eqn. 13; Table 2-6).  While diffusive efflux from the soil was a source, DOP</w:t>
      </w:r>
      <w:r>
        <w:rPr>
          <w:color w:themeColor="text1" w:val="000000"/>
          <w:vertAlign w:val="subscript"/>
        </w:rPr>
        <w:t>W</w:t>
      </w:r>
      <w:r>
        <w:rPr>
          <w:color w:themeColor="text1" w:val="000000"/>
        </w:rPr>
        <w:t xml:space="preserve"> decreased via remineralization and photolysis to DIPW (DOP</w:t>
      </w:r>
      <w:r>
        <w:rPr>
          <w:color w:themeColor="text1" w:val="000000"/>
          <w:vertAlign w:val="subscript"/>
        </w:rPr>
        <w:t>WREM</w:t>
      </w:r>
      <w:r>
        <w:rPr>
          <w:color w:themeColor="text1" w:val="000000"/>
        </w:rPr>
        <w:t xml:space="preserve"> and DOP</w:t>
      </w:r>
      <w:r>
        <w:rPr>
          <w:color w:themeColor="text1" w:val="000000"/>
          <w:vertAlign w:val="subscript"/>
        </w:rPr>
        <w:t>WPHT</w:t>
      </w:r>
      <w:r>
        <w:rPr>
          <w:color w:themeColor="text1" w:val="000000"/>
        </w:rPr>
        <w:t>). DIP</w:t>
      </w:r>
      <w:r>
        <w:rPr>
          <w:color w:themeColor="text1" w:val="000000"/>
          <w:vertAlign w:val="subscript"/>
        </w:rPr>
        <w:t>W</w:t>
      </w:r>
      <w:r>
        <w:rPr>
          <w:color w:themeColor="text1" w:val="000000"/>
        </w:rPr>
        <w:t xml:space="preserve"> had the greatest number of sources (seven) and sinks (5) among all model state variables (Eqn. 14 Table 2-6). The source terms included inflow (DIP</w:t>
      </w:r>
      <w:r>
        <w:rPr>
          <w:color w:themeColor="text1" w:val="000000"/>
          <w:vertAlign w:val="subscript"/>
        </w:rPr>
        <w:t>WIN</w:t>
      </w:r>
      <w:r>
        <w:rPr>
          <w:color w:themeColor="text1" w:val="000000"/>
        </w:rPr>
        <w:t>), rain (DIP</w:t>
      </w:r>
      <w:r>
        <w:rPr>
          <w:color w:themeColor="text1" w:val="000000"/>
          <w:vertAlign w:val="subscript"/>
        </w:rPr>
        <w:t>WRAIN</w:t>
      </w:r>
      <w:r>
        <w:rPr>
          <w:color w:themeColor="text1" w:val="000000"/>
        </w:rPr>
        <w:t>), DOP</w:t>
      </w:r>
      <w:r>
        <w:rPr>
          <w:color w:themeColor="text1" w:val="000000"/>
          <w:vertAlign w:val="subscript"/>
        </w:rPr>
        <w:t>WREM</w:t>
      </w:r>
      <w:r>
        <w:rPr>
          <w:color w:themeColor="text1" w:val="000000"/>
        </w:rPr>
        <w:t>, DOP</w:t>
      </w:r>
      <w:r>
        <w:rPr>
          <w:color w:themeColor="text1" w:val="000000"/>
          <w:vertAlign w:val="subscript"/>
        </w:rPr>
        <w:t>WPHT</w:t>
      </w:r>
      <w:r>
        <w:rPr>
          <w:color w:themeColor="text1" w:val="000000"/>
        </w:rPr>
        <w:t>, diffusive efflux from the soil (DIP</w:t>
      </w:r>
      <w:r>
        <w:rPr>
          <w:color w:themeColor="text1" w:val="000000"/>
          <w:vertAlign w:val="subscript"/>
        </w:rPr>
        <w:t>SWX</w:t>
      </w:r>
      <w:r>
        <w:rPr>
          <w:color w:themeColor="text1" w:val="000000"/>
        </w:rPr>
        <w:t>), desorption of PIPW (PIPWDSB), and combined grazing on phytoplankton (C</w:t>
      </w:r>
      <w:r>
        <w:rPr>
          <w:color w:themeColor="text1" w:val="000000"/>
          <w:vertAlign w:val="subscript"/>
        </w:rPr>
        <w:t>PHYTOGZ</w:t>
      </w:r>
      <w:r>
        <w:rPr>
          <w:color w:themeColor="text1" w:val="000000"/>
        </w:rPr>
        <w:t xml:space="preserve"> and C</w:t>
      </w:r>
      <w:r>
        <w:rPr>
          <w:color w:themeColor="text1" w:val="000000"/>
          <w:vertAlign w:val="subscript"/>
        </w:rPr>
        <w:t>PPHYTO</w:t>
      </w:r>
      <w:r>
        <w:rPr>
          <w:color w:themeColor="text1" w:val="000000"/>
        </w:rPr>
        <w:t>), periphyton (C</w:t>
      </w:r>
      <w:r>
        <w:rPr>
          <w:color w:themeColor="text1" w:val="000000"/>
          <w:vertAlign w:val="subscript"/>
        </w:rPr>
        <w:t>PeriGZ</w:t>
      </w:r>
      <w:r>
        <w:rPr>
          <w:color w:themeColor="text1" w:val="000000"/>
        </w:rPr>
        <w:t xml:space="preserve"> and C</w:t>
      </w:r>
      <w:r>
        <w:rPr>
          <w:color w:themeColor="text1" w:val="000000"/>
          <w:vertAlign w:val="subscript"/>
        </w:rPr>
        <w:t>PPeri</w:t>
      </w:r>
      <w:r>
        <w:rPr>
          <w:color w:themeColor="text1" w:val="000000"/>
        </w:rPr>
        <w:t>), and SAV (C</w:t>
      </w:r>
      <w:r>
        <w:rPr>
          <w:color w:themeColor="text1" w:val="000000"/>
          <w:vertAlign w:val="subscript"/>
        </w:rPr>
        <w:t>SAVGZ</w:t>
      </w:r>
      <w:r>
        <w:rPr>
          <w:color w:themeColor="text1" w:val="000000"/>
        </w:rPr>
        <w:t xml:space="preserve"> and C</w:t>
      </w:r>
      <w:r>
        <w:rPr>
          <w:color w:themeColor="text1" w:val="000000"/>
          <w:vertAlign w:val="subscript"/>
        </w:rPr>
        <w:t>PSAV</w:t>
      </w:r>
      <w:r>
        <w:rPr>
          <w:color w:themeColor="text1" w:val="000000"/>
        </w:rPr>
        <w:t>). The contribution of SAV was scaled by its relative area in STA-2 FW1 (7%). The five sink terms were outflow (DIP</w:t>
      </w:r>
      <w:r>
        <w:rPr>
          <w:color w:themeColor="text1" w:val="000000"/>
          <w:vertAlign w:val="subscript"/>
        </w:rPr>
        <w:t>WOUT</w:t>
      </w:r>
      <w:r>
        <w:rPr>
          <w:color w:themeColor="text1" w:val="000000"/>
        </w:rPr>
        <w:t>), sorption (DIP</w:t>
      </w:r>
      <w:r>
        <w:rPr>
          <w:color w:themeColor="text1" w:val="000000"/>
          <w:vertAlign w:val="subscript"/>
        </w:rPr>
        <w:t>WSB</w:t>
      </w:r>
      <w:r>
        <w:rPr>
          <w:color w:themeColor="text1" w:val="000000"/>
        </w:rPr>
        <w:t>), uptake (DIP</w:t>
      </w:r>
      <w:r>
        <w:rPr>
          <w:color w:themeColor="text1" w:val="000000"/>
          <w:vertAlign w:val="subscript"/>
        </w:rPr>
        <w:t>WUP</w:t>
      </w:r>
      <w:r>
        <w:rPr>
          <w:color w:themeColor="text1" w:val="000000"/>
        </w:rPr>
        <w:t>), co-precipitation (DIP</w:t>
      </w:r>
      <w:r>
        <w:rPr>
          <w:color w:themeColor="text1" w:val="000000"/>
          <w:vertAlign w:val="subscript"/>
        </w:rPr>
        <w:t>WPRC</w:t>
      </w:r>
      <w:r>
        <w:rPr>
          <w:color w:themeColor="text1" w:val="000000"/>
        </w:rPr>
        <w:t>), and seepage (DIP</w:t>
      </w:r>
      <w:r>
        <w:rPr>
          <w:color w:themeColor="text1" w:val="000000"/>
          <w:vertAlign w:val="subscript"/>
        </w:rPr>
        <w:t>WSP</w:t>
      </w:r>
      <w:r>
        <w:rPr>
          <w:color w:themeColor="text1" w:val="000000"/>
        </w:rPr>
        <w:t>). DIP</w:t>
      </w:r>
      <w:r>
        <w:rPr>
          <w:color w:themeColor="text1" w:val="000000"/>
          <w:vertAlign w:val="subscript"/>
        </w:rPr>
        <w:t>WUP</w:t>
      </w:r>
      <w:r>
        <w:rPr>
          <w:color w:themeColor="text1" w:val="000000"/>
        </w:rPr>
        <w:t xml:space="preserve"> was calculated using the rates of gross production (G</w:t>
      </w:r>
      <w:r>
        <w:rPr>
          <w:color w:themeColor="text1" w:val="000000"/>
          <w:vertAlign w:val="subscript"/>
        </w:rPr>
        <w:t>PPHYTO</w:t>
      </w:r>
      <w:r>
        <w:rPr>
          <w:color w:themeColor="text1" w:val="000000"/>
        </w:rPr>
        <w:t>, G</w:t>
      </w:r>
      <w:r>
        <w:rPr>
          <w:color w:themeColor="text1" w:val="000000"/>
          <w:vertAlign w:val="subscript"/>
        </w:rPr>
        <w:t>PPERI</w:t>
      </w:r>
      <w:r>
        <w:rPr>
          <w:color w:themeColor="text1" w:val="000000"/>
        </w:rPr>
        <w:t>, G</w:t>
      </w:r>
      <w:r>
        <w:rPr>
          <w:color w:themeColor="text1" w:val="000000"/>
          <w:vertAlign w:val="subscript"/>
        </w:rPr>
        <w:t>SAV</w:t>
      </w:r>
      <w:r>
        <w:rPr>
          <w:color w:themeColor="text1" w:val="000000"/>
        </w:rPr>
        <w:t>) multiplied by their respective C:P ratios (Table 2-7).  The co-precipitation of DIP</w:t>
      </w:r>
      <w:r>
        <w:rPr>
          <w:color w:themeColor="text1" w:val="000000"/>
          <w:vertAlign w:val="subscript"/>
        </w:rPr>
        <w:t>W</w:t>
      </w:r>
      <w:r>
        <w:rPr>
          <w:color w:themeColor="text1" w:val="000000"/>
        </w:rPr>
        <w:t xml:space="preserve"> was simulated using a linear function between total gross production (g C m-3 d</w:t>
      </w:r>
      <w:r>
        <w:rPr>
          <w:color w:themeColor="text1" w:val="000000"/>
          <w:vertAlign w:val="superscript"/>
        </w:rPr>
        <w:t>-1</w:t>
      </w:r>
      <w:r>
        <w:rPr>
          <w:color w:themeColor="text1" w:val="000000"/>
        </w:rPr>
        <w:t>) and loss to PIP</w:t>
      </w:r>
      <w:r>
        <w:rPr>
          <w:color w:themeColor="text1" w:val="000000"/>
          <w:vertAlign w:val="subscript"/>
        </w:rPr>
        <w:t>W</w:t>
      </w:r>
      <w:r>
        <w:rPr>
          <w:color w:themeColor="text1" w:val="000000"/>
        </w:rPr>
        <w:t xml:space="preserve"> (g P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Figure 2-5D; Dodds 2003; Grace 2003; Hagerthey et al. 2010 ). Similar to PIP</w:t>
      </w:r>
      <w:r>
        <w:rPr>
          <w:color w:themeColor="text1" w:val="000000"/>
          <w:vertAlign w:val="subscript"/>
        </w:rPr>
        <w:t>S</w:t>
      </w:r>
      <w:r>
        <w:rPr>
          <w:color w:themeColor="text1" w:val="000000"/>
        </w:rPr>
        <w:t>, PIP</w:t>
      </w:r>
      <w:r>
        <w:rPr>
          <w:color w:themeColor="text1" w:val="000000"/>
          <w:vertAlign w:val="subscript"/>
        </w:rPr>
        <w:t>W</w:t>
      </w:r>
      <w:r>
        <w:rPr>
          <w:color w:themeColor="text1" w:val="000000"/>
        </w:rPr>
        <w:t xml:space="preserve"> increased with DIP</w:t>
      </w:r>
      <w:r>
        <w:rPr>
          <w:color w:themeColor="text1" w:val="000000"/>
          <w:vertAlign w:val="subscript"/>
        </w:rPr>
        <w:t>WSB</w:t>
      </w:r>
      <w:r>
        <w:rPr>
          <w:color w:themeColor="text1" w:val="000000"/>
        </w:rPr>
        <w:t>, decreased PIP</w:t>
      </w:r>
      <w:r>
        <w:rPr>
          <w:color w:themeColor="text1" w:val="000000"/>
          <w:vertAlign w:val="subscript"/>
        </w:rPr>
        <w:t>DSB</w:t>
      </w:r>
      <w:r>
        <w:rPr>
          <w:color w:themeColor="text1" w:val="000000"/>
        </w:rPr>
        <w:t>, and sank from the water column (PIP</w:t>
      </w:r>
      <w:r>
        <w:rPr>
          <w:color w:themeColor="text1" w:val="000000"/>
          <w:vertAlign w:val="subscript"/>
        </w:rPr>
        <w:t>WS</w:t>
      </w:r>
      <w:r>
        <w:rPr>
          <w:color w:themeColor="text1" w:val="000000"/>
        </w:rPr>
        <w:t xml:space="preserve">). </w:t>
      </w:r>
    </w:p>
    <w:p>
      <w:pPr>
        <w:pStyle w:val="Normal"/>
        <w:rPr>
          <w:color w:themeColor="text1" w:val="000000"/>
        </w:rPr>
      </w:pPr>
      <w:r>
        <w:rPr>
          <w:color w:themeColor="text1" w:val="000000"/>
        </w:rPr>
        <w:t>The output from the first generation BGC Model developed in Phase II included time series of the P concentrations, basic comparisons between the target and average model P concentrations, and initial assessments of water column TP budgets and concentrations. There were many different evaluations performed during the Phase II model development. This report does not include these preliminary results because: 1) Several areas were identified to improve and refine the BGC Model in Phase III; and 2) Results presented in this document from the Phase III BGC Model are much more comprehensive and reliable. The Phase III tasks were to:</w:t>
      </w:r>
    </w:p>
    <w:p>
      <w:pPr>
        <w:pStyle w:val="ListParagraph"/>
        <w:numPr>
          <w:ilvl w:val="0"/>
          <w:numId w:val="5"/>
        </w:numPr>
        <w:rPr>
          <w:color w:themeColor="text1" w:val="000000"/>
        </w:rPr>
      </w:pPr>
      <w:r>
        <w:rPr>
          <w:color w:themeColor="text1" w:val="000000"/>
        </w:rPr>
        <w:t xml:space="preserve">Create Hydrologic Model of flow-way volume, depth and outflow for the BGC Model </w:t>
        <w:br/>
        <w:t>(Task 8.1)</w:t>
      </w:r>
    </w:p>
    <w:p>
      <w:pPr>
        <w:pStyle w:val="ListParagraph"/>
        <w:numPr>
          <w:ilvl w:val="0"/>
          <w:numId w:val="5"/>
        </w:numPr>
        <w:rPr>
          <w:color w:themeColor="text1" w:val="000000"/>
        </w:rPr>
      </w:pPr>
      <w:r>
        <w:rPr>
          <w:color w:themeColor="text1" w:val="000000"/>
        </w:rPr>
        <w:t>Propose updates to the conceptual and mathematical BGM Models (Task 8.2)</w:t>
      </w:r>
    </w:p>
    <w:p>
      <w:pPr>
        <w:pStyle w:val="ListParagraph"/>
        <w:numPr>
          <w:ilvl w:val="0"/>
          <w:numId w:val="5"/>
        </w:numPr>
        <w:rPr>
          <w:color w:themeColor="text1" w:val="000000"/>
        </w:rPr>
      </w:pPr>
      <w:r>
        <w:rPr>
          <w:color w:themeColor="text1" w:val="000000"/>
        </w:rPr>
        <w:t>Transform the updated conceptual model into a functioning BGC Test Model with emphasis on source/sink relationships and total phosphorus mass balance (Task 8.3)</w:t>
      </w:r>
    </w:p>
    <w:p>
      <w:pPr>
        <w:pStyle w:val="ListParagraph"/>
        <w:numPr>
          <w:ilvl w:val="0"/>
          <w:numId w:val="5"/>
        </w:numPr>
        <w:rPr>
          <w:color w:themeColor="text1" w:val="000000"/>
        </w:rPr>
      </w:pPr>
      <w:r>
        <w:rPr>
          <w:color w:themeColor="text1" w:val="000000"/>
        </w:rPr>
        <w:t>Calibrate and validate predictions of P concentrations for different time periods (Task 8.4)</w:t>
      </w:r>
    </w:p>
    <w:p>
      <w:pPr>
        <w:pStyle w:val="ListParagraph"/>
        <w:numPr>
          <w:ilvl w:val="0"/>
          <w:numId w:val="5"/>
        </w:numPr>
        <w:rPr>
          <w:color w:themeColor="text1" w:val="000000"/>
        </w:rPr>
      </w:pPr>
      <w:r>
        <w:rPr>
          <w:color w:themeColor="text1" w:val="000000"/>
        </w:rPr>
        <w:t>Perform sensitivity analysis on the BGC Model (Task 8.5)</w:t>
      </w:r>
    </w:p>
    <w:p>
      <w:pPr>
        <w:pStyle w:val="Normal"/>
        <w:rPr>
          <w:color w:themeColor="text1" w:val="000000"/>
        </w:rPr>
      </w:pPr>
      <w:r>
        <w:rPr>
          <w:color w:themeColor="text1" w:val="000000"/>
        </w:rPr>
      </w:r>
    </w:p>
    <w:p>
      <w:pPr>
        <w:pStyle w:val="Heading2"/>
        <w:ind w:hanging="0" w:left="0"/>
        <w:rPr/>
      </w:pPr>
      <w:bookmarkStart w:id="55" w:name="_Toc182252502"/>
      <w:r>
        <w:rPr/>
        <w:t>Phase III Model Improvement</w:t>
      </w:r>
      <w:bookmarkEnd w:id="55"/>
    </w:p>
    <w:p>
      <w:pPr>
        <w:pStyle w:val="Heading3"/>
        <w:rPr>
          <w:color w:themeColor="text1" w:val="000000"/>
        </w:rPr>
      </w:pPr>
      <w:bookmarkStart w:id="56" w:name="_Toc182252503"/>
      <w:r>
        <w:rPr>
          <w:color w:themeColor="text1" w:val="000000"/>
        </w:rPr>
        <w:t>Hydrologic Model (Task 8.1)</w:t>
      </w:r>
      <w:bookmarkEnd w:id="56"/>
    </w:p>
    <w:p>
      <w:pPr>
        <w:pStyle w:val="Normal"/>
        <w:rPr>
          <w:color w:themeColor="text1" w:val="000000"/>
        </w:rPr>
      </w:pPr>
      <w:r>
        <w:rPr>
          <w:color w:themeColor="text1" w:val="000000"/>
        </w:rPr>
        <w:t>The BGC Model required a more complete hydrologic component to simulate daily changes in the depth and volume of STA-2 FW1 over the 5844-day model time period (1/1/20025 to 12/31/2020). A water budget approach similar to Zhao and Piccone (2019a and 2019b) was developed to include all sources (inflow, rainfall, seepage) and sinks (outflow, evapotranspiration, seepage) to model daily changes in the flow-way volume and depth. Volume (V</w:t>
      </w:r>
      <w:r>
        <w:rPr>
          <w:color w:themeColor="text1" w:val="000000"/>
          <w:vertAlign w:val="subscript"/>
        </w:rPr>
        <w:t>MOD</w:t>
      </w:r>
      <w:r>
        <w:rPr>
          <w:color w:themeColor="text1" w:val="000000"/>
        </w:rPr>
        <w:t>; m</w:t>
      </w:r>
      <w:r>
        <w:rPr>
          <w:color w:themeColor="text1" w:val="000000"/>
          <w:vertAlign w:val="superscript"/>
        </w:rPr>
        <w:t>3</w:t>
      </w:r>
      <w:r>
        <w:rPr>
          <w:color w:themeColor="text1" w:val="000000"/>
        </w:rPr>
        <w:t xml:space="preserve"> or km</w:t>
      </w:r>
      <w:r>
        <w:rPr>
          <w:color w:themeColor="text1" w:val="000000"/>
          <w:vertAlign w:val="superscript"/>
        </w:rPr>
        <w:t>3</w:t>
      </w:r>
      <w:r>
        <w:rPr>
          <w:color w:themeColor="text1" w:val="000000"/>
        </w:rPr>
        <w:t>) was modeled as the daily integrated sum of inflow (Q</w:t>
      </w:r>
      <w:r>
        <w:rPr>
          <w:color w:themeColor="text1" w:val="000000"/>
          <w:vertAlign w:val="subscript"/>
        </w:rPr>
        <w:t>0</w:t>
      </w:r>
      <w:r>
        <w:rPr>
          <w:color w:themeColor="text1" w:val="000000"/>
        </w:rPr>
        <w:t>;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rainfall (Q</w:t>
      </w:r>
      <w:r>
        <w:rPr>
          <w:color w:themeColor="text1" w:val="000000"/>
          <w:vertAlign w:val="subscript"/>
        </w:rPr>
        <w:t>RAIN</w:t>
      </w:r>
      <w:r>
        <w:rPr>
          <w:color w:themeColor="text1" w:val="000000"/>
        </w:rPr>
        <w:t>;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outflow (Q</w:t>
      </w:r>
      <w:r>
        <w:rPr>
          <w:color w:themeColor="text1" w:val="000000"/>
          <w:vertAlign w:val="subscript"/>
        </w:rPr>
        <w:t>OUT</w:t>
      </w:r>
      <w:r>
        <w:rPr>
          <w:color w:themeColor="text1" w:val="000000"/>
        </w:rPr>
        <w:t>;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evapotranspiration (Q</w:t>
      </w:r>
      <w:r>
        <w:rPr>
          <w:color w:themeColor="text1" w:val="000000"/>
          <w:vertAlign w:val="subscript"/>
        </w:rPr>
        <w:t>ET</w:t>
      </w:r>
      <w:r>
        <w:rPr>
          <w:color w:themeColor="text1" w:val="000000"/>
        </w:rPr>
        <w:t>;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and seepage (Q</w:t>
      </w:r>
      <w:r>
        <w:rPr>
          <w:color w:themeColor="text1" w:val="000000"/>
          <w:vertAlign w:val="subscript"/>
        </w:rPr>
        <w:t>SP</w:t>
      </w:r>
      <w:r>
        <w:rPr>
          <w:color w:themeColor="text1" w:val="000000"/>
        </w:rPr>
        <w:t>;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Figure 2-6; Equation 1).</w:t>
      </w:r>
    </w:p>
    <w:p>
      <w:pPr>
        <w:pStyle w:val="Normal"/>
        <w:rPr>
          <w:color w:themeColor="text1" w:val="000000"/>
        </w:rPr>
      </w:pPr>
      <w:r>
        <w:rPr>
          <w:color w:themeColor="text1" w:val="000000"/>
        </w:rPr>
      </w:r>
    </w:p>
    <w:p>
      <w:pPr>
        <w:pStyle w:val="Normal"/>
        <w:jc w:val="center"/>
        <w:rPr>
          <w:color w:themeColor="text1" w:val="000000"/>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MOD</m:t>
              </m:r>
            </m:sub>
          </m:sSub>
          <m:r>
            <w:rPr>
              <w:rFonts w:ascii="Cambria Math" w:hAnsi="Cambria Math"/>
            </w:rPr>
            <m:t xml:space="preserve">=</m:t>
          </m:r>
          <m:sSub>
            <m:e>
              <m:r>
                <w:rPr>
                  <w:rFonts w:ascii="Cambria Math" w:hAnsi="Cambria Math"/>
                </w:rPr>
                <m:t xml:space="preserve">V</m:t>
              </m:r>
            </m:e>
            <m:sub>
              <m:r>
                <m:rPr>
                  <m:lit/>
                  <m:nor/>
                </m:rPr>
                <w:rPr>
                  <w:rFonts w:ascii="Cambria Math" w:hAnsi="Cambria Math"/>
                </w:rPr>
                <m:t xml:space="preserve">MOD</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Q</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Q</m:t>
              </m:r>
            </m:e>
            <m:sub>
              <m:r>
                <m:rPr>
                  <m:lit/>
                  <m:nor/>
                </m:rPr>
                <w:rPr>
                  <w:rFonts w:ascii="Cambria Math" w:hAnsi="Cambria Math"/>
                </w:rPr>
                <m:t xml:space="preserve">RAIN</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Q</m:t>
              </m:r>
            </m:e>
            <m:sub>
              <m:r>
                <m:rPr>
                  <m:lit/>
                  <m:nor/>
                </m:rPr>
                <w:rPr>
                  <w:rFonts w:ascii="Cambria Math" w:hAnsi="Cambria Math"/>
                </w:rPr>
                <m:t xml:space="preserve">OUT</m:t>
              </m:r>
            </m:sub>
          </m:sSub>
          <m:r>
            <w:rPr>
              <w:rFonts w:ascii="Cambria Math" w:hAnsi="Cambria Math"/>
            </w:rPr>
            <m:t xml:space="preserve">+</m:t>
          </m:r>
          <m:sSub>
            <m:e>
              <m:r>
                <w:rPr>
                  <w:rFonts w:ascii="Cambria Math" w:hAnsi="Cambria Math"/>
                </w:rPr>
                <m:t xml:space="preserve">Q</m:t>
              </m:r>
            </m:e>
            <m:sub>
              <m:r>
                <m:rPr>
                  <m:lit/>
                  <m:nor/>
                </m:rPr>
                <w:rPr>
                  <w:rFonts w:ascii="Cambria Math" w:hAnsi="Cambria Math"/>
                </w:rPr>
                <m:t xml:space="preserve">ET</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Q</m:t>
              </m:r>
            </m:e>
            <m:sub>
              <m:r>
                <m:rPr>
                  <m:lit/>
                  <m:nor/>
                </m:rPr>
                <w:rPr>
                  <w:rFonts w:ascii="Cambria Math" w:hAnsi="Cambria Math"/>
                </w:rPr>
                <m:t xml:space="preserve">SP</m:t>
              </m:r>
            </m:sub>
          </m:sSub>
          <m:r>
            <w:rPr>
              <w:rFonts w:ascii="Cambria Math" w:hAnsi="Cambria Math"/>
            </w:rPr>
            <m:t xml:space="preserve">)</m:t>
          </m:r>
          <m:r>
            <w:rPr>
              <w:rFonts w:ascii="Cambria Math" w:hAnsi="Cambria Math"/>
            </w:rPr>
            <m:t xml:space="preserve">]</m:t>
          </m:r>
          <m:r>
            <w:rPr>
              <w:rFonts w:ascii="Cambria Math" w:hAnsi="Cambria Math"/>
            </w:rPr>
            <m:t xml:space="preserve">∗</m:t>
          </m:r>
          <m:r>
            <m:rPr>
              <m:lit/>
              <m:nor/>
            </m:rPr>
            <w:rPr>
              <w:rFonts w:ascii="Cambria Math" w:hAnsi="Cambria Math"/>
            </w:rPr>
            <m:t xml:space="preserve">dt</m:t>
          </m:r>
        </m:oMath>
      </m:oMathPara>
    </w:p>
    <w:p>
      <w:pPr>
        <w:pStyle w:val="Normal"/>
        <w:spacing w:lineRule="auto" w:line="240" w:before="0" w:after="0"/>
        <w:jc w:val="left"/>
        <w:rPr>
          <w:color w:themeColor="text1" w:val="000000"/>
        </w:rPr>
      </w:pPr>
      <w:r>
        <w:rPr>
          <w:color w:themeColor="text1" w:val="000000"/>
        </w:rPr>
      </w:r>
    </w:p>
    <w:p>
      <w:pPr>
        <w:pStyle w:val="Normal"/>
        <w:spacing w:lineRule="auto" w:line="240" w:before="0" w:after="0"/>
        <w:jc w:val="left"/>
        <w:rPr>
          <w:color w:themeColor="text1" w:val="000000"/>
        </w:rPr>
      </w:pPr>
      <w:r>
        <w:rPr>
          <w:color w:themeColor="text1" w:val="000000"/>
        </w:rPr>
        <mc:AlternateContent>
          <mc:Choice Requires="wps">
            <w:drawing>
              <wp:anchor behindDoc="0" distT="40640" distB="55880" distL="0" distR="128270" simplePos="0" locked="0" layoutInCell="0" allowOverlap="1" relativeHeight="96" wp14:anchorId="67A310D5">
                <wp:simplePos x="0" y="0"/>
                <wp:positionH relativeFrom="margin">
                  <wp:align>left</wp:align>
                </wp:positionH>
                <wp:positionV relativeFrom="paragraph">
                  <wp:posOffset>188595</wp:posOffset>
                </wp:positionV>
                <wp:extent cx="5943600" cy="3528060"/>
                <wp:effectExtent l="0" t="5080" r="5080" b="5080"/>
                <wp:wrapSquare wrapText="bothSides"/>
                <wp:docPr id="46" name="Text Box 2"/>
                <a:graphic xmlns:a="http://schemas.openxmlformats.org/drawingml/2006/main">
                  <a:graphicData uri="http://schemas.microsoft.com/office/word/2010/wordprocessingShape">
                    <wps:wsp>
                      <wps:cNvSpPr/>
                      <wps:spPr>
                        <a:xfrm>
                          <a:off x="0" y="0"/>
                          <a:ext cx="5943600" cy="35280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3063240" cy="3063240"/>
                                  <wp:effectExtent l="0" t="0" r="0" b="0"/>
                                  <wp:docPr id="48"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7" descr=""/>
                                          <pic:cNvPicPr>
                                            <a:picLocks noChangeAspect="1" noChangeArrowheads="1"/>
                                          </pic:cNvPicPr>
                                        </pic:nvPicPr>
                                        <pic:blipFill>
                                          <a:blip r:embed="rId51"/>
                                          <a:stretch>
                                            <a:fillRect/>
                                          </a:stretch>
                                        </pic:blipFill>
                                        <pic:spPr bwMode="auto">
                                          <a:xfrm>
                                            <a:off x="0" y="0"/>
                                            <a:ext cx="3063240" cy="3063240"/>
                                          </a:xfrm>
                                          <a:prstGeom prst="rect">
                                            <a:avLst/>
                                          </a:prstGeom>
                                        </pic:spPr>
                                      </pic:pic>
                                    </a:graphicData>
                                  </a:graphic>
                                </wp:inline>
                              </w:drawing>
                            </w:r>
                          </w:p>
                          <w:p>
                            <w:pPr>
                              <w:pStyle w:val="Caption"/>
                              <w:widowControl/>
                              <w:bidi w:val="0"/>
                              <w:spacing w:lineRule="auto" w:line="276" w:before="0" w:after="60"/>
                              <w:jc w:val="center"/>
                              <w:rPr/>
                            </w:pPr>
                            <w:bookmarkStart w:id="57" w:name="_Toc181802648"/>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8</w:t>
                            </w:r>
                            <w:r>
                              <w:rPr/>
                              <w:fldChar w:fldCharType="end"/>
                            </w:r>
                            <w:r>
                              <w:rPr/>
                              <w:t>.  Conceptual Hydrologic Model for the Biogeochemical Model of STA-2 FW1.</w:t>
                            </w:r>
                            <w:bookmarkEnd w:id="57"/>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14.85pt;width:467.95pt;height:277.75pt;mso-wrap-style:square;v-text-anchor:top;mso-position-horizontal:left;mso-position-horizontal-relative:margin" wp14:anchorId="67A310D5">
                <v:fill o:detectmouseclick="t" type="solid" color2="black"/>
                <v:stroke color="black" weight="9360" joinstyle="miter" endcap="flat"/>
                <v:textbox>
                  <w:txbxContent>
                    <w:p>
                      <w:pPr>
                        <w:pStyle w:val="FrameContents"/>
                        <w:jc w:val="center"/>
                        <w:rPr/>
                      </w:pPr>
                      <w:r>
                        <w:rPr/>
                        <w:drawing>
                          <wp:inline distT="0" distB="0" distL="0" distR="0">
                            <wp:extent cx="3063240" cy="3063240"/>
                            <wp:effectExtent l="0" t="0" r="0" b="0"/>
                            <wp:docPr id="49"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7" descr=""/>
                                    <pic:cNvPicPr>
                                      <a:picLocks noChangeAspect="1" noChangeArrowheads="1"/>
                                    </pic:cNvPicPr>
                                  </pic:nvPicPr>
                                  <pic:blipFill>
                                    <a:blip r:embed="rId52"/>
                                    <a:stretch>
                                      <a:fillRect/>
                                    </a:stretch>
                                  </pic:blipFill>
                                  <pic:spPr bwMode="auto">
                                    <a:xfrm>
                                      <a:off x="0" y="0"/>
                                      <a:ext cx="3063240" cy="3063240"/>
                                    </a:xfrm>
                                    <a:prstGeom prst="rect">
                                      <a:avLst/>
                                    </a:prstGeom>
                                  </pic:spPr>
                                </pic:pic>
                              </a:graphicData>
                            </a:graphic>
                          </wp:inline>
                        </w:drawing>
                      </w:r>
                    </w:p>
                    <w:p>
                      <w:pPr>
                        <w:pStyle w:val="Caption"/>
                        <w:widowControl/>
                        <w:bidi w:val="0"/>
                        <w:spacing w:lineRule="auto" w:line="276" w:before="0" w:after="60"/>
                        <w:jc w:val="center"/>
                        <w:rPr/>
                      </w:pPr>
                      <w:bookmarkStart w:id="58" w:name="_Toc181802648"/>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8</w:t>
                      </w:r>
                      <w:r>
                        <w:rPr/>
                        <w:fldChar w:fldCharType="end"/>
                      </w:r>
                      <w:r>
                        <w:rPr/>
                        <w:t>.  Conceptual Hydrologic Model for the Biogeochemical Model of STA-2 FW1.</w:t>
                      </w:r>
                      <w:bookmarkEnd w:id="58"/>
                    </w:p>
                  </w:txbxContent>
                </v:textbox>
                <w10:wrap type="square"/>
              </v:rect>
            </w:pict>
          </mc:Fallback>
        </mc:AlternateContent>
      </w:r>
    </w:p>
    <w:p>
      <w:pPr>
        <w:pStyle w:val="Normal"/>
        <w:spacing w:lineRule="auto" w:line="240" w:before="0" w:after="0"/>
        <w:jc w:val="left"/>
        <w:rPr>
          <w:color w:themeColor="text1" w:val="000000"/>
        </w:rPr>
      </w:pPr>
      <w:r>
        <w:rPr>
          <w:color w:themeColor="text1" w:val="000000"/>
        </w:rPr>
      </w:r>
    </w:p>
    <w:p>
      <w:pPr>
        <w:pStyle w:val="Normal"/>
        <w:spacing w:lineRule="auto" w:line="240" w:before="0" w:after="0"/>
        <w:jc w:val="left"/>
        <w:rPr>
          <w:color w:themeColor="text1" w:val="000000"/>
        </w:rPr>
      </w:pPr>
      <w:r>
        <w:rPr>
          <w:color w:themeColor="text1" w:val="000000"/>
        </w:rPr>
      </w:r>
    </w:p>
    <w:p>
      <w:pPr>
        <w:pStyle w:val="Normal"/>
        <w:rPr>
          <w:color w:themeColor="text1" w:val="000000"/>
        </w:rPr>
      </w:pPr>
      <w:r>
        <w:rPr>
          <w:color w:themeColor="text1" w:val="000000"/>
        </w:rPr>
        <w:t>Q</w:t>
      </w:r>
      <w:r>
        <w:rPr>
          <w:color w:themeColor="text1" w:val="000000"/>
          <w:vertAlign w:val="subscript"/>
        </w:rPr>
        <w:t>0</w:t>
      </w:r>
      <w:r>
        <w:rPr>
          <w:color w:themeColor="text1" w:val="000000"/>
        </w:rPr>
        <w:t xml:space="preserve"> was the sum of the daily observed inflows through four water control structures on the north side of STA-2 FW1 (G329A, G329B, G329C, G329D; Zhao and Piccone 2019). Daily estimates of rainfall were developed from NEXRAD as Q</w:t>
      </w:r>
      <w:r>
        <w:rPr>
          <w:color w:themeColor="text1" w:val="000000"/>
          <w:vertAlign w:val="subscript"/>
        </w:rPr>
        <w:t>RAIN</w:t>
      </w:r>
      <w:r>
        <w:rPr>
          <w:color w:themeColor="text1" w:val="000000"/>
        </w:rPr>
        <w:t xml:space="preserve"> (SFWMD 2014) and evaporation Q</w:t>
      </w:r>
      <w:r>
        <w:rPr>
          <w:color w:themeColor="text1" w:val="000000"/>
          <w:vertAlign w:val="subscript"/>
        </w:rPr>
        <w:t>ET</w:t>
      </w:r>
      <w:r>
        <w:rPr>
          <w:color w:themeColor="text1" w:val="000000"/>
        </w:rPr>
        <w:t xml:space="preserve"> from satellite solar radiation estimates (Pathak 2008) for STA-2 FW1. Daily estimates of Q</w:t>
      </w:r>
      <w:r>
        <w:rPr>
          <w:color w:themeColor="text1" w:val="000000"/>
          <w:vertAlign w:val="subscript"/>
        </w:rPr>
        <w:t>SP</w:t>
      </w:r>
      <w:r>
        <w:rPr>
          <w:color w:themeColor="text1" w:val="000000"/>
        </w:rPr>
        <w:t xml:space="preserve"> across the four boundaries of the flow-way were developed using the surrounding stage water levels along with seepage coefficients based on differences in water levels (Zhao and Piccone 2018). These daily seepage estimates were positive into and negative out of the flow-way, respectively. The four boundary values were summed to provide a net daily estimate of seepage to the entire flow-way. Q</w:t>
      </w:r>
      <w:r>
        <w:rPr>
          <w:color w:themeColor="text1" w:val="000000"/>
          <w:vertAlign w:val="subscript"/>
        </w:rPr>
        <w:t>OUT</w:t>
      </w:r>
      <w:r>
        <w:rPr>
          <w:color w:themeColor="text1" w:val="000000"/>
        </w:rPr>
        <w:t xml:space="preserve"> was modeled using the approach of Kadlec and Knight (1996) for managed wetlands (Equation 2). The values for the parameters a</w:t>
      </w:r>
      <w:r>
        <w:rPr>
          <w:color w:themeColor="text1" w:val="000000"/>
          <w:vertAlign w:val="subscript"/>
        </w:rPr>
        <w:t>OUT</w:t>
      </w:r>
      <w:r>
        <w:rPr>
          <w:color w:themeColor="text1" w:val="000000"/>
        </w:rPr>
        <w:t xml:space="preserve"> and b</w:t>
      </w:r>
      <w:r>
        <w:rPr>
          <w:color w:themeColor="text1" w:val="000000"/>
          <w:vertAlign w:val="subscript"/>
        </w:rPr>
        <w:t>OUT</w:t>
      </w:r>
      <w:r>
        <w:rPr>
          <w:color w:themeColor="text1" w:val="000000"/>
        </w:rPr>
        <w:t xml:space="preserve"> were adjusted through a series of calibrations as the Hydrologic Model was developed iteratively by the SFWMD and Consultant. The Nash Sutcliffe index (NSE) was used to evaluate the performance of the calibration runs (Gupta et al. 2009). NSE values approaching or equal to 1.0 are the most desirable.</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spacing w:lineRule="auto" w:line="240" w:before="0" w:after="0"/>
        <w:jc w:val="left"/>
        <w:rPr>
          <w:color w:themeColor="text1" w:val="000000"/>
        </w:rPr>
      </w:pPr>
      <w:r>
        <w:rPr>
          <w:color w:themeColor="text1" w:val="000000"/>
        </w:rPr>
      </w:r>
      <w:r>
        <w:br w:type="page"/>
      </w:r>
    </w:p>
    <w:p>
      <w:pPr>
        <w:pStyle w:val="Normal"/>
        <w:spacing w:before="0" w:after="120"/>
        <w:jc w:val="center"/>
        <w:rPr>
          <w:color w:themeColor="text1" w:val="000000"/>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2</m:t>
          </m:r>
          <m:r>
            <w:rPr>
              <w:rFonts w:ascii="Cambria Math" w:hAnsi="Cambria Math"/>
            </w:rPr>
            <m:t xml:space="preserve">)</m:t>
          </m:r>
          <m:sSub>
            <m:e>
              <m:r>
                <w:rPr>
                  <w:rFonts w:ascii="Cambria Math" w:hAnsi="Cambria Math"/>
                </w:rPr>
                <m:t xml:space="preserve">Q</m:t>
              </m:r>
            </m:e>
            <m:sub>
              <m:r>
                <m:rPr>
                  <m:lit/>
                  <m:nor/>
                </m:rPr>
                <w:rPr>
                  <w:rFonts w:ascii="Cambria Math" w:hAnsi="Cambria Math"/>
                </w:rPr>
                <m:t xml:space="preserve">OUT</m:t>
              </m:r>
            </m:sub>
          </m:sSub>
          <m:r>
            <w:rPr>
              <w:rFonts w:ascii="Cambria Math" w:hAnsi="Cambria Math"/>
            </w:rPr>
            <m:t xml:space="preserve">=</m:t>
          </m:r>
          <m:sSub>
            <m:e>
              <m:r>
                <w:rPr>
                  <w:rFonts w:ascii="Cambria Math" w:hAnsi="Cambria Math"/>
                </w:rPr>
                <m:t xml:space="preserve">a</m:t>
              </m:r>
            </m:e>
            <m:sub>
              <m:r>
                <m:rPr>
                  <m:lit/>
                  <m:nor/>
                </m:rPr>
                <w:rPr>
                  <w:rFonts w:ascii="Cambria Math" w:hAnsi="Cambria Math"/>
                </w:rPr>
                <m:t xml:space="preserve">OUT</m:t>
              </m:r>
            </m:sub>
          </m:sSub>
          <m:r>
            <w:rPr>
              <w:rFonts w:ascii="Cambria Math" w:hAnsi="Cambria Math"/>
            </w:rPr>
            <m:t xml:space="preserve">∗</m:t>
          </m:r>
          <m:sSub>
            <m:e>
              <m:r>
                <w:rPr>
                  <w:rFonts w:ascii="Cambria Math" w:hAnsi="Cambria Math"/>
                </w:rPr>
                <m:t xml:space="preserve">W</m:t>
              </m:r>
            </m:e>
            <m:sub>
              <m:r>
                <m:rPr>
                  <m:lit/>
                  <m:nor/>
                </m:rPr>
                <w:rPr>
                  <w:rFonts w:ascii="Cambria Math" w:hAnsi="Cambria Math"/>
                </w:rPr>
                <m:t xml:space="preserve">FW</m:t>
              </m:r>
              <m:r>
                <w:rPr>
                  <w:rFonts w:ascii="Cambria Math" w:hAnsi="Cambria Math"/>
                </w:rPr>
                <m:t xml:space="preserve">1</m:t>
              </m:r>
            </m:sub>
          </m:sSub>
          <m:r>
            <w:rPr>
              <w:rFonts w:ascii="Cambria Math" w:hAnsi="Cambria Math"/>
            </w:rPr>
            <m:t xml:space="preserve">∗</m:t>
          </m:r>
          <m:r>
            <w:rPr>
              <w:rFonts w:ascii="Cambria Math" w:hAnsi="Cambria Math"/>
            </w:rPr>
            <m:t xml:space="preserve">(</m:t>
          </m:r>
          <m:sSub>
            <m:e>
              <m:r>
                <w:rPr>
                  <w:rFonts w:ascii="Cambria Math" w:hAnsi="Cambria Math"/>
                </w:rPr>
                <m:t xml:space="preserve">h</m:t>
              </m:r>
            </m:e>
            <m:sub>
              <m:r>
                <m:rPr>
                  <m:lit/>
                  <m:nor/>
                </m:rPr>
                <w:rPr>
                  <w:rFonts w:ascii="Cambria Math" w:hAnsi="Cambria Math"/>
                </w:rPr>
                <m:t xml:space="preserve">mod</m:t>
              </m:r>
            </m:sub>
          </m:sSub>
          <m:r>
            <w:rPr>
              <w:rFonts w:ascii="Cambria Math" w:hAnsi="Cambria Math"/>
            </w:rPr>
            <m:t xml:space="preserve">−</m:t>
          </m:r>
          <m:sSub>
            <m:e>
              <m:r>
                <w:rPr>
                  <w:rFonts w:ascii="Cambria Math" w:hAnsi="Cambria Math"/>
                </w:rPr>
                <m:t xml:space="preserve">h</m:t>
              </m:r>
            </m:e>
            <m:sub>
              <m:r>
                <m:rPr>
                  <m:lit/>
                  <m:nor/>
                </m:rPr>
                <w:rPr>
                  <w:rFonts w:ascii="Cambria Math" w:hAnsi="Cambria Math"/>
                </w:rPr>
                <m:t xml:space="preserve">gate</m:t>
              </m:r>
            </m:sub>
          </m:sSub>
          <m:sSup>
            <m:e>
              <m:r>
                <w:rPr>
                  <w:rFonts w:ascii="Cambria Math" w:hAnsi="Cambria Math"/>
                </w:rPr>
                <m:t xml:space="preserve">)</m:t>
              </m:r>
            </m:e>
            <m:sup>
              <m:sSub>
                <m:e>
                  <m:r>
                    <w:rPr>
                      <w:rFonts w:ascii="Cambria Math" w:hAnsi="Cambria Math"/>
                    </w:rPr>
                    <m:t xml:space="preserve">b</m:t>
                  </m:r>
                </m:e>
                <m:sub>
                  <m:r>
                    <m:rPr>
                      <m:lit/>
                      <m:nor/>
                    </m:rPr>
                    <w:rPr>
                      <w:rFonts w:ascii="Cambria Math" w:hAnsi="Cambria Math"/>
                    </w:rPr>
                    <m:t xml:space="preserve">OUT</m:t>
                  </m:r>
                </m:sub>
              </m:sSub>
            </m:sup>
          </m:sSup>
        </m:oMath>
      </m:oMathPara>
    </w:p>
    <w:p>
      <w:pPr>
        <w:pStyle w:val="Normal"/>
        <w:rPr>
          <w:color w:themeColor="text1" w:val="000000"/>
        </w:rPr>
      </w:pPr>
      <w:r>
        <w:rPr>
          <w:color w:themeColor="text1" w:val="000000"/>
        </w:rPr>
        <w:t>Where:</w:t>
      </w:r>
    </w:p>
    <w:p>
      <w:pPr>
        <w:pStyle w:val="Normal"/>
        <w:spacing w:lineRule="auto" w:line="240"/>
        <w:ind w:firstLine="2794"/>
        <w:jc w:val="left"/>
        <w:rPr>
          <w:i/>
          <w:i/>
          <w:iCs/>
          <w:color w:themeColor="text1" w:val="000000"/>
        </w:rPr>
      </w:pPr>
      <w:r>
        <w:rPr>
          <w:i/>
          <w:iCs/>
          <w:color w:themeColor="text1" w:val="000000"/>
        </w:rPr>
        <w:t>a</w:t>
      </w:r>
      <w:r>
        <w:rPr>
          <w:i/>
          <w:iCs/>
          <w:color w:themeColor="text1" w:val="000000"/>
          <w:vertAlign w:val="subscript"/>
        </w:rPr>
        <w:t>OUT</w:t>
      </w:r>
      <w:r>
        <w:rPr>
          <w:i/>
          <w:iCs/>
          <w:color w:themeColor="text1" w:val="000000"/>
        </w:rPr>
        <w:t xml:space="preserve"> = 3000</w:t>
      </w:r>
    </w:p>
    <w:p>
      <w:pPr>
        <w:pStyle w:val="Normal"/>
        <w:spacing w:lineRule="auto" w:line="240"/>
        <w:ind w:firstLine="2794"/>
        <w:jc w:val="left"/>
        <w:rPr>
          <w:i/>
          <w:i/>
          <w:iCs/>
          <w:color w:themeColor="text1" w:val="000000"/>
        </w:rPr>
      </w:pPr>
      <w:r>
        <w:rPr>
          <w:i/>
          <w:iCs/>
          <w:color w:themeColor="text1" w:val="000000"/>
        </w:rPr>
        <w:t>b</w:t>
      </w:r>
      <w:r>
        <w:rPr>
          <w:i/>
          <w:iCs/>
          <w:color w:themeColor="text1" w:val="000000"/>
          <w:vertAlign w:val="subscript"/>
        </w:rPr>
        <w:t>OUT</w:t>
      </w:r>
      <w:r>
        <w:rPr>
          <w:i/>
          <w:iCs/>
          <w:color w:themeColor="text1" w:val="000000"/>
        </w:rPr>
        <w:t xml:space="preserve"> = 3.0</w:t>
      </w:r>
    </w:p>
    <w:p>
      <w:pPr>
        <w:pStyle w:val="Normal"/>
        <w:spacing w:lineRule="auto" w:line="240"/>
        <w:ind w:firstLine="2794"/>
        <w:jc w:val="left"/>
        <w:rPr>
          <w:i/>
          <w:i/>
          <w:iCs/>
          <w:color w:themeColor="text1" w:val="000000"/>
        </w:rPr>
      </w:pPr>
      <w:r>
        <w:rPr>
          <w:i/>
          <w:iCs/>
          <w:color w:themeColor="text1" w:val="000000"/>
        </w:rPr>
        <w:t>W</w:t>
      </w:r>
      <w:r>
        <w:rPr>
          <w:i/>
          <w:iCs/>
          <w:color w:themeColor="text1" w:val="000000"/>
          <w:vertAlign w:val="subscript"/>
        </w:rPr>
        <w:t>FW1</w:t>
      </w:r>
      <w:r>
        <w:rPr>
          <w:i/>
          <w:iCs/>
          <w:color w:themeColor="text1" w:val="000000"/>
        </w:rPr>
        <w:t xml:space="preserve"> = width of flow-way (1721 m)</w:t>
      </w:r>
    </w:p>
    <w:p>
      <w:pPr>
        <w:pStyle w:val="Normal"/>
        <w:spacing w:lineRule="auto" w:line="240"/>
        <w:ind w:firstLine="2794"/>
        <w:jc w:val="left"/>
        <w:rPr>
          <w:i/>
          <w:i/>
          <w:iCs/>
          <w:color w:themeColor="text1" w:val="000000"/>
        </w:rPr>
      </w:pPr>
      <w:r>
        <w:rPr>
          <w:i/>
          <w:iCs/>
          <w:color w:themeColor="text1" w:val="000000"/>
        </w:rPr>
        <w:t>h</w:t>
      </w:r>
      <w:r>
        <w:rPr>
          <w:i/>
          <w:iCs/>
          <w:color w:themeColor="text1" w:val="000000"/>
          <w:vertAlign w:val="subscript"/>
        </w:rPr>
        <w:t>MOD</w:t>
      </w:r>
      <w:r>
        <w:rPr>
          <w:i/>
          <w:iCs/>
          <w:color w:themeColor="text1" w:val="000000"/>
        </w:rPr>
        <w:t xml:space="preserve"> = modeled depth of flow-way</w:t>
      </w:r>
    </w:p>
    <w:p>
      <w:pPr>
        <w:pStyle w:val="Normal"/>
        <w:spacing w:lineRule="auto" w:line="240"/>
        <w:ind w:firstLine="2794"/>
        <w:jc w:val="left"/>
        <w:rPr>
          <w:i/>
          <w:i/>
          <w:iCs/>
          <w:color w:themeColor="text1" w:val="000000"/>
        </w:rPr>
      </w:pPr>
      <w:r>
        <w:rPr>
          <w:i/>
          <w:iCs/>
          <w:color w:themeColor="text1" w:val="000000"/>
        </w:rPr>
        <w:t>h</w:t>
      </w:r>
      <w:r>
        <w:rPr>
          <w:i/>
          <w:iCs/>
          <w:color w:themeColor="text1" w:val="000000"/>
          <w:vertAlign w:val="subscript"/>
        </w:rPr>
        <w:t>MIN</w:t>
      </w:r>
      <w:r>
        <w:rPr>
          <w:i/>
          <w:iCs/>
          <w:color w:themeColor="text1" w:val="000000"/>
        </w:rPr>
        <w:t xml:space="preserve"> = minimum depth for flow-way (0.1 m)</w:t>
      </w:r>
    </w:p>
    <w:p>
      <w:pPr>
        <w:pStyle w:val="Normal"/>
        <w:rPr>
          <w:color w:themeColor="text1" w:val="000000"/>
        </w:rPr>
      </w:pPr>
      <w:r>
        <w:rPr>
          <w:color w:themeColor="text1" w:val="000000"/>
        </w:rPr>
      </w:r>
    </w:p>
    <w:p>
      <w:pPr>
        <w:pStyle w:val="Normal"/>
        <w:rPr>
          <w:color w:themeColor="text1" w:val="000000"/>
        </w:rPr>
      </w:pPr>
      <w:r>
        <w:rPr>
          <w:color w:themeColor="text1" w:val="000000"/>
        </w:rPr>
        <w:t>The STA-2 FW1 depth and volume time series which were applied in Phase II served as the references for the Hydrologic Model output. Additionally, the daily observations of Q</w:t>
      </w:r>
      <w:r>
        <w:rPr>
          <w:color w:themeColor="text1" w:val="000000"/>
          <w:vertAlign w:val="subscript"/>
        </w:rPr>
        <w:t>OUT</w:t>
      </w:r>
      <w:r>
        <w:rPr>
          <w:color w:themeColor="text1" w:val="000000"/>
        </w:rPr>
        <w:t xml:space="preserve"> at G335 were compared to the predicted outflow from the Hydrologic Model (Figure 2-2A). The time period was divided into two equal 2922-day sub-sets for Calibration (1/1/2005 to 12/31/2012) and Validation (1/1/2013 to 12/31/2020). First, the reference and model time series for Q</w:t>
      </w:r>
      <w:r>
        <w:rPr>
          <w:color w:themeColor="text1" w:val="000000"/>
          <w:vertAlign w:val="subscript"/>
        </w:rPr>
        <w:t>0</w:t>
      </w:r>
      <w:r>
        <w:rPr>
          <w:color w:themeColor="text1" w:val="000000"/>
        </w:rPr>
        <w:t>, Q</w:t>
      </w:r>
      <w:r>
        <w:rPr>
          <w:color w:themeColor="text1" w:val="000000"/>
          <w:vertAlign w:val="subscript"/>
        </w:rPr>
        <w:t>OUT</w:t>
      </w:r>
      <w:r>
        <w:rPr>
          <w:color w:themeColor="text1" w:val="000000"/>
        </w:rPr>
        <w:t>, V</w:t>
      </w:r>
      <w:r>
        <w:rPr>
          <w:color w:themeColor="text1" w:val="000000"/>
          <w:vertAlign w:val="subscript"/>
        </w:rPr>
        <w:t>MOD</w:t>
      </w:r>
      <w:r>
        <w:rPr>
          <w:color w:themeColor="text1" w:val="000000"/>
        </w:rPr>
        <w:t>, and h</w:t>
      </w:r>
      <w:r>
        <w:rPr>
          <w:color w:themeColor="text1" w:val="000000"/>
          <w:vertAlign w:val="subscript"/>
        </w:rPr>
        <w:t>MOD</w:t>
      </w:r>
      <w:r>
        <w:rPr>
          <w:color w:themeColor="text1" w:val="000000"/>
        </w:rPr>
        <w:t xml:space="preserve"> were assessed graphically. Although the Hydrologic Model Q</w:t>
      </w:r>
      <w:r>
        <w:rPr>
          <w:color w:themeColor="text1" w:val="000000"/>
          <w:vertAlign w:val="subscript"/>
        </w:rPr>
        <w:t>0</w:t>
      </w:r>
      <w:r>
        <w:rPr>
          <w:color w:themeColor="text1" w:val="000000"/>
        </w:rPr>
        <w:t xml:space="preserve"> was the same as the reference time series, it was included in the series of overlays as a check of model reliability. Descriptive statistics (minimum, maximum, average, standard deviation) were generated for both the data reference and model output for Q</w:t>
      </w:r>
      <w:r>
        <w:rPr>
          <w:color w:themeColor="text1" w:val="000000"/>
          <w:vertAlign w:val="subscript"/>
        </w:rPr>
        <w:t>OUT</w:t>
      </w:r>
      <w:r>
        <w:rPr>
          <w:color w:themeColor="text1" w:val="000000"/>
        </w:rPr>
        <w:t>, V</w:t>
      </w:r>
      <w:r>
        <w:rPr>
          <w:color w:themeColor="text1" w:val="000000"/>
          <w:vertAlign w:val="subscript"/>
        </w:rPr>
        <w:t>MOD</w:t>
      </w:r>
      <w:r>
        <w:rPr>
          <w:color w:themeColor="text1" w:val="000000"/>
        </w:rPr>
        <w:t>, and h</w:t>
      </w:r>
      <w:r>
        <w:rPr>
          <w:color w:themeColor="text1" w:val="000000"/>
          <w:vertAlign w:val="subscript"/>
        </w:rPr>
        <w:t>MOD</w:t>
      </w:r>
      <w:r>
        <w:rPr>
          <w:color w:themeColor="text1" w:val="000000"/>
        </w:rPr>
        <w:t xml:space="preserve"> in the Calibration and Validation time periods. Average monthly Q</w:t>
      </w:r>
      <w:r>
        <w:rPr>
          <w:color w:themeColor="text1" w:val="000000"/>
          <w:vertAlign w:val="subscript"/>
        </w:rPr>
        <w:t>OUT</w:t>
      </w:r>
      <w:r>
        <w:rPr>
          <w:color w:themeColor="text1" w:val="000000"/>
        </w:rPr>
        <w:t>, V</w:t>
      </w:r>
      <w:r>
        <w:rPr>
          <w:color w:themeColor="text1" w:val="000000"/>
          <w:vertAlign w:val="subscript"/>
        </w:rPr>
        <w:t>MOD</w:t>
      </w:r>
      <w:r>
        <w:rPr>
          <w:color w:themeColor="text1" w:val="000000"/>
        </w:rPr>
        <w:t>, and h</w:t>
      </w:r>
      <w:r>
        <w:rPr>
          <w:color w:themeColor="text1" w:val="000000"/>
          <w:vertAlign w:val="subscript"/>
        </w:rPr>
        <w:t>MOD</w:t>
      </w:r>
      <w:r>
        <w:rPr>
          <w:color w:themeColor="text1" w:val="000000"/>
        </w:rPr>
        <w:t xml:space="preserve"> were compared to the average monthly reference values for the Calibration and Validation sub-sets using least squares regression. </w:t>
      </w:r>
    </w:p>
    <w:p>
      <w:pPr>
        <w:pStyle w:val="Normal"/>
        <w:rPr>
          <w:color w:themeColor="text1" w:val="000000"/>
        </w:rPr>
      </w:pPr>
      <w:r>
        <w:rPr>
          <w:color w:themeColor="text1" w:val="000000"/>
        </w:rPr>
        <w:t>The reference volume time series for STA-2 FW1 for the entire model period (1/1/2005 to 12/31/2020) was derived by multiplying the average daily depth (h</w:t>
      </w:r>
      <w:r>
        <w:rPr>
          <w:color w:themeColor="text1" w:val="000000"/>
          <w:vertAlign w:val="subscript"/>
        </w:rPr>
        <w:t>FW1</w:t>
      </w:r>
      <w:r>
        <w:rPr>
          <w:color w:themeColor="text1" w:val="000000"/>
        </w:rPr>
        <w:t>; m) by the flow-way area (7,446,215 m</w:t>
      </w:r>
      <w:r>
        <w:rPr>
          <w:color w:themeColor="text1" w:val="000000"/>
          <w:vertAlign w:val="superscript"/>
        </w:rPr>
        <w:t>2</w:t>
      </w:r>
      <w:r>
        <w:rPr>
          <w:color w:themeColor="text1" w:val="000000"/>
        </w:rPr>
        <w:t>; Figure 2-3). A t-test was attempted as a pairwise comparison of the 96 average monthly volumes between the CAL and VAL sub-sets. However, the comparison failed the Shapiro Wilks test for non-normality so a non-parametric Mann Whitney Rank Sum test was applied. There was a significant difference between median values that could not be explained by random variation. The flow-way volume time series for the CAL sub-set was more variable, less normally distributed, and had a lower mean volume than the VAL sub-set (0.0026 vs 0.0035 km</w:t>
      </w:r>
      <w:r>
        <w:rPr>
          <w:color w:themeColor="text1" w:val="000000"/>
          <w:vertAlign w:val="superscript"/>
        </w:rPr>
        <w:t>3</w:t>
      </w:r>
      <w:r>
        <w:rPr>
          <w:color w:themeColor="text1" w:val="000000"/>
        </w:rPr>
        <w:t>; Table 2-8). This is an important result when interpreting potential differences between model results over the entire simulation time.</w:t>
      </w:r>
    </w:p>
    <w:p>
      <w:pPr>
        <w:pStyle w:val="Normal"/>
        <w:rPr>
          <w:color w:themeColor="text1" w:val="000000"/>
        </w:rPr>
      </w:pPr>
      <w:r>
        <w:rPr>
          <w:color w:themeColor="text1" w:val="000000"/>
        </w:rPr>
        <w:t>The values of a</w:t>
      </w:r>
      <w:r>
        <w:rPr>
          <w:color w:themeColor="text1" w:val="000000"/>
          <w:vertAlign w:val="subscript"/>
        </w:rPr>
        <w:t>OUT</w:t>
      </w:r>
      <w:r>
        <w:rPr>
          <w:color w:themeColor="text1" w:val="000000"/>
        </w:rPr>
        <w:t xml:space="preserve"> (m d</w:t>
      </w:r>
      <w:r>
        <w:rPr>
          <w:color w:themeColor="text1" w:val="000000"/>
          <w:vertAlign w:val="superscript"/>
        </w:rPr>
        <w:t>-1</w:t>
      </w:r>
      <w:r>
        <w:rPr>
          <w:color w:themeColor="text1" w:val="000000"/>
        </w:rPr>
        <w:t>) and b</w:t>
      </w:r>
      <w:r>
        <w:rPr>
          <w:color w:themeColor="text1" w:val="000000"/>
          <w:vertAlign w:val="subscript"/>
        </w:rPr>
        <w:t>OUT</w:t>
      </w:r>
      <w:r>
        <w:rPr>
          <w:color w:themeColor="text1" w:val="000000"/>
        </w:rPr>
        <w:t xml:space="preserve"> which resulted in the best approximation for the average volume of STA-2 FW1 were 3000 and 3.5 (Figure 2-7). The increase in the NSE value to 0.84 marked a huge improvement from previous efforts to calibrate the Hydrologic Model. These values were used in subsequent simulations for hydrologic and biogeochemical model evaluations and results. </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Caption"/>
        <w:spacing w:lineRule="auto" w:line="240"/>
        <w:rPr>
          <w:color w:themeColor="text1" w:val="000000"/>
        </w:rPr>
      </w:pPr>
      <w:bookmarkStart w:id="59" w:name="_Toc182250918"/>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9</w:t>
      </w:r>
      <w:r>
        <w:rPr>
          <w:color w:themeColor="text1" w:val="000000"/>
        </w:rPr>
        <w:fldChar w:fldCharType="end"/>
      </w:r>
      <w:r>
        <w:rPr>
          <w:color w:themeColor="text1" w:val="000000"/>
        </w:rPr>
        <w:t>. Descriptive statistics for average monthly target volumes of STA-2 FW1 (VFW1; km</w:t>
      </w:r>
      <w:r>
        <w:rPr>
          <w:color w:themeColor="text1" w:val="000000"/>
          <w:vertAlign w:val="superscript"/>
        </w:rPr>
        <w:t>3</w:t>
      </w:r>
      <w:r>
        <w:rPr>
          <w:color w:themeColor="text1" w:val="000000"/>
        </w:rPr>
        <w:t>) for the calibration (CAL; 1/1/2005 to 12/31/2012) and validation (VAL; 1/1/2013 to 12/31/2020) periods.</w:t>
      </w:r>
      <w:bookmarkEnd w:id="59"/>
    </w:p>
    <w:p>
      <w:pPr>
        <w:pStyle w:val="Normal"/>
        <w:rPr>
          <w:color w:themeColor="text1" w:val="000000"/>
        </w:rPr>
      </w:pPr>
      <w:r>
        <w:rPr/>
        <w:drawing>
          <wp:inline distT="0" distB="0" distL="0" distR="0">
            <wp:extent cx="5943600" cy="919480"/>
            <wp:effectExtent l="0" t="0" r="0" b="0"/>
            <wp:docPr id="4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descr=""/>
                    <pic:cNvPicPr>
                      <a:picLocks noChangeAspect="1" noChangeArrowheads="1"/>
                    </pic:cNvPicPr>
                  </pic:nvPicPr>
                  <pic:blipFill>
                    <a:blip r:embed="rId53"/>
                    <a:stretch>
                      <a:fillRect/>
                    </a:stretch>
                  </pic:blipFill>
                  <pic:spPr bwMode="auto">
                    <a:xfrm>
                      <a:off x="0" y="0"/>
                      <a:ext cx="5943600" cy="919480"/>
                    </a:xfrm>
                    <a:prstGeom prst="rect">
                      <a:avLst/>
                    </a:prstGeom>
                  </pic:spPr>
                </pic:pic>
              </a:graphicData>
            </a:graphic>
          </wp:inline>
        </w:drawing>
      </w:r>
    </w:p>
    <w:p>
      <w:pPr>
        <w:pStyle w:val="Normal"/>
        <w:rPr>
          <w:color w:themeColor="text1" w:val="000000"/>
        </w:rPr>
      </w:pPr>
      <w:r>
        <w:rPr>
          <w:color w:themeColor="text1" w:val="000000"/>
        </w:rPr>
        <mc:AlternateContent>
          <mc:Choice Requires="wps">
            <w:drawing>
              <wp:anchor behindDoc="0" distT="45085" distB="56515" distL="114300" distR="123190" simplePos="0" locked="0" layoutInCell="0" allowOverlap="1" relativeHeight="53" wp14:anchorId="52FE2D9F">
                <wp:simplePos x="0" y="0"/>
                <wp:positionH relativeFrom="margin">
                  <wp:posOffset>0</wp:posOffset>
                </wp:positionH>
                <wp:positionV relativeFrom="paragraph">
                  <wp:posOffset>272415</wp:posOffset>
                </wp:positionV>
                <wp:extent cx="5943600" cy="4685030"/>
                <wp:effectExtent l="5080" t="5080" r="5080" b="5080"/>
                <wp:wrapSquare wrapText="bothSides"/>
                <wp:docPr id="48" name="Text Box 2"/>
                <a:graphic xmlns:a="http://schemas.openxmlformats.org/drawingml/2006/main">
                  <a:graphicData uri="http://schemas.microsoft.com/office/word/2010/wordprocessingShape">
                    <wps:wsp>
                      <wps:cNvSpPr/>
                      <wps:spPr>
                        <a:xfrm>
                          <a:off x="0" y="0"/>
                          <a:ext cx="5943600" cy="4685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4994275" cy="3657600"/>
                                  <wp:effectExtent l="0" t="0" r="0" b="0"/>
                                  <wp:docPr id="50"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7" descr=""/>
                                          <pic:cNvPicPr>
                                            <a:picLocks noChangeAspect="1" noChangeArrowheads="1"/>
                                          </pic:cNvPicPr>
                                        </pic:nvPicPr>
                                        <pic:blipFill>
                                          <a:blip r:embed="rId54"/>
                                          <a:stretch>
                                            <a:fillRect/>
                                          </a:stretch>
                                        </pic:blipFill>
                                        <pic:spPr bwMode="auto">
                                          <a:xfrm>
                                            <a:off x="0" y="0"/>
                                            <a:ext cx="4994275" cy="3657600"/>
                                          </a:xfrm>
                                          <a:prstGeom prst="rect">
                                            <a:avLst/>
                                          </a:prstGeom>
                                        </pic:spPr>
                                      </pic:pic>
                                    </a:graphicData>
                                  </a:graphic>
                                </wp:inline>
                              </w:drawing>
                            </w:r>
                          </w:p>
                          <w:p>
                            <w:pPr>
                              <w:pStyle w:val="Caption"/>
                              <w:rPr/>
                            </w:pPr>
                            <w:bookmarkStart w:id="60" w:name="_Toc181802649"/>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9</w:t>
                            </w:r>
                            <w:r>
                              <w:rPr/>
                              <w:fldChar w:fldCharType="end"/>
                            </w:r>
                            <w:r>
                              <w:rPr/>
                              <w:t>.  Results of calibration of Hydrologic Model of STA2 FW1 by varying the outflow parameter a</w:t>
                            </w:r>
                            <w:r>
                              <w:rPr>
                                <w:vertAlign w:val="subscript"/>
                              </w:rPr>
                              <w:t>OUT</w:t>
                            </w:r>
                            <w:r>
                              <w:rPr/>
                              <w:t xml:space="preserve"> from 2000-3500.  The red line marks the average flow-way volume from the reference time series (km</w:t>
                            </w:r>
                            <w:r>
                              <w:rPr>
                                <w:vertAlign w:val="superscript"/>
                              </w:rPr>
                              <w:t>3</w:t>
                            </w:r>
                            <w:r>
                              <w:rPr/>
                              <w:t>).    The optimal value was 3000 m3 d-1. The Nash-Sutcliffe comparative index values are provided (NSE).  See text for details.</w:t>
                            </w:r>
                            <w:bookmarkEnd w:id="60"/>
                            <w:r>
                              <w:rPr/>
                              <w:t xml:space="preserve">  </w:t>
                            </w:r>
                          </w:p>
                          <w:p>
                            <w:pPr>
                              <w:pStyle w:val="Caption"/>
                              <w:widowControl/>
                              <w:bidi w:val="0"/>
                              <w:spacing w:lineRule="auto" w:line="276" w:before="0" w:after="60"/>
                              <w:jc w:val="center"/>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21.45pt;width:467.95pt;height:368.85pt;mso-wrap-style:square;v-text-anchor:top;mso-position-horizontal-relative:margin" wp14:anchorId="52FE2D9F">
                <v:fill o:detectmouseclick="t" type="solid" color2="black"/>
                <v:stroke color="black" weight="9360" joinstyle="miter" endcap="flat"/>
                <v:textbox>
                  <w:txbxContent>
                    <w:p>
                      <w:pPr>
                        <w:pStyle w:val="FrameContents"/>
                        <w:jc w:val="center"/>
                        <w:rPr/>
                      </w:pPr>
                      <w:r>
                        <w:rPr/>
                        <w:drawing>
                          <wp:inline distT="0" distB="0" distL="0" distR="0">
                            <wp:extent cx="4994275" cy="3657600"/>
                            <wp:effectExtent l="0" t="0" r="0" b="0"/>
                            <wp:docPr id="51"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7" descr=""/>
                                    <pic:cNvPicPr>
                                      <a:picLocks noChangeAspect="1" noChangeArrowheads="1"/>
                                    </pic:cNvPicPr>
                                  </pic:nvPicPr>
                                  <pic:blipFill>
                                    <a:blip r:embed="rId55"/>
                                    <a:stretch>
                                      <a:fillRect/>
                                    </a:stretch>
                                  </pic:blipFill>
                                  <pic:spPr bwMode="auto">
                                    <a:xfrm>
                                      <a:off x="0" y="0"/>
                                      <a:ext cx="4994275" cy="3657600"/>
                                    </a:xfrm>
                                    <a:prstGeom prst="rect">
                                      <a:avLst/>
                                    </a:prstGeom>
                                  </pic:spPr>
                                </pic:pic>
                              </a:graphicData>
                            </a:graphic>
                          </wp:inline>
                        </w:drawing>
                      </w:r>
                    </w:p>
                    <w:p>
                      <w:pPr>
                        <w:pStyle w:val="Caption"/>
                        <w:rPr/>
                      </w:pPr>
                      <w:bookmarkStart w:id="61" w:name="_Toc181802649"/>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9</w:t>
                      </w:r>
                      <w:r>
                        <w:rPr/>
                        <w:fldChar w:fldCharType="end"/>
                      </w:r>
                      <w:r>
                        <w:rPr/>
                        <w:t>.  Results of calibration of Hydrologic Model of STA2 FW1 by varying the outflow parameter a</w:t>
                      </w:r>
                      <w:r>
                        <w:rPr>
                          <w:vertAlign w:val="subscript"/>
                        </w:rPr>
                        <w:t>OUT</w:t>
                      </w:r>
                      <w:r>
                        <w:rPr/>
                        <w:t xml:space="preserve"> from 2000-3500.  The red line marks the average flow-way volume from the reference time series (km</w:t>
                      </w:r>
                      <w:r>
                        <w:rPr>
                          <w:vertAlign w:val="superscript"/>
                        </w:rPr>
                        <w:t>3</w:t>
                      </w:r>
                      <w:r>
                        <w:rPr/>
                        <w:t>).    The optimal value was 3000 m3 d-1. The Nash-Sutcliffe comparative index values are provided (NSE).  See text for details.</w:t>
                      </w:r>
                      <w:bookmarkEnd w:id="61"/>
                      <w:r>
                        <w:rPr/>
                        <w:t xml:space="preserve">  </w:t>
                      </w:r>
                    </w:p>
                    <w:p>
                      <w:pPr>
                        <w:pStyle w:val="Caption"/>
                        <w:widowControl/>
                        <w:bidi w:val="0"/>
                        <w:spacing w:lineRule="auto" w:line="276" w:before="0" w:after="60"/>
                        <w:jc w:val="center"/>
                        <w:rPr/>
                      </w:pPr>
                      <w:r>
                        <w:rPr/>
                      </w:r>
                    </w:p>
                  </w:txbxContent>
                </v:textbox>
                <w10:wrap type="square"/>
              </v:rect>
            </w:pict>
          </mc:Fallback>
        </mc:AlternateContent>
      </w:r>
    </w:p>
    <w:p>
      <w:pPr>
        <w:pStyle w:val="Normal"/>
        <w:rPr>
          <w:color w:themeColor="text1" w:val="000000"/>
        </w:rPr>
      </w:pPr>
      <w:r>
        <w:rPr>
          <w:color w:themeColor="text1" w:val="000000"/>
        </w:rPr>
      </w:r>
    </w:p>
    <w:p>
      <w:pPr>
        <w:pStyle w:val="Normal"/>
        <w:spacing w:lineRule="auto" w:line="240" w:before="0" w:after="0"/>
        <w:jc w:val="left"/>
        <w:rPr>
          <w:color w:themeColor="text1" w:val="000000"/>
        </w:rPr>
      </w:pPr>
      <w:r>
        <w:rPr>
          <w:color w:themeColor="text1" w:val="000000"/>
        </w:rPr>
      </w:r>
      <w:r>
        <w:br w:type="page"/>
      </w:r>
    </w:p>
    <w:p>
      <w:pPr>
        <w:pStyle w:val="Normal"/>
        <w:spacing w:before="0" w:after="120"/>
        <w:rPr>
          <w:color w:themeColor="text1" w:val="000000"/>
        </w:rPr>
      </w:pPr>
      <w:r>
        <w:rPr>
          <w:color w:themeColor="text1" w:val="000000"/>
        </w:rPr>
        <w:t>The reference and the model inflow time series were identical to each other in both the Calibration and Validation time periods (Figure 2-8A and 2-9A). The daily and seasonal variations in the observed and model Q</w:t>
      </w:r>
      <w:r>
        <w:rPr>
          <w:color w:themeColor="text1" w:val="000000"/>
          <w:vertAlign w:val="subscript"/>
        </w:rPr>
        <w:t>OUT</w:t>
      </w:r>
      <w:r>
        <w:rPr>
          <w:color w:themeColor="text1" w:val="000000"/>
        </w:rPr>
        <w:t xml:space="preserve"> were evident in both the Calibration and Validation periods (Figure 2-8B and 2-9B).  Q</w:t>
      </w:r>
      <w:r>
        <w:rPr>
          <w:color w:themeColor="text1" w:val="000000"/>
          <w:vertAlign w:val="subscript"/>
        </w:rPr>
        <w:t>OUT</w:t>
      </w:r>
      <w:r>
        <w:rPr>
          <w:color w:themeColor="text1" w:val="000000"/>
        </w:rPr>
        <w:t xml:space="preserve"> averaged 0.016 ± 0.026 10</w:t>
      </w:r>
      <w:r>
        <w:rPr>
          <w:color w:themeColor="text1" w:val="000000"/>
          <w:vertAlign w:val="superscript"/>
        </w:rPr>
        <w:t>6</w:t>
      </w:r>
      <w:r>
        <w:rPr>
          <w:color w:themeColor="text1" w:val="000000"/>
        </w:rPr>
        <w:t xml:space="preserve">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xml:space="preserve"> and 0.018 ± 0.026x 10</w:t>
      </w:r>
      <w:r>
        <w:rPr>
          <w:color w:themeColor="text1" w:val="000000"/>
          <w:vertAlign w:val="superscript"/>
        </w:rPr>
        <w:t>6</w:t>
      </w:r>
      <w:r>
        <w:rPr>
          <w:color w:themeColor="text1" w:val="000000"/>
        </w:rPr>
        <w:t xml:space="preserve">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xml:space="preserve"> for the reference and model during the Calibration period (Table 2-9). These values increased to 0.027 ± 0.031 x10</w:t>
      </w:r>
      <w:r>
        <w:rPr>
          <w:color w:themeColor="text1" w:val="000000"/>
          <w:vertAlign w:val="superscript"/>
        </w:rPr>
        <w:t>6</w:t>
      </w:r>
      <w:r>
        <w:rPr>
          <w:color w:themeColor="text1" w:val="000000"/>
        </w:rPr>
        <w:t xml:space="preserve">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xml:space="preserve"> and 0.0040 ± 0.0036 x10</w:t>
      </w:r>
      <w:r>
        <w:rPr>
          <w:color w:themeColor="text1" w:val="000000"/>
          <w:vertAlign w:val="superscript"/>
        </w:rPr>
        <w:t>6</w:t>
      </w:r>
      <w:r>
        <w:rPr>
          <w:color w:themeColor="text1" w:val="000000"/>
        </w:rPr>
        <w:t xml:space="preserve">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xml:space="preserve"> as the reference average was greater in the Validation period. There was a significant and robust linear relationship between the average monthly model and reference Q</w:t>
      </w:r>
      <w:r>
        <w:rPr>
          <w:color w:themeColor="text1" w:val="000000"/>
          <w:vertAlign w:val="subscript"/>
        </w:rPr>
        <w:t>OUT</w:t>
      </w:r>
      <w:r>
        <w:rPr>
          <w:color w:themeColor="text1" w:val="000000"/>
        </w:rPr>
        <w:t xml:space="preserve"> in both time periods (Figure 2-10A and 2-10B). There was a wider distribution of values and an overall better fit between the model and data in the Validation period (r</w:t>
      </w:r>
      <w:r>
        <w:rPr>
          <w:color w:themeColor="text1" w:val="000000"/>
          <w:vertAlign w:val="superscript"/>
        </w:rPr>
        <w:t>2</w:t>
      </w:r>
      <w:r>
        <w:rPr>
          <w:color w:themeColor="text1" w:val="000000"/>
        </w:rPr>
        <w:t xml:space="preserve"> = 0.98). </w:t>
      </w:r>
    </w:p>
    <w:p>
      <w:pPr>
        <w:pStyle w:val="Normal"/>
        <w:rPr>
          <w:color w:themeColor="text1" w:val="000000"/>
        </w:rPr>
      </w:pPr>
      <w:r>
        <w:rPr>
          <w:color w:themeColor="text1" w:val="000000"/>
        </w:rPr>
        <mc:AlternateContent>
          <mc:Choice Requires="wps">
            <w:drawing>
              <wp:anchor behindDoc="0" distT="40640" distB="55245" distL="109220" distR="128270" simplePos="0" locked="0" layoutInCell="0" allowOverlap="1" relativeHeight="41" wp14:anchorId="4B73A4B0">
                <wp:simplePos x="0" y="0"/>
                <wp:positionH relativeFrom="margin">
                  <wp:posOffset>0</wp:posOffset>
                </wp:positionH>
                <wp:positionV relativeFrom="paragraph">
                  <wp:posOffset>335280</wp:posOffset>
                </wp:positionV>
                <wp:extent cx="5943600" cy="5318760"/>
                <wp:effectExtent l="5080" t="5080" r="5080" b="5080"/>
                <wp:wrapSquare wrapText="bothSides"/>
                <wp:docPr id="49" name="Text Box 2"/>
                <a:graphic xmlns:a="http://schemas.openxmlformats.org/drawingml/2006/main">
                  <a:graphicData uri="http://schemas.microsoft.com/office/word/2010/wordprocessingShape">
                    <wps:wsp>
                      <wps:cNvSpPr/>
                      <wps:spPr>
                        <a:xfrm>
                          <a:off x="0" y="0"/>
                          <a:ext cx="5943600" cy="53186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b/>
                                <w:bCs/>
                              </w:rPr>
                            </w:pPr>
                            <w:r>
                              <w:rPr>
                                <w:b/>
                                <w:bCs/>
                              </w:rPr>
                              <w:t>2005-2012</w:t>
                            </w:r>
                          </w:p>
                          <w:p>
                            <w:pPr>
                              <w:pStyle w:val="FrameContents"/>
                              <w:jc w:val="center"/>
                              <w:rPr/>
                            </w:pPr>
                            <w:r>
                              <w:rPr/>
                              <w:drawing>
                                <wp:inline distT="0" distB="0" distL="0" distR="0">
                                  <wp:extent cx="5438140" cy="4229100"/>
                                  <wp:effectExtent l="0" t="0" r="0" b="0"/>
                                  <wp:docPr id="51" name="Image7"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7" descr="A diagram of a graph&#10;&#10;Description automatically generated with medium confidence"/>
                                          <pic:cNvPicPr>
                                            <a:picLocks noChangeAspect="1" noChangeArrowheads="1"/>
                                          </pic:cNvPicPr>
                                        </pic:nvPicPr>
                                        <pic:blipFill>
                                          <a:blip r:embed="rId56"/>
                                          <a:stretch>
                                            <a:fillRect/>
                                          </a:stretch>
                                        </pic:blipFill>
                                        <pic:spPr bwMode="auto">
                                          <a:xfrm>
                                            <a:off x="0" y="0"/>
                                            <a:ext cx="5438140" cy="4229100"/>
                                          </a:xfrm>
                                          <a:prstGeom prst="rect">
                                            <a:avLst/>
                                          </a:prstGeom>
                                        </pic:spPr>
                                      </pic:pic>
                                    </a:graphicData>
                                  </a:graphic>
                                </wp:inline>
                              </w:drawing>
                            </w:r>
                          </w:p>
                          <w:p>
                            <w:pPr>
                              <w:pStyle w:val="Caption"/>
                              <w:widowControl/>
                              <w:bidi w:val="0"/>
                              <w:spacing w:lineRule="auto" w:line="276" w:before="0" w:after="60"/>
                              <w:jc w:val="center"/>
                              <w:rPr/>
                            </w:pPr>
                            <w:bookmarkStart w:id="62" w:name="_Toc181802650"/>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10</w:t>
                            </w:r>
                            <w:r>
                              <w:rPr/>
                              <w:fldChar w:fldCharType="end"/>
                            </w:r>
                            <w:r>
                              <w:rPr/>
                              <w:t>.  Time series of daily flow-way Q</w:t>
                            </w:r>
                            <w:r>
                              <w:rPr>
                                <w:vertAlign w:val="subscript"/>
                              </w:rPr>
                              <w:t>IN</w:t>
                            </w:r>
                            <w:r>
                              <w:rPr/>
                              <w:t>, Q</w:t>
                            </w:r>
                            <w:r>
                              <w:rPr>
                                <w:vertAlign w:val="subscript"/>
                              </w:rPr>
                              <w:t>OUT</w:t>
                            </w:r>
                            <w:r>
                              <w:rPr/>
                              <w:t>, volume, and depth for the target or reference values (black) and model predictions (red) for the Calibration period water years (5/1/2005 to 5/1/13).</w:t>
                            </w:r>
                            <w:bookmarkEnd w:id="62"/>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26.4pt;width:467.95pt;height:418.75pt;mso-wrap-style:square;v-text-anchor:top;mso-position-horizontal-relative:margin" wp14:anchorId="4B73A4B0">
                <v:fill o:detectmouseclick="t" type="solid" color2="black"/>
                <v:stroke color="black" weight="9360" joinstyle="miter" endcap="flat"/>
                <v:textbox>
                  <w:txbxContent>
                    <w:p>
                      <w:pPr>
                        <w:pStyle w:val="FrameContents"/>
                        <w:jc w:val="center"/>
                        <w:rPr>
                          <w:b/>
                          <w:bCs/>
                        </w:rPr>
                      </w:pPr>
                      <w:r>
                        <w:rPr>
                          <w:b/>
                          <w:bCs/>
                        </w:rPr>
                        <w:t>2005-2012</w:t>
                      </w:r>
                    </w:p>
                    <w:p>
                      <w:pPr>
                        <w:pStyle w:val="FrameContents"/>
                        <w:jc w:val="center"/>
                        <w:rPr/>
                      </w:pPr>
                      <w:r>
                        <w:rPr/>
                        <w:drawing>
                          <wp:inline distT="0" distB="0" distL="0" distR="0">
                            <wp:extent cx="5438140" cy="4229100"/>
                            <wp:effectExtent l="0" t="0" r="0" b="0"/>
                            <wp:docPr id="52" name="Image7"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 descr="A diagram of a graph&#10;&#10;Description automatically generated with medium confidence"/>
                                    <pic:cNvPicPr>
                                      <a:picLocks noChangeAspect="1" noChangeArrowheads="1"/>
                                    </pic:cNvPicPr>
                                  </pic:nvPicPr>
                                  <pic:blipFill>
                                    <a:blip r:embed="rId57"/>
                                    <a:stretch>
                                      <a:fillRect/>
                                    </a:stretch>
                                  </pic:blipFill>
                                  <pic:spPr bwMode="auto">
                                    <a:xfrm>
                                      <a:off x="0" y="0"/>
                                      <a:ext cx="5438140" cy="4229100"/>
                                    </a:xfrm>
                                    <a:prstGeom prst="rect">
                                      <a:avLst/>
                                    </a:prstGeom>
                                  </pic:spPr>
                                </pic:pic>
                              </a:graphicData>
                            </a:graphic>
                          </wp:inline>
                        </w:drawing>
                      </w:r>
                    </w:p>
                    <w:p>
                      <w:pPr>
                        <w:pStyle w:val="Caption"/>
                        <w:widowControl/>
                        <w:bidi w:val="0"/>
                        <w:spacing w:lineRule="auto" w:line="276" w:before="0" w:after="60"/>
                        <w:jc w:val="center"/>
                        <w:rPr/>
                      </w:pPr>
                      <w:bookmarkStart w:id="63" w:name="_Toc181802650"/>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10</w:t>
                      </w:r>
                      <w:r>
                        <w:rPr/>
                        <w:fldChar w:fldCharType="end"/>
                      </w:r>
                      <w:r>
                        <w:rPr/>
                        <w:t>.  Time series of daily flow-way Q</w:t>
                      </w:r>
                      <w:r>
                        <w:rPr>
                          <w:vertAlign w:val="subscript"/>
                        </w:rPr>
                        <w:t>IN</w:t>
                      </w:r>
                      <w:r>
                        <w:rPr/>
                        <w:t>, Q</w:t>
                      </w:r>
                      <w:r>
                        <w:rPr>
                          <w:vertAlign w:val="subscript"/>
                        </w:rPr>
                        <w:t>OUT</w:t>
                      </w:r>
                      <w:r>
                        <w:rPr/>
                        <w:t>, volume, and depth for the target or reference values (black) and model predictions (red) for the Calibration period water years (5/1/2005 to 5/1/13).</w:t>
                      </w:r>
                      <w:bookmarkEnd w:id="63"/>
                    </w:p>
                  </w:txbxContent>
                </v:textbox>
                <w10:wrap type="square"/>
              </v:rect>
            </w:pict>
          </mc:Fallback>
        </mc:AlternateContent>
      </w:r>
    </w:p>
    <w:p>
      <w:pPr>
        <w:pStyle w:val="Normal"/>
        <w:rPr>
          <w:color w:themeColor="text1" w:val="000000"/>
        </w:rPr>
      </w:pPr>
      <w:r>
        <w:rPr>
          <w:color w:themeColor="text1" w:val="000000"/>
        </w:rPr>
      </w:r>
    </w:p>
    <w:p>
      <w:pPr>
        <w:pStyle w:val="Normal"/>
        <w:rPr>
          <w:color w:themeColor="text1" w:val="000000"/>
        </w:rPr>
      </w:pPr>
      <w:r>
        <mc:AlternateContent>
          <mc:Choice Requires="wps">
            <w:drawing>
              <wp:anchor behindDoc="0" distT="40640" distB="52070" distL="0" distR="128270" simplePos="0" locked="0" layoutInCell="0" allowOverlap="1" relativeHeight="37" wp14:anchorId="45BD1196">
                <wp:simplePos x="0" y="0"/>
                <wp:positionH relativeFrom="margin">
                  <wp:align>left</wp:align>
                </wp:positionH>
                <wp:positionV relativeFrom="paragraph">
                  <wp:posOffset>198755</wp:posOffset>
                </wp:positionV>
                <wp:extent cx="5943600" cy="5265420"/>
                <wp:effectExtent l="0" t="5080" r="5080" b="5080"/>
                <wp:wrapSquare wrapText="bothSides"/>
                <wp:docPr id="50" name="Text Box 2"/>
                <a:graphic xmlns:a="http://schemas.openxmlformats.org/drawingml/2006/main">
                  <a:graphicData uri="http://schemas.microsoft.com/office/word/2010/wordprocessingShape">
                    <wps:wsp>
                      <wps:cNvSpPr/>
                      <wps:spPr>
                        <a:xfrm>
                          <a:off x="0" y="0"/>
                          <a:ext cx="5943600" cy="52653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b/>
                                <w:bCs/>
                              </w:rPr>
                            </w:pPr>
                            <w:r>
                              <w:rPr>
                                <w:b/>
                                <w:bCs/>
                              </w:rPr>
                              <w:t>2013-2020</w:t>
                            </w:r>
                          </w:p>
                          <w:p>
                            <w:pPr>
                              <w:pStyle w:val="FrameContents"/>
                              <w:jc w:val="center"/>
                              <w:rPr/>
                            </w:pPr>
                            <w:r>
                              <w:rPr/>
                              <w:drawing>
                                <wp:inline distT="0" distB="0" distL="0" distR="0">
                                  <wp:extent cx="5466080" cy="4183380"/>
                                  <wp:effectExtent l="0" t="0" r="0" b="0"/>
                                  <wp:docPr id="5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8" descr=""/>
                                          <pic:cNvPicPr>
                                            <a:picLocks noChangeAspect="1" noChangeArrowheads="1"/>
                                          </pic:cNvPicPr>
                                        </pic:nvPicPr>
                                        <pic:blipFill>
                                          <a:blip r:embed="rId58"/>
                                          <a:stretch>
                                            <a:fillRect/>
                                          </a:stretch>
                                        </pic:blipFill>
                                        <pic:spPr bwMode="auto">
                                          <a:xfrm>
                                            <a:off x="0" y="0"/>
                                            <a:ext cx="5466080" cy="4183380"/>
                                          </a:xfrm>
                                          <a:prstGeom prst="rect">
                                            <a:avLst/>
                                          </a:prstGeom>
                                        </pic:spPr>
                                      </pic:pic>
                                    </a:graphicData>
                                  </a:graphic>
                                </wp:inline>
                              </w:drawing>
                            </w:r>
                          </w:p>
                          <w:p>
                            <w:pPr>
                              <w:pStyle w:val="Caption"/>
                              <w:widowControl/>
                              <w:bidi w:val="0"/>
                              <w:spacing w:lineRule="auto" w:line="276" w:before="0" w:after="60"/>
                              <w:jc w:val="center"/>
                              <w:rPr/>
                            </w:pPr>
                            <w:bookmarkStart w:id="64" w:name="_Toc181802651"/>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11</w:t>
                            </w:r>
                            <w:r>
                              <w:rPr/>
                              <w:fldChar w:fldCharType="end"/>
                            </w:r>
                            <w:r>
                              <w:rPr/>
                              <w:t>.  Time series of daily flow-way Q</w:t>
                            </w:r>
                            <w:r>
                              <w:rPr>
                                <w:vertAlign w:val="subscript"/>
                              </w:rPr>
                              <w:t>IN</w:t>
                            </w:r>
                            <w:r>
                              <w:rPr/>
                              <w:t>, Q</w:t>
                            </w:r>
                            <w:r>
                              <w:rPr>
                                <w:vertAlign w:val="subscript"/>
                              </w:rPr>
                              <w:t>OUT</w:t>
                            </w:r>
                            <w:r>
                              <w:rPr/>
                              <w:t>, volume, and depth for the target or reference values (black) and model predictions (red) for the Validation period water years (5/1/2013 to 5/1/2020).</w:t>
                            </w:r>
                            <w:bookmarkEnd w:id="64"/>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15.65pt;width:467.95pt;height:414.55pt;mso-wrap-style:square;v-text-anchor:top;mso-position-horizontal:left;mso-position-horizontal-relative:margin" wp14:anchorId="45BD1196">
                <v:fill o:detectmouseclick="t" type="solid" color2="black"/>
                <v:stroke color="black" weight="9360" joinstyle="miter" endcap="flat"/>
                <v:textbox>
                  <w:txbxContent>
                    <w:p>
                      <w:pPr>
                        <w:pStyle w:val="FrameContents"/>
                        <w:jc w:val="center"/>
                        <w:rPr>
                          <w:b/>
                          <w:bCs/>
                        </w:rPr>
                      </w:pPr>
                      <w:r>
                        <w:rPr>
                          <w:b/>
                          <w:bCs/>
                        </w:rPr>
                        <w:t>2013-2020</w:t>
                      </w:r>
                    </w:p>
                    <w:p>
                      <w:pPr>
                        <w:pStyle w:val="FrameContents"/>
                        <w:jc w:val="center"/>
                        <w:rPr/>
                      </w:pPr>
                      <w:r>
                        <w:rPr/>
                        <w:drawing>
                          <wp:inline distT="0" distB="0" distL="0" distR="0">
                            <wp:extent cx="5466080" cy="4183380"/>
                            <wp:effectExtent l="0" t="0" r="0" b="0"/>
                            <wp:docPr id="5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8" descr=""/>
                                    <pic:cNvPicPr>
                                      <a:picLocks noChangeAspect="1" noChangeArrowheads="1"/>
                                    </pic:cNvPicPr>
                                  </pic:nvPicPr>
                                  <pic:blipFill>
                                    <a:blip r:embed="rId59"/>
                                    <a:stretch>
                                      <a:fillRect/>
                                    </a:stretch>
                                  </pic:blipFill>
                                  <pic:spPr bwMode="auto">
                                    <a:xfrm>
                                      <a:off x="0" y="0"/>
                                      <a:ext cx="5466080" cy="4183380"/>
                                    </a:xfrm>
                                    <a:prstGeom prst="rect">
                                      <a:avLst/>
                                    </a:prstGeom>
                                  </pic:spPr>
                                </pic:pic>
                              </a:graphicData>
                            </a:graphic>
                          </wp:inline>
                        </w:drawing>
                      </w:r>
                    </w:p>
                    <w:p>
                      <w:pPr>
                        <w:pStyle w:val="Caption"/>
                        <w:widowControl/>
                        <w:bidi w:val="0"/>
                        <w:spacing w:lineRule="auto" w:line="276" w:before="0" w:after="60"/>
                        <w:jc w:val="center"/>
                        <w:rPr/>
                      </w:pPr>
                      <w:bookmarkStart w:id="65" w:name="_Toc181802651"/>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11</w:t>
                      </w:r>
                      <w:r>
                        <w:rPr/>
                        <w:fldChar w:fldCharType="end"/>
                      </w:r>
                      <w:r>
                        <w:rPr/>
                        <w:t>.  Time series of daily flow-way Q</w:t>
                      </w:r>
                      <w:r>
                        <w:rPr>
                          <w:vertAlign w:val="subscript"/>
                        </w:rPr>
                        <w:t>IN</w:t>
                      </w:r>
                      <w:r>
                        <w:rPr/>
                        <w:t>, Q</w:t>
                      </w:r>
                      <w:r>
                        <w:rPr>
                          <w:vertAlign w:val="subscript"/>
                        </w:rPr>
                        <w:t>OUT</w:t>
                      </w:r>
                      <w:r>
                        <w:rPr/>
                        <w:t>, volume, and depth for the target or reference values (black) and model predictions (red) for the Validation period water years (5/1/2013 to 5/1/2020).</w:t>
                      </w:r>
                      <w:bookmarkEnd w:id="65"/>
                    </w:p>
                  </w:txbxContent>
                </v:textbox>
                <w10:wrap type="square"/>
              </v:rect>
            </w:pict>
          </mc:Fallback>
        </mc:AlternateContent>
      </w:r>
      <w:r>
        <w:rPr>
          <w:color w:themeColor="text1" w:val="000000"/>
        </w:rPr>
        <w:t>The daily and seasonal variations in the observed and model flow-way volume (km</w:t>
      </w:r>
      <w:r>
        <w:rPr>
          <w:color w:themeColor="text1" w:val="000000"/>
          <w:vertAlign w:val="superscript"/>
        </w:rPr>
        <w:t>3</w:t>
      </w:r>
      <w:r>
        <w:rPr>
          <w:color w:themeColor="text1" w:val="000000"/>
        </w:rPr>
        <w:t>) were evident in the Calibration and Validation periods (Figure 2-8C and 2-9C).  There were times of very low to zero volume in the reference time series not captured by the model (WY2008, WY2009, WY2010, WY2012; Figure 2-8C). This was not the case during the Validation period (Figure -9C). Flow-way water volume during Calibration averaged 0.271 ± 0.135 x 10</w:t>
      </w:r>
      <w:r>
        <w:rPr>
          <w:color w:themeColor="text1" w:val="000000"/>
          <w:vertAlign w:val="superscript"/>
        </w:rPr>
        <w:t>6</w:t>
      </w:r>
      <w:r>
        <w:rPr>
          <w:color w:themeColor="text1" w:val="000000"/>
        </w:rPr>
        <w:t xml:space="preserve"> m</w:t>
      </w:r>
      <w:r>
        <w:rPr>
          <w:color w:themeColor="text1" w:val="000000"/>
          <w:vertAlign w:val="superscript"/>
        </w:rPr>
        <w:t>3</w:t>
      </w:r>
      <w:r>
        <w:rPr>
          <w:color w:themeColor="text1" w:val="000000"/>
        </w:rPr>
        <w:t xml:space="preserve"> and 0.302 ± 0.114 x 10</w:t>
      </w:r>
      <w:r>
        <w:rPr>
          <w:color w:themeColor="text1" w:val="000000"/>
          <w:vertAlign w:val="superscript"/>
        </w:rPr>
        <w:t>6</w:t>
      </w:r>
      <w:r>
        <w:rPr>
          <w:color w:themeColor="text1" w:val="000000"/>
        </w:rPr>
        <w:t xml:space="preserve"> m</w:t>
      </w:r>
      <w:r>
        <w:rPr>
          <w:color w:themeColor="text1" w:val="000000"/>
          <w:vertAlign w:val="superscript"/>
        </w:rPr>
        <w:t>3</w:t>
      </w:r>
      <w:r>
        <w:rPr>
          <w:color w:themeColor="text1" w:val="000000"/>
        </w:rPr>
        <w:t xml:space="preserve"> for the reference and model, respectively (Table 2-9). These values increased to 0.375 ± 0.100 x10</w:t>
      </w:r>
      <w:r>
        <w:rPr>
          <w:color w:themeColor="text1" w:val="000000"/>
          <w:vertAlign w:val="superscript"/>
        </w:rPr>
        <w:t>6</w:t>
      </w:r>
      <w:r>
        <w:rPr>
          <w:color w:themeColor="text1" w:val="000000"/>
        </w:rPr>
        <w:t xml:space="preserve"> m</w:t>
      </w:r>
      <w:r>
        <w:rPr>
          <w:color w:themeColor="text1" w:val="000000"/>
          <w:vertAlign w:val="superscript"/>
        </w:rPr>
        <w:t>3</w:t>
      </w:r>
      <w:r>
        <w:rPr>
          <w:color w:themeColor="text1" w:val="000000"/>
        </w:rPr>
        <w:t xml:space="preserve"> and 0.341 ± 0.108 x10</w:t>
      </w:r>
      <w:r>
        <w:rPr>
          <w:color w:themeColor="text1" w:val="000000"/>
          <w:vertAlign w:val="superscript"/>
        </w:rPr>
        <w:t>6</w:t>
      </w:r>
      <w:r>
        <w:rPr>
          <w:color w:themeColor="text1" w:val="000000"/>
        </w:rPr>
        <w:t xml:space="preserve"> m</w:t>
      </w:r>
      <w:r>
        <w:rPr>
          <w:color w:themeColor="text1" w:val="000000"/>
          <w:vertAlign w:val="superscript"/>
        </w:rPr>
        <w:t>3</w:t>
      </w:r>
      <w:r>
        <w:rPr>
          <w:color w:themeColor="text1" w:val="000000"/>
        </w:rPr>
        <w:t xml:space="preserve"> as the reference average was greater but less variable during Validation. There was a significant and robust linear relationship between the average monthly model and reference volumes in both time periods (Figure 2-10C and 2-10D). There was a wider distribution of values and an overall better fit between the model and data in the Validation period (r</w:t>
      </w:r>
      <w:r>
        <w:rPr>
          <w:color w:themeColor="text1" w:val="000000"/>
          <w:vertAlign w:val="superscript"/>
        </w:rPr>
        <w:t>2</w:t>
      </w:r>
      <w:r>
        <w:rPr>
          <w:color w:themeColor="text1" w:val="000000"/>
        </w:rPr>
        <w:t xml:space="preserve"> = 0.96) when flow-way depth and volume were more stable. </w:t>
      </w:r>
    </w:p>
    <w:p>
      <w:pPr>
        <w:pStyle w:val="Normal"/>
        <w:rPr>
          <w:color w:themeColor="text1" w:val="000000"/>
        </w:rPr>
      </w:pPr>
      <w:r>
        <w:rPr>
          <w:color w:themeColor="text1" w:val="000000"/>
        </w:rPr>
        <mc:AlternateContent>
          <mc:Choice Requires="wps">
            <w:drawing>
              <wp:anchor behindDoc="0" distT="40640" distB="55880" distL="109220" distR="132080" simplePos="0" locked="0" layoutInCell="0" allowOverlap="1" relativeHeight="43" wp14:anchorId="38BA4A55">
                <wp:simplePos x="0" y="0"/>
                <wp:positionH relativeFrom="margin">
                  <wp:align>right</wp:align>
                </wp:positionH>
                <wp:positionV relativeFrom="paragraph">
                  <wp:posOffset>3162935</wp:posOffset>
                </wp:positionV>
                <wp:extent cx="5920740" cy="5242560"/>
                <wp:effectExtent l="5080" t="5080" r="5080" b="5080"/>
                <wp:wrapSquare wrapText="bothSides"/>
                <wp:docPr id="51" name="Text Box 2"/>
                <a:graphic xmlns:a="http://schemas.openxmlformats.org/drawingml/2006/main">
                  <a:graphicData uri="http://schemas.microsoft.com/office/word/2010/wordprocessingShape">
                    <wps:wsp>
                      <wps:cNvSpPr/>
                      <wps:spPr>
                        <a:xfrm>
                          <a:off x="0" y="0"/>
                          <a:ext cx="5920920" cy="5242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497830" cy="4283075"/>
                                  <wp:effectExtent l="0" t="0" r="0" b="0"/>
                                  <wp:docPr id="53" name="Picture 21" descr="A graph of calibration and valid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1" descr="A graph of calibration and validation&#10;&#10;Description automatically generated"/>
                                          <pic:cNvPicPr>
                                            <a:picLocks noChangeAspect="1" noChangeArrowheads="1"/>
                                          </pic:cNvPicPr>
                                        </pic:nvPicPr>
                                        <pic:blipFill>
                                          <a:blip r:embed="rId60"/>
                                          <a:stretch>
                                            <a:fillRect/>
                                          </a:stretch>
                                        </pic:blipFill>
                                        <pic:spPr bwMode="auto">
                                          <a:xfrm>
                                            <a:off x="0" y="0"/>
                                            <a:ext cx="5497830" cy="4283075"/>
                                          </a:xfrm>
                                          <a:prstGeom prst="rect">
                                            <a:avLst/>
                                          </a:prstGeom>
                                        </pic:spPr>
                                      </pic:pic>
                                    </a:graphicData>
                                  </a:graphic>
                                </wp:inline>
                              </w:drawing>
                            </w:r>
                          </w:p>
                          <w:p>
                            <w:pPr>
                              <w:pStyle w:val="Caption"/>
                              <w:widowControl/>
                              <w:bidi w:val="0"/>
                              <w:spacing w:lineRule="auto" w:line="276" w:before="0" w:after="60"/>
                              <w:jc w:val="center"/>
                              <w:rPr/>
                            </w:pPr>
                            <w:bookmarkStart w:id="66" w:name="_Toc181802652"/>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12</w:t>
                            </w:r>
                            <w:r>
                              <w:rPr/>
                              <w:fldChar w:fldCharType="end"/>
                            </w:r>
                            <w:r>
                              <w:rPr/>
                              <w:t>.  Scatterplots and linear regressions for the model results (x) and the reference data (y) for the Calibration (left side; 1/1/2005-12/31/2012) and Validation (right side; 1/1/2013-12/31/2020) periods.  Included are the regression coefficient (r</w:t>
                            </w:r>
                            <w:r>
                              <w:rPr>
                                <w:vertAlign w:val="superscript"/>
                              </w:rPr>
                              <w:t>2</w:t>
                            </w:r>
                            <w:r>
                              <w:rPr/>
                              <w:t>), intercept (y0). and slope (b) for the monthly average flow-way outflow (Q</w:t>
                            </w:r>
                            <w:r>
                              <w:rPr>
                                <w:vertAlign w:val="subscript"/>
                              </w:rPr>
                              <w:t>OUT</w:t>
                            </w:r>
                            <w:r>
                              <w:rPr/>
                              <w:t>; km</w:t>
                            </w:r>
                            <w:r>
                              <w:rPr>
                                <w:vertAlign w:val="superscript"/>
                              </w:rPr>
                              <w:t>3</w:t>
                            </w:r>
                            <w:r>
                              <w:rPr/>
                              <w:t xml:space="preserve"> d</w:t>
                            </w:r>
                            <w:r>
                              <w:rPr>
                                <w:vertAlign w:val="superscript"/>
                              </w:rPr>
                              <w:t>-1</w:t>
                            </w:r>
                            <w:r>
                              <w:rPr/>
                              <w:t>), volume (km</w:t>
                            </w:r>
                            <w:r>
                              <w:rPr>
                                <w:vertAlign w:val="superscript"/>
                              </w:rPr>
                              <w:t>3</w:t>
                            </w:r>
                            <w:r>
                              <w:rPr/>
                              <w:t>), and depth (m).</w:t>
                            </w:r>
                            <w:bookmarkEnd w:id="66"/>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8.65pt;margin-top:249.05pt;width:466.15pt;height:412.75pt;mso-wrap-style:square;v-text-anchor:top;mso-position-horizontal:right;mso-position-horizontal-relative:margin" wp14:anchorId="38BA4A55">
                <v:fill o:detectmouseclick="t" type="solid" color2="black"/>
                <v:stroke color="black" weight="9360" joinstyle="miter" endcap="flat"/>
                <v:textbox>
                  <w:txbxContent>
                    <w:p>
                      <w:pPr>
                        <w:pStyle w:val="FrameContents"/>
                        <w:jc w:val="center"/>
                        <w:rPr/>
                      </w:pPr>
                      <w:r>
                        <w:rPr/>
                        <w:drawing>
                          <wp:inline distT="0" distB="0" distL="0" distR="0">
                            <wp:extent cx="5497830" cy="4283075"/>
                            <wp:effectExtent l="0" t="0" r="0" b="0"/>
                            <wp:docPr id="54" name="Picture 21" descr="A graph of calibration and valid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1" descr="A graph of calibration and validation&#10;&#10;Description automatically generated"/>
                                    <pic:cNvPicPr>
                                      <a:picLocks noChangeAspect="1" noChangeArrowheads="1"/>
                                    </pic:cNvPicPr>
                                  </pic:nvPicPr>
                                  <pic:blipFill>
                                    <a:blip r:embed="rId61"/>
                                    <a:stretch>
                                      <a:fillRect/>
                                    </a:stretch>
                                  </pic:blipFill>
                                  <pic:spPr bwMode="auto">
                                    <a:xfrm>
                                      <a:off x="0" y="0"/>
                                      <a:ext cx="5497830" cy="4283075"/>
                                    </a:xfrm>
                                    <a:prstGeom prst="rect">
                                      <a:avLst/>
                                    </a:prstGeom>
                                  </pic:spPr>
                                </pic:pic>
                              </a:graphicData>
                            </a:graphic>
                          </wp:inline>
                        </w:drawing>
                      </w:r>
                    </w:p>
                    <w:p>
                      <w:pPr>
                        <w:pStyle w:val="Caption"/>
                        <w:widowControl/>
                        <w:bidi w:val="0"/>
                        <w:spacing w:lineRule="auto" w:line="276" w:before="0" w:after="60"/>
                        <w:jc w:val="center"/>
                        <w:rPr/>
                      </w:pPr>
                      <w:bookmarkStart w:id="67" w:name="_Toc181802652"/>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12</w:t>
                      </w:r>
                      <w:r>
                        <w:rPr/>
                        <w:fldChar w:fldCharType="end"/>
                      </w:r>
                      <w:r>
                        <w:rPr/>
                        <w:t>.  Scatterplots and linear regressions for the model results (x) and the reference data (y) for the Calibration (left side; 1/1/2005-12/31/2012) and Validation (right side; 1/1/2013-12/31/2020) periods.  Included are the regression coefficient (r</w:t>
                      </w:r>
                      <w:r>
                        <w:rPr>
                          <w:vertAlign w:val="superscript"/>
                        </w:rPr>
                        <w:t>2</w:t>
                      </w:r>
                      <w:r>
                        <w:rPr/>
                        <w:t>), intercept (y0). and slope (b) for the monthly average flow-way outflow (Q</w:t>
                      </w:r>
                      <w:r>
                        <w:rPr>
                          <w:vertAlign w:val="subscript"/>
                        </w:rPr>
                        <w:t>OUT</w:t>
                      </w:r>
                      <w:r>
                        <w:rPr/>
                        <w:t>; km</w:t>
                      </w:r>
                      <w:r>
                        <w:rPr>
                          <w:vertAlign w:val="superscript"/>
                        </w:rPr>
                        <w:t>3</w:t>
                      </w:r>
                      <w:r>
                        <w:rPr/>
                        <w:t xml:space="preserve"> d</w:t>
                      </w:r>
                      <w:r>
                        <w:rPr>
                          <w:vertAlign w:val="superscript"/>
                        </w:rPr>
                        <w:t>-1</w:t>
                      </w:r>
                      <w:r>
                        <w:rPr/>
                        <w:t>), volume (km</w:t>
                      </w:r>
                      <w:r>
                        <w:rPr>
                          <w:vertAlign w:val="superscript"/>
                        </w:rPr>
                        <w:t>3</w:t>
                      </w:r>
                      <w:r>
                        <w:rPr/>
                        <w:t>), and depth (m).</w:t>
                      </w:r>
                      <w:bookmarkEnd w:id="67"/>
                    </w:p>
                  </w:txbxContent>
                </v:textbox>
                <w10:wrap type="square"/>
              </v:rect>
            </w:pict>
          </mc:Fallback>
        </mc:AlternateContent>
        <mc:AlternateContent>
          <mc:Choice Requires="wps">
            <w:drawing>
              <wp:anchor behindDoc="0" distT="40640" distB="63500" distL="0" distR="135890" simplePos="0" locked="0" layoutInCell="0" allowOverlap="1" relativeHeight="80" wp14:anchorId="060EA578">
                <wp:simplePos x="0" y="0"/>
                <wp:positionH relativeFrom="margin">
                  <wp:align>left</wp:align>
                </wp:positionH>
                <wp:positionV relativeFrom="paragraph">
                  <wp:posOffset>31115</wp:posOffset>
                </wp:positionV>
                <wp:extent cx="5897880" cy="3063240"/>
                <wp:effectExtent l="0" t="5080" r="5080" b="5080"/>
                <wp:wrapSquare wrapText="bothSides"/>
                <wp:docPr id="52" name="Text Box 2"/>
                <a:graphic xmlns:a="http://schemas.openxmlformats.org/drawingml/2006/main">
                  <a:graphicData uri="http://schemas.microsoft.com/office/word/2010/wordprocessingShape">
                    <wps:wsp>
                      <wps:cNvSpPr/>
                      <wps:spPr>
                        <a:xfrm>
                          <a:off x="0" y="0"/>
                          <a:ext cx="5897880" cy="3063240"/>
                        </a:xfrm>
                        <a:prstGeom prst="rect">
                          <a:avLst/>
                        </a:prstGeom>
                        <a:solidFill>
                          <a:srgbClr val="ffffff"/>
                        </a:solidFill>
                        <a:ln w="9525">
                          <a:solidFill>
                            <a:srgbClr val="000000"/>
                          </a:solidFill>
                          <a:miter/>
                        </a:ln>
                      </wps:spPr>
                      <wps:style>
                        <a:lnRef idx="0"/>
                        <a:fillRef idx="0"/>
                        <a:effectRef idx="0"/>
                        <a:fontRef idx="minor"/>
                      </wps:style>
                      <wps:txbx>
                        <w:txbxContent>
                          <w:p>
                            <w:pPr>
                              <w:pStyle w:val="Caption"/>
                              <w:spacing w:lineRule="auto" w:line="240"/>
                              <w:rPr/>
                            </w:pPr>
                            <w:bookmarkStart w:id="68" w:name="_Toc182250919"/>
                            <w:r>
                              <w:rPr/>
                              <w:t xml:space="preserve">Table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Table \* ARABIC </w:instrText>
                            </w:r>
                            <w:r>
                              <w:rPr/>
                              <w:fldChar w:fldCharType="separate"/>
                            </w:r>
                            <w:r>
                              <w:rPr/>
                              <w:t>10</w:t>
                            </w:r>
                            <w:r>
                              <w:rPr/>
                              <w:fldChar w:fldCharType="end"/>
                            </w:r>
                            <w:r>
                              <w:rPr/>
                              <w:t>. Descriptive statistics for the reference data (left side) and model results (right side) for the Calibration (1/1/2005-12/31/2012) and Validation (1/1/2013-12/31/2020) periods.  Included are the minimum (MIN), maximum (MAX), average (AVG), and standard deviation (SD) for the flow-way daily outflow (QOUT; km</w:t>
                            </w:r>
                            <w:r>
                              <w:rPr>
                                <w:vertAlign w:val="superscript"/>
                              </w:rPr>
                              <w:t>3</w:t>
                            </w:r>
                            <w:r>
                              <w:rPr/>
                              <w:t xml:space="preserve"> d</w:t>
                            </w:r>
                            <w:r>
                              <w:rPr>
                                <w:vertAlign w:val="superscript"/>
                              </w:rPr>
                              <w:t>-1</w:t>
                            </w:r>
                            <w:r>
                              <w:rPr/>
                              <w:t>), volume (km</w:t>
                            </w:r>
                            <w:r>
                              <w:rPr>
                                <w:vertAlign w:val="superscript"/>
                              </w:rPr>
                              <w:t>3</w:t>
                            </w:r>
                            <w:r>
                              <w:rPr/>
                              <w:t>), and depth (m) for the two time periods.</w:t>
                            </w:r>
                            <w:bookmarkEnd w:id="68"/>
                          </w:p>
                          <w:p>
                            <w:pPr>
                              <w:pStyle w:val="FrameContents"/>
                              <w:rPr/>
                            </w:pPr>
                            <w:r>
                              <w:rPr/>
                              <w:drawing>
                                <wp:inline distT="0" distB="0" distL="0" distR="0">
                                  <wp:extent cx="5690870" cy="974725"/>
                                  <wp:effectExtent l="0" t="0" r="0" b="0"/>
                                  <wp:docPr id="5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9" descr=""/>
                                          <pic:cNvPicPr>
                                            <a:picLocks noChangeAspect="1" noChangeArrowheads="1"/>
                                          </pic:cNvPicPr>
                                        </pic:nvPicPr>
                                        <pic:blipFill>
                                          <a:blip r:embed="rId62"/>
                                          <a:stretch>
                                            <a:fillRect/>
                                          </a:stretch>
                                        </pic:blipFill>
                                        <pic:spPr bwMode="auto">
                                          <a:xfrm>
                                            <a:off x="0" y="0"/>
                                            <a:ext cx="5690870" cy="974725"/>
                                          </a:xfrm>
                                          <a:prstGeom prst="rect">
                                            <a:avLst/>
                                          </a:prstGeom>
                                        </pic:spPr>
                                      </pic:pic>
                                    </a:graphicData>
                                  </a:graphic>
                                </wp:inline>
                              </w:drawing>
                            </w:r>
                          </w:p>
                          <w:p>
                            <w:pPr>
                              <w:pStyle w:val="FrameContents"/>
                              <w:spacing w:before="0" w:after="120"/>
                              <w:rPr/>
                            </w:pPr>
                            <w:r>
                              <w:rPr/>
                              <w:drawing>
                                <wp:inline distT="0" distB="0" distL="0" distR="0">
                                  <wp:extent cx="5690870" cy="975360"/>
                                  <wp:effectExtent l="0" t="0" r="0" b="0"/>
                                  <wp:docPr id="55" name="Picture 20" descr="A table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0" descr="A table with numbers and symbols&#10;&#10;Description automatically generated with medium confidence"/>
                                          <pic:cNvPicPr>
                                            <a:picLocks noChangeAspect="1" noChangeArrowheads="1"/>
                                          </pic:cNvPicPr>
                                        </pic:nvPicPr>
                                        <pic:blipFill>
                                          <a:blip r:embed="rId63"/>
                                          <a:stretch>
                                            <a:fillRect/>
                                          </a:stretch>
                                        </pic:blipFill>
                                        <pic:spPr bwMode="auto">
                                          <a:xfrm>
                                            <a:off x="0" y="0"/>
                                            <a:ext cx="5690870" cy="975360"/>
                                          </a:xfrm>
                                          <a:prstGeom prst="rect">
                                            <a:avLst/>
                                          </a:prstGeom>
                                        </pic:spPr>
                                      </pic:pic>
                                    </a:graphicData>
                                  </a:graphic>
                                </wp:inline>
                              </w:drawing>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2.45pt;width:464.35pt;height:241.15pt;mso-wrap-style:square;v-text-anchor:top;mso-position-horizontal:left;mso-position-horizontal-relative:margin" wp14:anchorId="060EA578">
                <v:fill o:detectmouseclick="t" type="solid" color2="black"/>
                <v:stroke color="black" weight="9360" joinstyle="miter" endcap="flat"/>
                <v:textbox>
                  <w:txbxContent>
                    <w:p>
                      <w:pPr>
                        <w:pStyle w:val="Caption"/>
                        <w:spacing w:lineRule="auto" w:line="240"/>
                        <w:rPr/>
                      </w:pPr>
                      <w:bookmarkStart w:id="69" w:name="_Toc182250919"/>
                      <w:r>
                        <w:rPr/>
                        <w:t xml:space="preserve">Table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Table \* ARABIC </w:instrText>
                      </w:r>
                      <w:r>
                        <w:rPr/>
                        <w:fldChar w:fldCharType="separate"/>
                      </w:r>
                      <w:r>
                        <w:rPr/>
                        <w:t>10</w:t>
                      </w:r>
                      <w:r>
                        <w:rPr/>
                        <w:fldChar w:fldCharType="end"/>
                      </w:r>
                      <w:r>
                        <w:rPr/>
                        <w:t>. Descriptive statistics for the reference data (left side) and model results (right side) for the Calibration (1/1/2005-12/31/2012) and Validation (1/1/2013-12/31/2020) periods.  Included are the minimum (MIN), maximum (MAX), average (AVG), and standard deviation (SD) for the flow-way daily outflow (QOUT; km</w:t>
                      </w:r>
                      <w:r>
                        <w:rPr>
                          <w:vertAlign w:val="superscript"/>
                        </w:rPr>
                        <w:t>3</w:t>
                      </w:r>
                      <w:r>
                        <w:rPr/>
                        <w:t xml:space="preserve"> d</w:t>
                      </w:r>
                      <w:r>
                        <w:rPr>
                          <w:vertAlign w:val="superscript"/>
                        </w:rPr>
                        <w:t>-1</w:t>
                      </w:r>
                      <w:r>
                        <w:rPr/>
                        <w:t>), volume (km</w:t>
                      </w:r>
                      <w:r>
                        <w:rPr>
                          <w:vertAlign w:val="superscript"/>
                        </w:rPr>
                        <w:t>3</w:t>
                      </w:r>
                      <w:r>
                        <w:rPr/>
                        <w:t>), and depth (m) for the two time periods.</w:t>
                      </w:r>
                      <w:bookmarkEnd w:id="69"/>
                    </w:p>
                    <w:p>
                      <w:pPr>
                        <w:pStyle w:val="FrameContents"/>
                        <w:rPr/>
                      </w:pPr>
                      <w:r>
                        <w:rPr/>
                        <w:drawing>
                          <wp:inline distT="0" distB="0" distL="0" distR="0">
                            <wp:extent cx="5690870" cy="974725"/>
                            <wp:effectExtent l="0" t="0" r="0" b="0"/>
                            <wp:docPr id="5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9" descr=""/>
                                    <pic:cNvPicPr>
                                      <a:picLocks noChangeAspect="1" noChangeArrowheads="1"/>
                                    </pic:cNvPicPr>
                                  </pic:nvPicPr>
                                  <pic:blipFill>
                                    <a:blip r:embed="rId64"/>
                                    <a:stretch>
                                      <a:fillRect/>
                                    </a:stretch>
                                  </pic:blipFill>
                                  <pic:spPr bwMode="auto">
                                    <a:xfrm>
                                      <a:off x="0" y="0"/>
                                      <a:ext cx="5690870" cy="974725"/>
                                    </a:xfrm>
                                    <a:prstGeom prst="rect">
                                      <a:avLst/>
                                    </a:prstGeom>
                                  </pic:spPr>
                                </pic:pic>
                              </a:graphicData>
                            </a:graphic>
                          </wp:inline>
                        </w:drawing>
                      </w:r>
                    </w:p>
                    <w:p>
                      <w:pPr>
                        <w:pStyle w:val="FrameContents"/>
                        <w:spacing w:before="0" w:after="120"/>
                        <w:rPr/>
                      </w:pPr>
                      <w:r>
                        <w:rPr/>
                        <w:drawing>
                          <wp:inline distT="0" distB="0" distL="0" distR="0">
                            <wp:extent cx="5690870" cy="975360"/>
                            <wp:effectExtent l="0" t="0" r="0" b="0"/>
                            <wp:docPr id="57" name="Picture 20" descr="A table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0" descr="A table with numbers and symbols&#10;&#10;Description automatically generated with medium confidence"/>
                                    <pic:cNvPicPr>
                                      <a:picLocks noChangeAspect="1" noChangeArrowheads="1"/>
                                    </pic:cNvPicPr>
                                  </pic:nvPicPr>
                                  <pic:blipFill>
                                    <a:blip r:embed="rId65"/>
                                    <a:stretch>
                                      <a:fillRect/>
                                    </a:stretch>
                                  </pic:blipFill>
                                  <pic:spPr bwMode="auto">
                                    <a:xfrm>
                                      <a:off x="0" y="0"/>
                                      <a:ext cx="5690870" cy="975360"/>
                                    </a:xfrm>
                                    <a:prstGeom prst="rect">
                                      <a:avLst/>
                                    </a:prstGeom>
                                  </pic:spPr>
                                </pic:pic>
                              </a:graphicData>
                            </a:graphic>
                          </wp:inline>
                        </w:drawing>
                      </w:r>
                    </w:p>
                  </w:txbxContent>
                </v:textbox>
                <w10:wrap type="square"/>
              </v:rect>
            </w:pict>
          </mc:Fallback>
        </mc:AlternateContent>
      </w:r>
    </w:p>
    <w:p>
      <w:pPr>
        <w:pStyle w:val="Normal"/>
        <w:rPr>
          <w:color w:themeColor="text1" w:val="000000"/>
        </w:rPr>
      </w:pPr>
      <w:r>
        <w:rPr>
          <w:color w:themeColor="text1" w:val="000000"/>
        </w:rPr>
        <w:t>The patterns in depth and relative differences during and between the Calibration and Validation periods were the same as those for flow-way volume (Figure 2-8D and 2-9D). Flow-way depth averaged 0.36 ± 0.16 m and 0.41 ± 0.13 m for the reference and model during the Calibration period, and 0.50 ± 0.11 m and 0.46 ± 0.12 m in the Validation period (Table 2-9). There was a wider distribution of values and an overall better fit between the model and data in the Validation period (r</w:t>
      </w:r>
      <w:r>
        <w:rPr>
          <w:color w:themeColor="text1" w:val="000000"/>
          <w:vertAlign w:val="superscript"/>
        </w:rPr>
        <w:t>2</w:t>
      </w:r>
      <w:r>
        <w:rPr>
          <w:color w:themeColor="text1" w:val="000000"/>
        </w:rPr>
        <w:t xml:space="preserve"> = 0.96; Figure 2-10F). </w:t>
      </w:r>
    </w:p>
    <w:p>
      <w:pPr>
        <w:pStyle w:val="Normal"/>
        <w:rPr>
          <w:color w:themeColor="text1" w:val="000000"/>
        </w:rPr>
      </w:pPr>
      <w:r>
        <w:rPr>
          <w:color w:themeColor="text1" w:val="000000"/>
        </w:rPr>
        <w:t>The annual water budget for STA-2 FW1 was dominated by inflow and outflow (0.08 km</w:t>
      </w:r>
      <w:r>
        <w:rPr>
          <w:color w:themeColor="text1" w:val="000000"/>
          <w:vertAlign w:val="superscript"/>
        </w:rPr>
        <w:t>3</w:t>
      </w:r>
      <w:r>
        <w:rPr>
          <w:color w:themeColor="text1" w:val="000000"/>
        </w:rPr>
        <w:t xml:space="preserve"> y</w:t>
      </w:r>
      <w:r>
        <w:rPr>
          <w:color w:themeColor="text1" w:val="000000"/>
          <w:vertAlign w:val="superscript"/>
        </w:rPr>
        <w:t>-1</w:t>
      </w:r>
      <w:r>
        <w:rPr>
          <w:color w:themeColor="text1" w:val="000000"/>
        </w:rPr>
        <w:t>). The contributions of rainfall (0.01 km</w:t>
      </w:r>
      <w:r>
        <w:rPr>
          <w:color w:themeColor="text1" w:val="000000"/>
          <w:vertAlign w:val="superscript"/>
        </w:rPr>
        <w:t>3</w:t>
      </w:r>
      <w:r>
        <w:rPr>
          <w:color w:themeColor="text1" w:val="000000"/>
        </w:rPr>
        <w:t xml:space="preserve"> y</w:t>
      </w:r>
      <w:r>
        <w:rPr>
          <w:color w:themeColor="text1" w:val="000000"/>
          <w:vertAlign w:val="superscript"/>
        </w:rPr>
        <w:t>-1</w:t>
      </w:r>
      <w:r>
        <w:rPr>
          <w:color w:themeColor="text1" w:val="000000"/>
        </w:rPr>
        <w:t>), evapotranspiration (0.01 km</w:t>
      </w:r>
      <w:r>
        <w:rPr>
          <w:color w:themeColor="text1" w:val="000000"/>
          <w:vertAlign w:val="superscript"/>
        </w:rPr>
        <w:t>3</w:t>
      </w:r>
      <w:r>
        <w:rPr>
          <w:color w:themeColor="text1" w:val="000000"/>
        </w:rPr>
        <w:t xml:space="preserve"> y</w:t>
      </w:r>
      <w:r>
        <w:rPr>
          <w:color w:themeColor="text1" w:val="000000"/>
          <w:vertAlign w:val="superscript"/>
        </w:rPr>
        <w:t>-1</w:t>
      </w:r>
      <w:r>
        <w:rPr>
          <w:color w:themeColor="text1" w:val="000000"/>
        </w:rPr>
        <w:t>), and seepage (0.005 km</w:t>
      </w:r>
      <w:r>
        <w:rPr>
          <w:color w:themeColor="text1" w:val="000000"/>
          <w:vertAlign w:val="superscript"/>
        </w:rPr>
        <w:t>3</w:t>
      </w:r>
      <w:r>
        <w:rPr>
          <w:color w:themeColor="text1" w:val="000000"/>
        </w:rPr>
        <w:t xml:space="preserve"> y</w:t>
      </w:r>
      <w:r>
        <w:rPr>
          <w:color w:themeColor="text1" w:val="000000"/>
          <w:vertAlign w:val="superscript"/>
        </w:rPr>
        <w:t>-1</w:t>
      </w:r>
      <w:r>
        <w:rPr>
          <w:color w:themeColor="text1" w:val="000000"/>
        </w:rPr>
        <w:t xml:space="preserve">) were comparatively small (Figure 2-11). The updated Hydrologic Model accurately and reliably predicted daily, seasonal, annual, and inter-annual changes in flow-way outflow, volume, and depth. These changes were incorporated into the BGC Model as it evolved with project tasks. </w:t>
      </w:r>
    </w:p>
    <w:p>
      <w:pPr>
        <w:pStyle w:val="Normal"/>
        <w:rPr>
          <w:color w:themeColor="text1" w:val="000000"/>
        </w:rPr>
      </w:pPr>
      <w:r>
        <w:rPr>
          <w:color w:themeColor="text1" w:val="000000"/>
        </w:rPr>
        <mc:AlternateContent>
          <mc:Choice Requires="wps">
            <w:drawing>
              <wp:anchor behindDoc="0" distT="40640" distB="59690" distL="0" distR="128270" simplePos="0" locked="0" layoutInCell="0" allowOverlap="1" relativeHeight="78" wp14:anchorId="310F323C">
                <wp:simplePos x="0" y="0"/>
                <wp:positionH relativeFrom="margin">
                  <wp:align>left</wp:align>
                </wp:positionH>
                <wp:positionV relativeFrom="paragraph">
                  <wp:posOffset>339090</wp:posOffset>
                </wp:positionV>
                <wp:extent cx="5943600" cy="3390900"/>
                <wp:effectExtent l="0" t="5080" r="5080" b="5080"/>
                <wp:wrapSquare wrapText="bothSides"/>
                <wp:docPr id="53" name="Text Box 2"/>
                <a:graphic xmlns:a="http://schemas.openxmlformats.org/drawingml/2006/main">
                  <a:graphicData uri="http://schemas.microsoft.com/office/word/2010/wordprocessingShape">
                    <wps:wsp>
                      <wps:cNvSpPr/>
                      <wps:spPr>
                        <a:xfrm>
                          <a:off x="0" y="0"/>
                          <a:ext cx="5943600" cy="33908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3398520" cy="2893695"/>
                                  <wp:effectExtent l="0" t="0" r="0" b="0"/>
                                  <wp:docPr id="5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0" descr=""/>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3398520" cy="2893695"/>
                                          </a:xfrm>
                                          <a:prstGeom prst="rect">
                                            <a:avLst/>
                                          </a:prstGeom>
                                        </pic:spPr>
                                      </pic:pic>
                                    </a:graphicData>
                                  </a:graphic>
                                </wp:inline>
                              </w:drawing>
                            </w:r>
                          </w:p>
                          <w:p>
                            <w:pPr>
                              <w:pStyle w:val="Caption"/>
                              <w:widowControl/>
                              <w:bidi w:val="0"/>
                              <w:spacing w:lineRule="auto" w:line="276" w:before="0" w:after="60"/>
                              <w:jc w:val="center"/>
                              <w:rPr/>
                            </w:pPr>
                            <w:bookmarkStart w:id="70" w:name="_Toc181802653"/>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13</w:t>
                            </w:r>
                            <w:r>
                              <w:rPr/>
                              <w:fldChar w:fldCharType="end"/>
                            </w:r>
                            <w:r>
                              <w:rPr/>
                              <w:t>.  Average annual sources and sinks for the Hydrologic Model of STA-2 FW1.</w:t>
                            </w:r>
                            <w:bookmarkEnd w:id="70"/>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26.7pt;width:467.95pt;height:266.95pt;mso-wrap-style:square;v-text-anchor:top;mso-position-horizontal:left;mso-position-horizontal-relative:margin" wp14:anchorId="310F323C">
                <v:fill o:detectmouseclick="t" type="solid" color2="black"/>
                <v:stroke color="black" weight="9360" joinstyle="miter" endcap="flat"/>
                <v:textbox>
                  <w:txbxContent>
                    <w:p>
                      <w:pPr>
                        <w:pStyle w:val="FrameContents"/>
                        <w:jc w:val="center"/>
                        <w:rPr/>
                      </w:pPr>
                      <w:r>
                        <w:rPr/>
                        <w:drawing>
                          <wp:inline distT="0" distB="0" distL="0" distR="0">
                            <wp:extent cx="3398520" cy="2893695"/>
                            <wp:effectExtent l="0" t="0" r="0" b="0"/>
                            <wp:docPr id="5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0" descr=""/>
                                    <pic:cNvPicPr>
                                      <a:picLocks noChangeAspect="1" noChangeArrowheads="1"/>
                                    </pic:cNvPicPr>
                                  </pic:nvPicPr>
                                  <pic:blipFill>
                                    <a:blip r:embed="rId68">
                                      <a:extLst>
                                        <a:ext uri="{96DAC541-7B7A-43D3-8B79-37D633B846F1}">
                                          <asvg:svgBlip xmlns:asvg="http://schemas.microsoft.com/office/drawing/2016/SVG/main" r:embed="rId69"/>
                                        </a:ext>
                                      </a:extLst>
                                    </a:blip>
                                    <a:stretch>
                                      <a:fillRect/>
                                    </a:stretch>
                                  </pic:blipFill>
                                  <pic:spPr bwMode="auto">
                                    <a:xfrm>
                                      <a:off x="0" y="0"/>
                                      <a:ext cx="3398520" cy="2893695"/>
                                    </a:xfrm>
                                    <a:prstGeom prst="rect">
                                      <a:avLst/>
                                    </a:prstGeom>
                                  </pic:spPr>
                                </pic:pic>
                              </a:graphicData>
                            </a:graphic>
                          </wp:inline>
                        </w:drawing>
                      </w:r>
                    </w:p>
                    <w:p>
                      <w:pPr>
                        <w:pStyle w:val="Caption"/>
                        <w:widowControl/>
                        <w:bidi w:val="0"/>
                        <w:spacing w:lineRule="auto" w:line="276" w:before="0" w:after="60"/>
                        <w:jc w:val="center"/>
                        <w:rPr/>
                      </w:pPr>
                      <w:bookmarkStart w:id="71" w:name="_Toc181802653"/>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13</w:t>
                      </w:r>
                      <w:r>
                        <w:rPr/>
                        <w:fldChar w:fldCharType="end"/>
                      </w:r>
                      <w:r>
                        <w:rPr/>
                        <w:t>.  Average annual sources and sinks for the Hydrologic Model of STA-2 FW1.</w:t>
                      </w:r>
                      <w:bookmarkEnd w:id="71"/>
                    </w:p>
                  </w:txbxContent>
                </v:textbox>
                <w10:wrap type="square"/>
              </v:rect>
            </w:pict>
          </mc:Fallback>
        </mc:AlternateContent>
      </w:r>
    </w:p>
    <w:p>
      <w:pPr>
        <w:pStyle w:val="Normal"/>
        <w:rPr>
          <w:color w:themeColor="text1" w:val="000000"/>
        </w:rPr>
      </w:pPr>
      <w:r>
        <w:rPr>
          <w:color w:themeColor="text1" w:val="000000"/>
        </w:rPr>
      </w:r>
    </w:p>
    <w:p>
      <w:pPr>
        <w:pStyle w:val="Heading3"/>
        <w:rPr>
          <w:color w:themeColor="text1" w:val="000000"/>
        </w:rPr>
      </w:pPr>
      <w:bookmarkStart w:id="72" w:name="_Toc182252504"/>
      <w:r>
        <w:rPr>
          <w:color w:themeColor="text1" w:val="000000"/>
        </w:rPr>
        <w:t>Conceptual Model, Mass Balance, and Test Model (Tasks 8.2 and 8.3)</w:t>
      </w:r>
      <w:bookmarkEnd w:id="72"/>
    </w:p>
    <w:p>
      <w:pPr>
        <w:pStyle w:val="Normal"/>
        <w:rPr>
          <w:color w:themeColor="text1" w:val="000000"/>
        </w:rPr>
      </w:pPr>
      <w:r>
        <w:rPr>
          <w:color w:themeColor="text1" w:val="000000"/>
        </w:rPr>
        <w:t xml:space="preserve">The BGC Model required an updated conceptual model (Figure 2-1), the introduction of accurate predictions of daily volume and depth from the Hydrologic Model, and a mathematical approach to ensure mass balance among all sources vs sinks within and among the TP pools. The dynamic and correct simulation of volume and depth were key to establish the mass balance model structure. The result was a fully functioning BGC Test Model which conserved P mass. </w:t>
      </w:r>
    </w:p>
    <w:p>
      <w:pPr>
        <w:pStyle w:val="Normal"/>
        <w:rPr>
          <w:color w:themeColor="text1" w:val="000000"/>
        </w:rPr>
      </w:pPr>
      <w:r>
        <w:rPr>
          <w:color w:themeColor="text1" w:val="000000"/>
        </w:rPr>
        <w:t xml:space="preserve">The previous BGC conceptual and mathematical models combined floc and litter into a single P pool at the soil-water interface. The updated Phase III conceptual model separated PLITTER and PFLOC reconfigured their connections to other variables and applied different rates of decomposition (Figure 2-1; Table 2-6; Eqn. 6 and Eqn 7). This change to the conceptual model greatly improved compatibility with the CASM-STA (Section 3, this report). A few other changes were considered including the addition of a second calcareous type of periphyton. This option was reserved for future versions of the BGC Model. </w:t>
      </w:r>
    </w:p>
    <w:p>
      <w:pPr>
        <w:pStyle w:val="Normal"/>
        <w:rPr>
          <w:color w:themeColor="text1" w:val="000000"/>
        </w:rPr>
      </w:pPr>
      <w:r>
        <w:rPr>
          <w:color w:themeColor="text1" w:val="000000"/>
        </w:rPr>
        <w:t xml:space="preserve">The BGC Test Model was constructed using most of the components from the Phase II model (temperature and light models, parameters and ratios, calculators and integrators, formulations for primary producers). Each state variable was introduced and evaluated sequentially before advancing to the next. Water column phytoplankton, POP, DOP, DIP, and PIP pools were connected to the hydrologic inputs and outputs through loadings and redefined using new mathematical code which ensured that: a) the mass was never below the minimum amount available; and b) the net source and sink processes balanced. </w:t>
      </w:r>
    </w:p>
    <w:p>
      <w:pPr>
        <w:pStyle w:val="Normal"/>
        <w:rPr>
          <w:color w:themeColor="text1" w:val="000000"/>
        </w:rPr>
      </w:pPr>
      <w:r>
        <w:rPr>
          <w:color w:themeColor="text1" w:val="000000"/>
        </w:rPr>
        <w:t>The Phase II BGC Model had an instability that resulted when DIPW concentrations were at or near zero. The sink terms continued to calculate losses when there was insufficient DIPW available in the compartment. This was problematic because it sometimes created negative concentrations and greatly influenced water column and soil PIP, which were totally driven by DIP sorption-desorption processes. These problems were fixed for the BGC Test Model in Phase III.</w:t>
      </w:r>
    </w:p>
    <w:p>
      <w:pPr>
        <w:pStyle w:val="Normal"/>
        <w:rPr>
          <w:color w:themeColor="text1" w:val="000000"/>
        </w:rPr>
      </w:pPr>
      <w:r>
        <w:rPr>
          <w:color w:themeColor="text1" w:val="000000"/>
        </w:rPr>
        <w:t>The solution was to pre-calculate each of the loss functions for a particular P state variable. For example, recall that the DIP</w:t>
      </w:r>
      <w:r>
        <w:rPr>
          <w:color w:themeColor="text1" w:val="000000"/>
          <w:vertAlign w:val="subscript"/>
        </w:rPr>
        <w:t>W</w:t>
      </w:r>
      <w:r>
        <w:rPr>
          <w:color w:themeColor="text1" w:val="000000"/>
        </w:rPr>
        <w:t xml:space="preserve"> difference equation had five separate sink terms: DIP</w:t>
      </w:r>
      <w:r>
        <w:rPr>
          <w:color w:themeColor="text1" w:val="000000"/>
          <w:vertAlign w:val="subscript"/>
        </w:rPr>
        <w:t>WSPOUT</w:t>
      </w:r>
      <w:r>
        <w:rPr>
          <w:color w:themeColor="text1" w:val="000000"/>
        </w:rPr>
        <w:t>, DIP</w:t>
      </w:r>
      <w:r>
        <w:rPr>
          <w:color w:themeColor="text1" w:val="000000"/>
          <w:vertAlign w:val="subscript"/>
        </w:rPr>
        <w:t>WOUT</w:t>
      </w:r>
      <w:r>
        <w:rPr>
          <w:color w:themeColor="text1" w:val="000000"/>
        </w:rPr>
        <w:t>, DIP</w:t>
      </w:r>
      <w:r>
        <w:rPr>
          <w:color w:themeColor="text1" w:val="000000"/>
          <w:vertAlign w:val="subscript"/>
        </w:rPr>
        <w:t>WSB</w:t>
      </w:r>
      <w:r>
        <w:rPr>
          <w:color w:themeColor="text1" w:val="000000"/>
        </w:rPr>
        <w:t>, DIP</w:t>
      </w:r>
      <w:r>
        <w:rPr>
          <w:color w:themeColor="text1" w:val="000000"/>
          <w:vertAlign w:val="subscript"/>
        </w:rPr>
        <w:t>WPRC</w:t>
      </w:r>
      <w:r>
        <w:rPr>
          <w:color w:themeColor="text1" w:val="000000"/>
        </w:rPr>
        <w:t>, and DIP</w:t>
      </w:r>
      <w:r>
        <w:rPr>
          <w:color w:themeColor="text1" w:val="000000"/>
          <w:vertAlign w:val="subscript"/>
        </w:rPr>
        <w:t>WUP</w:t>
      </w:r>
      <w:r>
        <w:rPr>
          <w:color w:themeColor="text1" w:val="000000"/>
        </w:rPr>
        <w:t xml:space="preserve"> (Figure 2-12; Eqn. 3). </w:t>
      </w:r>
    </w:p>
    <w:p>
      <w:pPr>
        <w:pStyle w:val="Normal"/>
        <w:rPr>
          <w:color w:themeColor="text1" w:val="000000"/>
        </w:rPr>
      </w:pPr>
      <w:r>
        <w:rPr>
          <w:color w:themeColor="text1" w:val="000000"/>
        </w:rPr>
      </w:r>
    </w:p>
    <w:p>
      <w:pPr>
        <w:pStyle w:val="Normal"/>
        <w:rPr>
          <w:color w:themeColor="text1" w:val="000000"/>
        </w:rPr>
      </w:pPr>
      <w:r>
        <w:rPr/>
      </w:r>
      <m:oMathPara xmlns:m="http://schemas.openxmlformats.org/officeDocument/2006/math">
        <m:oMathParaPr>
          <m:jc m:val="left"/>
        </m:oMathParaPr>
        <m:oMath>
          <m:eqArr>
            <m:e>
              <m:r>
                <w:rPr>
                  <w:rFonts w:ascii="Cambria Math" w:hAnsi="Cambria Math"/>
                </w:rPr>
                <m:t xml:space="preserve">(</m:t>
              </m:r>
              <m:r>
                <w:rPr>
                  <w:rFonts w:ascii="Cambria Math" w:hAnsi="Cambria Math"/>
                </w:rPr>
                <m:t xml:space="preserve">3</m:t>
              </m:r>
              <m:r>
                <w:rPr>
                  <w:rFonts w:ascii="Cambria Math" w:hAnsi="Cambria Math"/>
                </w:rPr>
                <m:t xml:space="preserve">)</m:t>
              </m:r>
              <m:f>
                <m:num>
                  <m:r>
                    <w:rPr>
                      <w:rFonts w:ascii="Cambria Math" w:hAnsi="Cambria Math"/>
                    </w:rPr>
                    <m:t xml:space="preserve">Δ</m:t>
                  </m:r>
                  <m:sSub>
                    <m:e>
                      <m:r>
                        <m:rPr>
                          <m:lit/>
                          <m:nor/>
                        </m:rPr>
                        <w:rPr>
                          <w:rFonts w:ascii="Cambria Math" w:hAnsi="Cambria Math"/>
                        </w:rPr>
                        <m:t xml:space="preserve">DIP</m:t>
                      </m:r>
                    </m:e>
                    <m:sub>
                      <m:r>
                        <w:rPr>
                          <w:rFonts w:ascii="Cambria Math" w:hAnsi="Cambria Math"/>
                        </w:rPr>
                        <m:t xml:space="preserve">W</m:t>
                      </m:r>
                    </m:sub>
                  </m:sSub>
                </m:num>
                <m:den>
                  <m:r>
                    <w:rPr>
                      <w:rFonts w:ascii="Cambria Math" w:hAnsi="Cambria Math"/>
                    </w:rPr>
                    <m:t xml:space="preserve">Δt</m:t>
                  </m:r>
                </m:den>
              </m:f>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WIN</m:t>
                  </m:r>
                </m:sub>
              </m:sSub>
              <m:r>
                <w:rPr>
                  <w:rFonts w:ascii="Cambria Math" w:hAnsi="Cambria Math"/>
                </w:rPr>
                <m:t xml:space="preserve">+</m:t>
              </m:r>
              <m:sSub>
                <m:e>
                  <m:r>
                    <m:rPr>
                      <m:lit/>
                      <m:nor/>
                    </m:rPr>
                    <w:rPr>
                      <w:rFonts w:ascii="Cambria Math" w:hAnsi="Cambria Math"/>
                    </w:rPr>
                    <m:t xml:space="preserve">DOP</m:t>
                  </m:r>
                </m:e>
                <m:sub>
                  <m:r>
                    <m:rPr>
                      <m:lit/>
                      <m:nor/>
                    </m:rPr>
                    <w:rPr>
                      <w:rFonts w:ascii="Cambria Math" w:hAnsi="Cambria Math"/>
                    </w:rPr>
                    <m:t xml:space="preserve">WREM</m:t>
                  </m:r>
                </m:sub>
              </m:sSub>
              <m:r>
                <w:rPr>
                  <w:rFonts w:ascii="Cambria Math" w:hAnsi="Cambria Math"/>
                </w:rPr>
                <m:t xml:space="preserve">+</m:t>
              </m:r>
              <m:sSub>
                <m:e>
                  <m:r>
                    <m:rPr>
                      <m:lit/>
                      <m:nor/>
                    </m:rPr>
                    <w:rPr>
                      <w:rFonts w:ascii="Cambria Math" w:hAnsi="Cambria Math"/>
                    </w:rPr>
                    <m:t xml:space="preserve">DOP</m:t>
                  </m:r>
                </m:e>
                <m:sub>
                  <m:r>
                    <m:rPr>
                      <m:lit/>
                      <m:nor/>
                    </m:rPr>
                    <w:rPr>
                      <w:rFonts w:ascii="Cambria Math" w:hAnsi="Cambria Math"/>
                    </w:rPr>
                    <m:t xml:space="preserve">WPHT</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SWX</m:t>
                  </m:r>
                </m:sub>
              </m:sSub>
              <m:r>
                <w:rPr>
                  <w:rFonts w:ascii="Cambria Math" w:hAnsi="Cambria Math"/>
                </w:rPr>
                <m:t xml:space="preserve">+</m:t>
              </m:r>
              <m:sSub>
                <m:e>
                  <m:r>
                    <m:rPr>
                      <m:lit/>
                      <m:nor/>
                    </m:rPr>
                    <w:rPr>
                      <w:rFonts w:ascii="Cambria Math" w:hAnsi="Cambria Math"/>
                    </w:rPr>
                    <m:t xml:space="preserve">PIP</m:t>
                  </m:r>
                </m:e>
                <m:sub>
                  <m:r>
                    <m:rPr>
                      <m:lit/>
                      <m:nor/>
                    </m:rPr>
                    <w:rPr>
                      <w:rFonts w:ascii="Cambria Math" w:hAnsi="Cambria Math"/>
                    </w:rPr>
                    <m:t xml:space="preserve">WDSB</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WGRZ</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WRAIN</m:t>
                  </m:r>
                </m:sub>
              </m:sSub>
            </m:e>
            <m:e>
              <m:sSub>
                <m:e>
                  <m:r>
                    <m:rPr>
                      <m:lit/>
                      <m:nor/>
                    </m:rPr>
                    <w:rPr>
                      <w:rFonts w:ascii="Cambria Math" w:hAnsi="Cambria Math"/>
                    </w:rPr>
                    <m:t xml:space="preserve">DIP</m:t>
                  </m:r>
                </m:e>
                <m:sub>
                  <m:r>
                    <m:rPr>
                      <m:lit/>
                      <m:nor/>
                    </m:rPr>
                    <w:rPr>
                      <w:rFonts w:ascii="Cambria Math" w:hAnsi="Cambria Math"/>
                    </w:rPr>
                    <m:t xml:space="preserve">WOUT</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WSB</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WPRC</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WUP</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WSP</m:t>
                  </m:r>
                </m:sub>
              </m:sSub>
            </m:e>
          </m:eqArr>
        </m:oMath>
      </m:oMathPara>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spacing w:lineRule="auto" w:line="240" w:before="0" w:after="0"/>
        <w:jc w:val="left"/>
        <w:rPr>
          <w:color w:themeColor="text1" w:val="000000"/>
        </w:rPr>
      </w:pPr>
      <w:r>
        <w:rPr>
          <w:color w:themeColor="text1" w:val="000000"/>
        </w:rPr>
      </w:r>
      <w:r>
        <w:br w:type="page"/>
      </w:r>
    </w:p>
    <w:p>
      <w:pPr>
        <w:pStyle w:val="Normal"/>
        <w:spacing w:before="0" w:after="120"/>
        <w:rPr>
          <w:color w:themeColor="text1" w:val="000000"/>
        </w:rPr>
      </w:pPr>
      <w:r>
        <w:rPr>
          <w:color w:themeColor="text1" w:val="000000"/>
        </w:rPr>
        <w:t>The base rates for the sink terms were calculated (DIP</w:t>
      </w:r>
      <w:r>
        <w:rPr>
          <w:color w:themeColor="text1" w:val="000000"/>
          <w:vertAlign w:val="subscript"/>
        </w:rPr>
        <w:t>WOUTC</w:t>
      </w:r>
      <w:r>
        <w:rPr>
          <w:color w:themeColor="text1" w:val="000000"/>
        </w:rPr>
        <w:t>, DIP</w:t>
      </w:r>
      <w:r>
        <w:rPr>
          <w:color w:themeColor="text1" w:val="000000"/>
          <w:vertAlign w:val="subscript"/>
        </w:rPr>
        <w:t>WSBC</w:t>
      </w:r>
      <w:r>
        <w:rPr>
          <w:color w:themeColor="text1" w:val="000000"/>
        </w:rPr>
        <w:t>, DIP</w:t>
      </w:r>
      <w:r>
        <w:rPr>
          <w:color w:themeColor="text1" w:val="000000"/>
          <w:vertAlign w:val="subscript"/>
        </w:rPr>
        <w:t>WPRCC</w:t>
      </w:r>
      <w:r>
        <w:rPr>
          <w:color w:themeColor="text1" w:val="000000"/>
        </w:rPr>
        <w:t>, DIP</w:t>
      </w:r>
      <w:r>
        <w:rPr>
          <w:color w:themeColor="text1" w:val="000000"/>
          <w:vertAlign w:val="subscript"/>
        </w:rPr>
        <w:t>WUPC</w:t>
      </w:r>
      <w:r>
        <w:rPr>
          <w:color w:themeColor="text1" w:val="000000"/>
        </w:rPr>
        <w:t>, DIP</w:t>
      </w:r>
      <w:r>
        <w:rPr>
          <w:color w:themeColor="text1" w:val="000000"/>
          <w:vertAlign w:val="subscript"/>
        </w:rPr>
        <w:t>WSPC</w:t>
      </w:r>
      <w:r>
        <w:rPr>
          <w:color w:themeColor="text1" w:val="000000"/>
        </w:rPr>
        <w:t>), summed for the total loss from the DIP</w:t>
      </w:r>
      <w:r>
        <w:rPr>
          <w:color w:themeColor="text1" w:val="000000"/>
          <w:vertAlign w:val="subscript"/>
        </w:rPr>
        <w:t>W</w:t>
      </w:r>
      <w:r>
        <w:rPr>
          <w:color w:themeColor="text1" w:val="000000"/>
        </w:rPr>
        <w:t xml:space="preserve"> state variable every time step (DIP</w:t>
      </w:r>
      <w:r>
        <w:rPr>
          <w:color w:themeColor="text1" w:val="000000"/>
          <w:vertAlign w:val="subscript"/>
        </w:rPr>
        <w:t>WTLOSS</w:t>
      </w:r>
      <w:r>
        <w:rPr>
          <w:color w:themeColor="text1" w:val="000000"/>
        </w:rPr>
        <w:t>), and combined to calculate the fractional contributions for each (fDIP</w:t>
      </w:r>
      <w:r>
        <w:rPr>
          <w:color w:themeColor="text1" w:val="000000"/>
          <w:vertAlign w:val="subscript"/>
        </w:rPr>
        <w:t>WOUT</w:t>
      </w:r>
      <w:r>
        <w:rPr>
          <w:color w:themeColor="text1" w:val="000000"/>
        </w:rPr>
        <w:t>, fDIP</w:t>
      </w:r>
      <w:r>
        <w:rPr>
          <w:color w:themeColor="text1" w:val="000000"/>
          <w:vertAlign w:val="subscript"/>
        </w:rPr>
        <w:t>WSB</w:t>
      </w:r>
      <w:r>
        <w:rPr>
          <w:color w:themeColor="text1" w:val="000000"/>
        </w:rPr>
        <w:t>, fDIP</w:t>
      </w:r>
      <w:r>
        <w:rPr>
          <w:color w:themeColor="text1" w:val="000000"/>
          <w:vertAlign w:val="subscript"/>
        </w:rPr>
        <w:t>WPRC</w:t>
      </w:r>
      <w:r>
        <w:rPr>
          <w:color w:themeColor="text1" w:val="000000"/>
        </w:rPr>
        <w:t>, fDIP</w:t>
      </w:r>
      <w:r>
        <w:rPr>
          <w:color w:themeColor="text1" w:val="000000"/>
          <w:vertAlign w:val="subscript"/>
        </w:rPr>
        <w:t>WUP</w:t>
      </w:r>
      <w:r>
        <w:rPr>
          <w:color w:themeColor="text1" w:val="000000"/>
        </w:rPr>
        <w:t>, fDIP</w:t>
      </w:r>
      <w:r>
        <w:rPr>
          <w:color w:themeColor="text1" w:val="000000"/>
          <w:vertAlign w:val="subscript"/>
        </w:rPr>
        <w:t>WSP</w:t>
      </w:r>
      <w:r>
        <w:rPr>
          <w:color w:themeColor="text1" w:val="000000"/>
        </w:rPr>
        <w:t xml:space="preserve">). </w:t>
      </w:r>
    </w:p>
    <w:p>
      <w:pPr>
        <w:pStyle w:val="Normal"/>
        <w:rPr>
          <w:color w:themeColor="text1" w:val="000000"/>
        </w:rPr>
      </w:pPr>
      <w:r>
        <w:rPr>
          <w:color w:themeColor="text1" w:val="000000"/>
        </w:rPr>
      </w:r>
    </w:p>
    <w:p>
      <w:pPr>
        <w:pStyle w:val="Normal"/>
        <w:jc w:val="center"/>
        <w:rPr>
          <w:color w:themeColor="text1" w:val="000000"/>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4</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WOUTC</m:t>
              </m:r>
            </m:sub>
          </m:sSub>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m:t>
          </m:r>
          <m:r>
            <w:rPr>
              <w:rFonts w:ascii="Cambria Math" w:hAnsi="Cambria Math"/>
            </w:rPr>
            <m:t xml:space="preserve">(</m:t>
          </m:r>
          <m:f>
            <m:num>
              <m:sSub>
                <m:e>
                  <m:r>
                    <w:rPr>
                      <w:rFonts w:ascii="Cambria Math" w:hAnsi="Cambria Math"/>
                    </w:rPr>
                    <m:t xml:space="preserve">Q</m:t>
                  </m:r>
                </m:e>
                <m:sub>
                  <m:r>
                    <m:rPr>
                      <m:lit/>
                      <m:nor/>
                    </m:rPr>
                    <w:rPr>
                      <w:rFonts w:ascii="Cambria Math" w:hAnsi="Cambria Math"/>
                    </w:rPr>
                    <m:t xml:space="preserve">OUT</m:t>
                  </m:r>
                </m:sub>
              </m:sSub>
            </m:num>
            <m:den>
              <m:sSub>
                <m:e>
                  <m:r>
                    <w:rPr>
                      <w:rFonts w:ascii="Cambria Math" w:hAnsi="Cambria Math"/>
                    </w:rPr>
                    <m:t xml:space="preserve">V</m:t>
                  </m:r>
                </m:e>
                <m:sub>
                  <m:r>
                    <m:rPr>
                      <m:lit/>
                      <m:nor/>
                    </m:rPr>
                    <w:rPr>
                      <w:rFonts w:ascii="Cambria Math" w:hAnsi="Cambria Math"/>
                    </w:rPr>
                    <m:t xml:space="preserve">MOD</m:t>
                  </m:r>
                </m:sub>
              </m:sSub>
            </m:den>
          </m:f>
          <m:r>
            <w:rPr>
              <w:rFonts w:ascii="Cambria Math" w:hAnsi="Cambria Math"/>
            </w:rPr>
            <m:t xml:space="preserve">)</m:t>
          </m:r>
        </m:oMath>
      </m:oMathPara>
    </w:p>
    <w:p>
      <w:pPr>
        <w:pStyle w:val="Normal"/>
        <w:jc w:val="center"/>
        <w:rPr>
          <w:color w:themeColor="text1" w:val="000000"/>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5</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WSBC</m:t>
              </m:r>
            </m:sub>
          </m:sSub>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m:t>
          </m:r>
          <m:sSub>
            <m:e>
              <m:r>
                <m:rPr>
                  <m:lit/>
                  <m:nor/>
                </m:rPr>
                <w:rPr>
                  <w:rFonts w:ascii="Cambria Math" w:hAnsi="Cambria Math"/>
                </w:rPr>
                <m:t xml:space="preserve">SB</m:t>
              </m:r>
            </m:e>
            <m:sub>
              <m:r>
                <m:rPr>
                  <m:lit/>
                  <m:nor/>
                </m:rPr>
                <w:rPr>
                  <w:rFonts w:ascii="Cambria Math" w:hAnsi="Cambria Math"/>
                </w:rPr>
                <m:t xml:space="preserve">DAY</m:t>
              </m:r>
            </m:sub>
          </m:sSub>
        </m:oMath>
      </m:oMathPara>
    </w:p>
    <w:p>
      <w:pPr>
        <w:pStyle w:val="Normal"/>
        <w:jc w:val="center"/>
        <w:rPr>
          <w:color w:themeColor="text1" w:val="000000"/>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6</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WPRCC</m:t>
              </m:r>
            </m:sub>
          </m:sSub>
          <m:r>
            <w:rPr>
              <w:rFonts w:ascii="Cambria Math" w:hAnsi="Cambria Math"/>
            </w:rPr>
            <m:t xml:space="preserve">=</m:t>
          </m:r>
          <m:sSub>
            <m:e>
              <m:r>
                <w:rPr>
                  <w:rFonts w:ascii="Cambria Math" w:hAnsi="Cambria Math"/>
                </w:rPr>
                <m:t xml:space="preserve">G</m:t>
              </m:r>
            </m:e>
            <m:sub>
              <m:r>
                <m:rPr>
                  <m:lit/>
                  <m:nor/>
                </m:rPr>
                <w:rPr>
                  <w:rFonts w:ascii="Cambria Math" w:hAnsi="Cambria Math"/>
                </w:rPr>
                <m:t xml:space="preserve">TOTAL</m:t>
              </m:r>
            </m:sub>
          </m:sSub>
          <m:r>
            <w:rPr>
              <w:rFonts w:ascii="Cambria Math" w:hAnsi="Cambria Math"/>
            </w:rPr>
            <m:t xml:space="preserve">∗</m:t>
          </m:r>
          <m:sSub>
            <m:e>
              <m:r>
                <w:rPr>
                  <w:rFonts w:ascii="Cambria Math" w:hAnsi="Cambria Math"/>
                </w:rPr>
                <m:t xml:space="preserve">a</m:t>
              </m:r>
            </m:e>
            <m:sub>
              <m:r>
                <m:rPr>
                  <m:lit/>
                  <m:nor/>
                </m:rPr>
                <w:rPr>
                  <w:rFonts w:ascii="Cambria Math" w:hAnsi="Cambria Math"/>
                </w:rPr>
                <m:t xml:space="preserve">PRC</m:t>
              </m:r>
            </m:sub>
          </m:sSub>
        </m:oMath>
      </m:oMathPara>
    </w:p>
    <w:p>
      <w:pPr>
        <w:pStyle w:val="Normal"/>
        <w:jc w:val="center"/>
        <w:rPr>
          <w:color w:themeColor="text1" w:val="000000"/>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7</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WUPC</m:t>
              </m:r>
            </m:sub>
          </m:sSub>
          <m:r>
            <w:rPr>
              <w:rFonts w:ascii="Cambria Math" w:hAnsi="Cambria Math"/>
            </w:rPr>
            <m:t xml:space="preserve">=</m:t>
          </m:r>
          <m:r>
            <w:rPr>
              <w:rFonts w:ascii="Cambria Math" w:hAnsi="Cambria Math"/>
            </w:rPr>
            <m:t xml:space="preserve">[</m:t>
          </m:r>
          <m:r>
            <w:rPr>
              <w:rFonts w:ascii="Cambria Math" w:hAnsi="Cambria Math"/>
            </w:rPr>
            <m:t xml:space="preserve">(</m:t>
          </m:r>
          <m:f>
            <m:num>
              <m:sSub>
                <m:e>
                  <m:r>
                    <w:rPr>
                      <w:rFonts w:ascii="Cambria Math" w:hAnsi="Cambria Math"/>
                    </w:rPr>
                    <m:t xml:space="preserve">C</m:t>
                  </m:r>
                </m:e>
                <m:sub>
                  <m:r>
                    <m:rPr>
                      <m:lit/>
                      <m:nor/>
                    </m:rPr>
                    <w:rPr>
                      <w:rFonts w:ascii="Cambria Math" w:hAnsi="Cambria Math"/>
                    </w:rPr>
                    <m:t xml:space="preserve">PERIG</m:t>
                  </m:r>
                </m:sub>
              </m:sSub>
            </m:num>
            <m:den>
              <m:sSub>
                <m:e>
                  <m:r>
                    <m:rPr>
                      <m:lit/>
                      <m:nor/>
                    </m:rPr>
                    <w:rPr>
                      <w:rFonts w:ascii="Cambria Math" w:hAnsi="Cambria Math"/>
                    </w:rPr>
                    <m:t xml:space="preserve">CP</m:t>
                  </m:r>
                </m:e>
                <m:sub>
                  <m:r>
                    <m:rPr>
                      <m:lit/>
                      <m:nor/>
                    </m:rPr>
                    <w:rPr>
                      <w:rFonts w:ascii="Cambria Math" w:hAnsi="Cambria Math"/>
                    </w:rPr>
                    <m:t xml:space="preserve">PERI</m:t>
                  </m:r>
                </m:sub>
              </m:sSub>
            </m:den>
          </m:f>
          <m:r>
            <w:rPr>
              <w:rFonts w:ascii="Cambria Math" w:hAnsi="Cambria Math"/>
            </w:rPr>
            <m:t xml:space="preserve">)</m:t>
          </m:r>
          <m:r>
            <w:rPr>
              <w:rFonts w:ascii="Cambria Math" w:hAnsi="Cambria Math"/>
            </w:rPr>
            <m:t xml:space="preserve">+</m:t>
          </m:r>
          <m:r>
            <w:rPr>
              <w:rFonts w:ascii="Cambria Math" w:hAnsi="Cambria Math"/>
            </w:rPr>
            <m:t xml:space="preserve">(</m:t>
          </m:r>
          <m:f>
            <m:num>
              <m:sSub>
                <m:e>
                  <m:r>
                    <w:rPr>
                      <w:rFonts w:ascii="Cambria Math" w:hAnsi="Cambria Math"/>
                    </w:rPr>
                    <m:t xml:space="preserve">C</m:t>
                  </m:r>
                </m:e>
                <m:sub>
                  <m:r>
                    <m:rPr>
                      <m:lit/>
                      <m:nor/>
                    </m:rPr>
                    <w:rPr>
                      <w:rFonts w:ascii="Cambria Math" w:hAnsi="Cambria Math"/>
                    </w:rPr>
                    <m:t xml:space="preserve">PHYTOG</m:t>
                  </m:r>
                </m:sub>
              </m:sSub>
            </m:num>
            <m:den>
              <m:sSub>
                <m:e>
                  <m:r>
                    <m:rPr>
                      <m:lit/>
                      <m:nor/>
                    </m:rPr>
                    <w:rPr>
                      <w:rFonts w:ascii="Cambria Math" w:hAnsi="Cambria Math"/>
                    </w:rPr>
                    <m:t xml:space="preserve">CP</m:t>
                  </m:r>
                </m:e>
                <m:sub>
                  <m:r>
                    <m:rPr>
                      <m:lit/>
                      <m:nor/>
                    </m:rPr>
                    <w:rPr>
                      <w:rFonts w:ascii="Cambria Math" w:hAnsi="Cambria Math"/>
                    </w:rPr>
                    <m:t xml:space="preserve">PHYTO</m:t>
                  </m:r>
                </m:sub>
              </m:sSub>
            </m:den>
          </m:f>
          <m:r>
            <w:rPr>
              <w:rFonts w:ascii="Cambria Math" w:hAnsi="Cambria Math"/>
            </w:rPr>
            <m:t xml:space="preserve">)</m:t>
          </m:r>
          <m:r>
            <w:rPr>
              <w:rFonts w:ascii="Cambria Math" w:hAnsi="Cambria Math"/>
            </w:rPr>
            <m:t xml:space="preserve">+</m:t>
          </m:r>
          <m:r>
            <w:rPr>
              <w:rFonts w:ascii="Cambria Math" w:hAnsi="Cambria Math"/>
            </w:rPr>
            <m:t xml:space="preserve">(</m:t>
          </m:r>
          <m:f>
            <m:num>
              <m:sSub>
                <m:e>
                  <m:r>
                    <w:rPr>
                      <w:rFonts w:ascii="Cambria Math" w:hAnsi="Cambria Math"/>
                    </w:rPr>
                    <m:t xml:space="preserve">C</m:t>
                  </m:r>
                </m:e>
                <m:sub>
                  <m:r>
                    <m:rPr>
                      <m:lit/>
                      <m:nor/>
                    </m:rPr>
                    <w:rPr>
                      <w:rFonts w:ascii="Cambria Math" w:hAnsi="Cambria Math"/>
                    </w:rPr>
                    <m:t xml:space="preserve">SAVG</m:t>
                  </m:r>
                </m:sub>
              </m:sSub>
            </m:num>
            <m:den>
              <m:sSub>
                <m:e>
                  <m:r>
                    <m:rPr>
                      <m:lit/>
                      <m:nor/>
                    </m:rPr>
                    <w:rPr>
                      <w:rFonts w:ascii="Cambria Math" w:hAnsi="Cambria Math"/>
                    </w:rPr>
                    <m:t xml:space="preserve">CP</m:t>
                  </m:r>
                </m:e>
                <m:sub>
                  <m:r>
                    <m:rPr>
                      <m:lit/>
                      <m:nor/>
                    </m:rPr>
                    <w:rPr>
                      <w:rFonts w:ascii="Cambria Math" w:hAnsi="Cambria Math"/>
                    </w:rPr>
                    <m:t xml:space="preserve">SAV</m:t>
                  </m:r>
                </m:sub>
              </m:sSub>
            </m:den>
          </m:f>
          <m:r>
            <w:rPr>
              <w:rFonts w:ascii="Cambria Math" w:hAnsi="Cambria Math"/>
            </w:rPr>
            <m:t xml:space="preserve">)</m:t>
          </m:r>
          <m:r>
            <w:rPr>
              <w:rFonts w:ascii="Cambria Math" w:hAnsi="Cambria Math"/>
            </w:rPr>
            <m:t xml:space="preserve">]</m:t>
          </m:r>
        </m:oMath>
      </m:oMathPara>
    </w:p>
    <w:p>
      <w:pPr>
        <w:pStyle w:val="Normal"/>
        <w:jc w:val="center"/>
        <w:rPr>
          <w:color w:themeColor="text1" w:val="000000"/>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8</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WSPC</m:t>
              </m:r>
            </m:sub>
          </m:sSub>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m:t>
          </m:r>
          <m:sSub>
            <m:e>
              <m:r>
                <w:rPr>
                  <w:rFonts w:ascii="Cambria Math" w:hAnsi="Cambria Math"/>
                </w:rPr>
                <m:t xml:space="preserve">Q</m:t>
              </m:r>
            </m:e>
            <m:sub>
              <m:r>
                <m:rPr>
                  <m:lit/>
                  <m:nor/>
                </m:rPr>
                <w:rPr>
                  <w:rFonts w:ascii="Cambria Math" w:hAnsi="Cambria Math"/>
                </w:rPr>
                <m:t xml:space="preserve">SP</m:t>
              </m:r>
            </m:sub>
          </m:sSub>
        </m:oMath>
      </m:oMathPara>
    </w:p>
    <w:p>
      <w:pPr>
        <w:pStyle w:val="Normal"/>
        <w:jc w:val="center"/>
        <w:rPr>
          <w:color w:themeColor="text1" w:val="000000"/>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9</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WTLOS</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WOUT</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WSB</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WPRC</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WUP</m:t>
              </m:r>
            </m:sub>
          </m:sSub>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WSP</m:t>
              </m:r>
            </m:sub>
          </m:sSub>
        </m:oMath>
      </m:oMathPara>
    </w:p>
    <w:p>
      <w:pPr>
        <w:pStyle w:val="Normal"/>
        <w:rPr>
          <w:color w:themeColor="text1" w:val="000000"/>
        </w:rPr>
      </w:pPr>
      <w:r>
        <w:rPr>
          <w:color w:themeColor="text1" w:val="000000"/>
        </w:rPr>
        <mc:AlternateContent>
          <mc:Choice Requires="wps">
            <w:drawing>
              <wp:anchor behindDoc="0" distT="40640" distB="67310" distL="0" distR="128270" simplePos="0" locked="0" layoutInCell="0" allowOverlap="1" relativeHeight="84" wp14:anchorId="3B2CD802">
                <wp:simplePos x="0" y="0"/>
                <wp:positionH relativeFrom="margin">
                  <wp:align>left</wp:align>
                </wp:positionH>
                <wp:positionV relativeFrom="paragraph">
                  <wp:posOffset>487680</wp:posOffset>
                </wp:positionV>
                <wp:extent cx="5943600" cy="3802380"/>
                <wp:effectExtent l="0" t="5080" r="5080" b="5080"/>
                <wp:wrapSquare wrapText="bothSides"/>
                <wp:docPr id="54" name="Text Box 2"/>
                <a:graphic xmlns:a="http://schemas.openxmlformats.org/drawingml/2006/main">
                  <a:graphicData uri="http://schemas.microsoft.com/office/word/2010/wordprocessingShape">
                    <wps:wsp>
                      <wps:cNvSpPr/>
                      <wps:spPr>
                        <a:xfrm>
                          <a:off x="0" y="0"/>
                          <a:ext cx="5943600" cy="38023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3869055" cy="3200400"/>
                                  <wp:effectExtent l="0" t="0" r="0" b="0"/>
                                  <wp:docPr id="56" name="Picture 23" descr="A diagram of a dip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3" descr="A diagram of a dip system&#10;&#10;Description automatically generated"/>
                                          <pic:cNvPicPr>
                                            <a:picLocks noChangeAspect="1" noChangeArrowheads="1"/>
                                          </pic:cNvPicPr>
                                        </pic:nvPicPr>
                                        <pic:blipFill>
                                          <a:blip r:embed="rId70"/>
                                          <a:stretch>
                                            <a:fillRect/>
                                          </a:stretch>
                                        </pic:blipFill>
                                        <pic:spPr bwMode="auto">
                                          <a:xfrm>
                                            <a:off x="0" y="0"/>
                                            <a:ext cx="3869055" cy="3200400"/>
                                          </a:xfrm>
                                          <a:prstGeom prst="rect">
                                            <a:avLst/>
                                          </a:prstGeom>
                                        </pic:spPr>
                                      </pic:pic>
                                    </a:graphicData>
                                  </a:graphic>
                                </wp:inline>
                              </w:drawing>
                            </w:r>
                          </w:p>
                          <w:p>
                            <w:pPr>
                              <w:pStyle w:val="Caption"/>
                              <w:widowControl/>
                              <w:bidi w:val="0"/>
                              <w:spacing w:lineRule="auto" w:line="276" w:before="0" w:after="60"/>
                              <w:jc w:val="center"/>
                              <w:rPr/>
                            </w:pPr>
                            <w:bookmarkStart w:id="73" w:name="_Toc18180265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14</w:t>
                            </w:r>
                            <w:r>
                              <w:rPr/>
                              <w:fldChar w:fldCharType="end"/>
                            </w:r>
                            <w:r>
                              <w:rPr/>
                              <w:t>.  Conceptual annual DIPW budget.  Arrows are annually summed rates in g P m</w:t>
                            </w:r>
                            <w:r>
                              <w:rPr>
                                <w:vertAlign w:val="superscript"/>
                              </w:rPr>
                              <w:t>-2</w:t>
                            </w:r>
                            <w:r>
                              <w:rPr/>
                              <w:t xml:space="preserve"> y</w:t>
                            </w:r>
                            <w:r>
                              <w:rPr>
                                <w:vertAlign w:val="superscript"/>
                              </w:rPr>
                              <w:t>-1</w:t>
                            </w:r>
                            <w:r>
                              <w:rPr/>
                              <w:t>.</w:t>
                            </w:r>
                            <w:bookmarkEnd w:id="73"/>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38.4pt;width:467.95pt;height:299.35pt;mso-wrap-style:square;v-text-anchor:top;mso-position-horizontal:left;mso-position-horizontal-relative:margin" wp14:anchorId="3B2CD802">
                <v:fill o:detectmouseclick="t" type="solid" color2="black"/>
                <v:stroke color="black" weight="9360" joinstyle="miter" endcap="flat"/>
                <v:textbox>
                  <w:txbxContent>
                    <w:p>
                      <w:pPr>
                        <w:pStyle w:val="FrameContents"/>
                        <w:jc w:val="center"/>
                        <w:rPr/>
                      </w:pPr>
                      <w:r>
                        <w:rPr/>
                        <w:drawing>
                          <wp:inline distT="0" distB="0" distL="0" distR="0">
                            <wp:extent cx="3869055" cy="3200400"/>
                            <wp:effectExtent l="0" t="0" r="0" b="0"/>
                            <wp:docPr id="57" name="Picture 23" descr="A diagram of a dip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3" descr="A diagram of a dip system&#10;&#10;Description automatically generated"/>
                                    <pic:cNvPicPr>
                                      <a:picLocks noChangeAspect="1" noChangeArrowheads="1"/>
                                    </pic:cNvPicPr>
                                  </pic:nvPicPr>
                                  <pic:blipFill>
                                    <a:blip r:embed="rId71"/>
                                    <a:stretch>
                                      <a:fillRect/>
                                    </a:stretch>
                                  </pic:blipFill>
                                  <pic:spPr bwMode="auto">
                                    <a:xfrm>
                                      <a:off x="0" y="0"/>
                                      <a:ext cx="3869055" cy="3200400"/>
                                    </a:xfrm>
                                    <a:prstGeom prst="rect">
                                      <a:avLst/>
                                    </a:prstGeom>
                                  </pic:spPr>
                                </pic:pic>
                              </a:graphicData>
                            </a:graphic>
                          </wp:inline>
                        </w:drawing>
                      </w:r>
                    </w:p>
                    <w:p>
                      <w:pPr>
                        <w:pStyle w:val="Caption"/>
                        <w:widowControl/>
                        <w:bidi w:val="0"/>
                        <w:spacing w:lineRule="auto" w:line="276" w:before="0" w:after="60"/>
                        <w:jc w:val="center"/>
                        <w:rPr/>
                      </w:pPr>
                      <w:bookmarkStart w:id="74" w:name="_Toc18180265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14</w:t>
                      </w:r>
                      <w:r>
                        <w:rPr/>
                        <w:fldChar w:fldCharType="end"/>
                      </w:r>
                      <w:r>
                        <w:rPr/>
                        <w:t>.  Conceptual annual DIPW budget.  Arrows are annually summed rates in g P m</w:t>
                      </w:r>
                      <w:r>
                        <w:rPr>
                          <w:vertAlign w:val="superscript"/>
                        </w:rPr>
                        <w:t>-2</w:t>
                      </w:r>
                      <w:r>
                        <w:rPr/>
                        <w:t xml:space="preserve"> y</w:t>
                      </w:r>
                      <w:r>
                        <w:rPr>
                          <w:vertAlign w:val="superscript"/>
                        </w:rPr>
                        <w:t>-1</w:t>
                      </w:r>
                      <w:r>
                        <w:rPr/>
                        <w:t>.</w:t>
                      </w:r>
                      <w:bookmarkEnd w:id="74"/>
                    </w:p>
                  </w:txbxContent>
                </v:textbox>
                <w10:wrap type="square"/>
              </v:rect>
            </w:pict>
          </mc:Fallback>
        </mc:AlternateContent>
      </w:r>
    </w:p>
    <w:p>
      <w:pPr>
        <w:pStyle w:val="Normal"/>
        <w:rPr>
          <w:color w:themeColor="text1" w:val="000000"/>
          <w:sz w:val="32"/>
          <w:szCs w:val="32"/>
        </w:rPr>
      </w:pPr>
      <w:r>
        <w:rPr>
          <w:color w:themeColor="text1" w:val="000000"/>
        </w:rPr>
        <w:t>The resulting equations for the sink terms were structured as conditional statements (Equations 10 through 14). If DIP</w:t>
      </w:r>
      <w:r>
        <w:rPr>
          <w:color w:themeColor="text1" w:val="000000"/>
          <w:vertAlign w:val="subscript"/>
        </w:rPr>
        <w:t>W</w:t>
      </w:r>
      <w:r>
        <w:rPr>
          <w:color w:themeColor="text1" w:val="000000"/>
        </w:rPr>
        <w:t xml:space="preserve"> (g P m</w:t>
      </w:r>
      <w:r>
        <w:rPr>
          <w:color w:themeColor="text1" w:val="000000"/>
          <w:vertAlign w:val="superscript"/>
        </w:rPr>
        <w:t>-3</w:t>
      </w:r>
      <w:r>
        <w:rPr>
          <w:color w:themeColor="text1" w:val="000000"/>
        </w:rPr>
        <w:t>) was sufficient, then the loss rate (g P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was the product of available DIP</w:t>
      </w:r>
      <w:r>
        <w:rPr>
          <w:color w:themeColor="text1" w:val="000000"/>
          <w:vertAlign w:val="subscript"/>
        </w:rPr>
        <w:t>W</w:t>
      </w:r>
      <w:r>
        <w:rPr>
          <w:color w:themeColor="text1" w:val="000000"/>
        </w:rPr>
        <w:t xml:space="preserve"> or the calculated loss rate (e.g. DIP</w:t>
      </w:r>
      <w:r>
        <w:rPr>
          <w:color w:themeColor="text1" w:val="000000"/>
          <w:vertAlign w:val="subscript"/>
        </w:rPr>
        <w:t>WOUTC</w:t>
      </w:r>
      <w:r>
        <w:rPr>
          <w:color w:themeColor="text1" w:val="000000"/>
        </w:rPr>
        <w:t>), and the fractional contribution to the total loss from the state variable each time step (e.g. fDIP</w:t>
      </w:r>
      <w:r>
        <w:rPr>
          <w:color w:themeColor="text1" w:val="000000"/>
          <w:vertAlign w:val="subscript"/>
        </w:rPr>
        <w:t>WOUT</w:t>
      </w:r>
      <w:r>
        <w:rPr>
          <w:color w:themeColor="text1" w:val="000000"/>
        </w:rPr>
        <w:t xml:space="preserve">). </w:t>
      </w:r>
    </w:p>
    <w:p>
      <w:pPr>
        <w:pStyle w:val="Normal"/>
        <w:rPr>
          <w:color w:themeColor="text1" w:val="000000"/>
          <w:sz w:val="32"/>
          <w:szCs w:val="32"/>
        </w:rPr>
      </w:pPr>
      <w:r>
        <w:rPr/>
      </w:r>
      <m:oMathPara xmlns:m="http://schemas.openxmlformats.org/officeDocument/2006/math">
        <m:oMathParaPr>
          <m:jc m:val="left"/>
        </m:oMathParaPr>
        <m:oMath>
          <m:r>
            <w:rPr>
              <w:rFonts w:ascii="Cambria Math" w:hAnsi="Cambria Math"/>
            </w:rPr>
            <m:t xml:space="preserve">(</m:t>
          </m:r>
          <m:r>
            <m:rPr>
              <m:lit/>
              <m:nor/>
            </m:rPr>
            <w:rPr>
              <w:rFonts w:ascii="Cambria Math" w:hAnsi="Cambria Math"/>
            </w:rPr>
            <m:t xml:space="preserve">10</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WOUT</m:t>
              </m:r>
            </m:sub>
          </m:sSub>
          <m:r>
            <w:rPr>
              <w:rFonts w:ascii="Cambria Math" w:hAnsi="Cambria Math"/>
            </w:rPr>
            <m:t xml:space="preserve">=</m:t>
          </m:r>
          <m:r>
            <m:rPr>
              <m:lit/>
              <m:nor/>
            </m:rPr>
            <w:rPr>
              <w:rFonts w:ascii="Cambria Math" w:hAnsi="Cambria Math"/>
            </w:rPr>
            <m:t xml:space="preserve">IF</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&gt;</m:t>
          </m:r>
          <m:sSub>
            <m:e>
              <m:r>
                <m:rPr>
                  <m:lit/>
                  <m:nor/>
                </m:rPr>
                <w:rPr>
                  <w:rFonts w:ascii="Cambria Math" w:hAnsi="Cambria Math"/>
                </w:rPr>
                <m:t xml:space="preserve">DIP</m:t>
              </m:r>
            </m:e>
            <m:sub>
              <m:r>
                <m:rPr>
                  <m:lit/>
                  <m:nor/>
                </m:rPr>
                <w:rPr>
                  <w:rFonts w:ascii="Cambria Math" w:hAnsi="Cambria Math"/>
                </w:rPr>
                <m:t xml:space="preserve">WOUTC</m:t>
              </m:r>
            </m:sub>
          </m:sSub>
          <m:r>
            <w:rPr>
              <w:rFonts w:ascii="Cambria Math" w:hAnsi="Cambria Math"/>
            </w:rPr>
            <m:t xml:space="preserve">)</m:t>
          </m:r>
          <m:r>
            <m:rPr>
              <m:lit/>
              <m:nor/>
            </m:rPr>
            <w:rPr>
              <w:rFonts w:ascii="Cambria Math" w:hAnsi="Cambria Math"/>
            </w:rPr>
            <m:t xml:space="preserve">THEN</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WOUT</m:t>
              </m:r>
            </m:sub>
          </m:sSub>
          <m:r>
            <w:rPr>
              <w:rFonts w:ascii="Cambria Math" w:hAnsi="Cambria Math"/>
            </w:rPr>
            <m:t xml:space="preserve">)</m:t>
          </m:r>
          <m:r>
            <m:rPr>
              <m:lit/>
              <m:nor/>
            </m:rPr>
            <w:rPr>
              <w:rFonts w:ascii="Cambria Math" w:hAnsi="Cambria Math"/>
            </w:rPr>
            <m:t xml:space="preserve">ELSE</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WOUTC</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WOUT</m:t>
              </m:r>
            </m:sub>
          </m:sSub>
          <m:r>
            <w:rPr>
              <w:rFonts w:ascii="Cambria Math" w:hAnsi="Cambria Math"/>
            </w:rPr>
            <m:t xml:space="preserve">)</m:t>
          </m:r>
        </m:oMath>
      </m:oMathPara>
    </w:p>
    <w:p>
      <w:pPr>
        <w:pStyle w:val="Normal"/>
        <w:rPr>
          <w:color w:themeColor="text1" w:val="000000"/>
          <w:sz w:val="32"/>
          <w:szCs w:val="32"/>
        </w:rPr>
      </w:pPr>
      <w:r>
        <w:rPr/>
      </w:r>
      <m:oMathPara xmlns:m="http://schemas.openxmlformats.org/officeDocument/2006/math">
        <m:oMathParaPr>
          <m:jc m:val="left"/>
        </m:oMathParaPr>
        <m:oMath>
          <m:r>
            <w:rPr>
              <w:rFonts w:ascii="Cambria Math" w:hAnsi="Cambria Math"/>
            </w:rPr>
            <m:t xml:space="preserve">(</m:t>
          </m:r>
          <m:r>
            <m:rPr>
              <m:lit/>
              <m:nor/>
            </m:rPr>
            <w:rPr>
              <w:rFonts w:ascii="Cambria Math" w:hAnsi="Cambria Math"/>
            </w:rPr>
            <m:t xml:space="preserve">11</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WSB</m:t>
              </m:r>
            </m:sub>
          </m:sSub>
          <m:r>
            <w:rPr>
              <w:rFonts w:ascii="Cambria Math" w:hAnsi="Cambria Math"/>
            </w:rPr>
            <m:t xml:space="preserve">=</m:t>
          </m:r>
          <m:r>
            <m:rPr>
              <m:lit/>
              <m:nor/>
            </m:rPr>
            <w:rPr>
              <w:rFonts w:ascii="Cambria Math" w:hAnsi="Cambria Math"/>
            </w:rPr>
            <m:t xml:space="preserve">IF</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&gt;</m:t>
          </m:r>
          <m:sSub>
            <m:e>
              <m:r>
                <m:rPr>
                  <m:lit/>
                  <m:nor/>
                </m:rPr>
                <w:rPr>
                  <w:rFonts w:ascii="Cambria Math" w:hAnsi="Cambria Math"/>
                </w:rPr>
                <m:t xml:space="preserve">DIP</m:t>
              </m:r>
            </m:e>
            <m:sub>
              <m:r>
                <m:rPr>
                  <m:lit/>
                  <m:nor/>
                </m:rPr>
                <w:rPr>
                  <w:rFonts w:ascii="Cambria Math" w:hAnsi="Cambria Math"/>
                </w:rPr>
                <m:t xml:space="preserve">WSBC</m:t>
              </m:r>
            </m:sub>
          </m:sSub>
          <m:r>
            <w:rPr>
              <w:rFonts w:ascii="Cambria Math" w:hAnsi="Cambria Math"/>
            </w:rPr>
            <m:t xml:space="preserve">)</m:t>
          </m:r>
          <m:r>
            <m:rPr>
              <m:lit/>
              <m:nor/>
            </m:rPr>
            <w:rPr>
              <w:rFonts w:ascii="Cambria Math" w:hAnsi="Cambria Math"/>
            </w:rPr>
            <m:t xml:space="preserve">THEN</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WSB</m:t>
              </m:r>
            </m:sub>
          </m:sSub>
          <m:r>
            <w:rPr>
              <w:rFonts w:ascii="Cambria Math" w:hAnsi="Cambria Math"/>
            </w:rPr>
            <m:t xml:space="preserve">)</m:t>
          </m:r>
          <m:r>
            <m:rPr>
              <m:lit/>
              <m:nor/>
            </m:rPr>
            <w:rPr>
              <w:rFonts w:ascii="Cambria Math" w:hAnsi="Cambria Math"/>
            </w:rPr>
            <m:t xml:space="preserve">ELSE</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WSBC</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WSB</m:t>
              </m:r>
            </m:sub>
          </m:sSub>
          <m:r>
            <w:rPr>
              <w:rFonts w:ascii="Cambria Math" w:hAnsi="Cambria Math"/>
            </w:rPr>
            <m:t xml:space="preserve">)</m:t>
          </m:r>
        </m:oMath>
      </m:oMathPara>
    </w:p>
    <w:p>
      <w:pPr>
        <w:pStyle w:val="Normal"/>
        <w:rPr>
          <w:color w:themeColor="text1" w:val="000000"/>
          <w:sz w:val="32"/>
          <w:szCs w:val="32"/>
        </w:rPr>
      </w:pPr>
      <w:r>
        <w:rPr/>
      </w:r>
      <m:oMathPara xmlns:m="http://schemas.openxmlformats.org/officeDocument/2006/math">
        <m:oMathParaPr>
          <m:jc m:val="left"/>
        </m:oMathParaPr>
        <m:oMath>
          <m:r>
            <w:rPr>
              <w:rFonts w:ascii="Cambria Math" w:hAnsi="Cambria Math"/>
            </w:rPr>
            <m:t xml:space="preserve">(</m:t>
          </m:r>
          <m:r>
            <m:rPr>
              <m:lit/>
              <m:nor/>
            </m:rPr>
            <w:rPr>
              <w:rFonts w:ascii="Cambria Math" w:hAnsi="Cambria Math"/>
            </w:rPr>
            <m:t xml:space="preserve">12</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WPRC</m:t>
              </m:r>
            </m:sub>
          </m:sSub>
          <m:r>
            <w:rPr>
              <w:rFonts w:ascii="Cambria Math" w:hAnsi="Cambria Math"/>
            </w:rPr>
            <m:t xml:space="preserve">=</m:t>
          </m:r>
          <m:r>
            <m:rPr>
              <m:lit/>
              <m:nor/>
            </m:rPr>
            <w:rPr>
              <w:rFonts w:ascii="Cambria Math" w:hAnsi="Cambria Math"/>
            </w:rPr>
            <m:t xml:space="preserve">IF</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&gt;</m:t>
          </m:r>
          <m:sSub>
            <m:e>
              <m:r>
                <m:rPr>
                  <m:lit/>
                  <m:nor/>
                </m:rPr>
                <w:rPr>
                  <w:rFonts w:ascii="Cambria Math" w:hAnsi="Cambria Math"/>
                </w:rPr>
                <m:t xml:space="preserve">DIP</m:t>
              </m:r>
            </m:e>
            <m:sub>
              <m:r>
                <m:rPr>
                  <m:lit/>
                  <m:nor/>
                </m:rPr>
                <w:rPr>
                  <w:rFonts w:ascii="Cambria Math" w:hAnsi="Cambria Math"/>
                </w:rPr>
                <m:t xml:space="preserve">WPRCC</m:t>
              </m:r>
            </m:sub>
          </m:sSub>
          <m:r>
            <w:rPr>
              <w:rFonts w:ascii="Cambria Math" w:hAnsi="Cambria Math"/>
            </w:rPr>
            <m:t xml:space="preserve">)</m:t>
          </m:r>
          <m:r>
            <m:rPr>
              <m:lit/>
              <m:nor/>
            </m:rPr>
            <w:rPr>
              <w:rFonts w:ascii="Cambria Math" w:hAnsi="Cambria Math"/>
            </w:rPr>
            <m:t xml:space="preserve">THEN</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WPRC</m:t>
              </m:r>
            </m:sub>
          </m:sSub>
          <m:r>
            <w:rPr>
              <w:rFonts w:ascii="Cambria Math" w:hAnsi="Cambria Math"/>
            </w:rPr>
            <m:t xml:space="preserve">)</m:t>
          </m:r>
          <m:r>
            <m:rPr>
              <m:lit/>
              <m:nor/>
            </m:rPr>
            <w:rPr>
              <w:rFonts w:ascii="Cambria Math" w:hAnsi="Cambria Math"/>
            </w:rPr>
            <m:t xml:space="preserve">ELSE</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WPRCC</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WPRC</m:t>
              </m:r>
            </m:sub>
          </m:sSub>
          <m:r>
            <w:rPr>
              <w:rFonts w:ascii="Cambria Math" w:hAnsi="Cambria Math"/>
            </w:rPr>
            <m:t xml:space="preserve">)</m:t>
          </m:r>
        </m:oMath>
      </m:oMathPara>
    </w:p>
    <w:p>
      <w:pPr>
        <w:pStyle w:val="Normal"/>
        <w:rPr>
          <w:color w:themeColor="text1" w:val="000000"/>
          <w:sz w:val="32"/>
          <w:szCs w:val="32"/>
        </w:rPr>
      </w:pPr>
      <w:r>
        <w:rPr/>
      </w:r>
      <m:oMathPara xmlns:m="http://schemas.openxmlformats.org/officeDocument/2006/math">
        <m:oMathParaPr>
          <m:jc m:val="left"/>
        </m:oMathParaPr>
        <m:oMath>
          <m:r>
            <w:rPr>
              <w:rFonts w:ascii="Cambria Math" w:hAnsi="Cambria Math"/>
            </w:rPr>
            <m:t xml:space="preserve">(</m:t>
          </m:r>
          <m:r>
            <m:rPr>
              <m:lit/>
              <m:nor/>
            </m:rPr>
            <w:rPr>
              <w:rFonts w:ascii="Cambria Math" w:hAnsi="Cambria Math"/>
            </w:rPr>
            <m:t xml:space="preserve">13</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WUP</m:t>
              </m:r>
            </m:sub>
          </m:sSub>
          <m:r>
            <w:rPr>
              <w:rFonts w:ascii="Cambria Math" w:hAnsi="Cambria Math"/>
            </w:rPr>
            <m:t xml:space="preserve">=</m:t>
          </m:r>
          <m:r>
            <m:rPr>
              <m:lit/>
              <m:nor/>
            </m:rPr>
            <w:rPr>
              <w:rFonts w:ascii="Cambria Math" w:hAnsi="Cambria Math"/>
            </w:rPr>
            <m:t xml:space="preserve">IF</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&gt;</m:t>
          </m:r>
          <m:sSub>
            <m:e>
              <m:r>
                <m:rPr>
                  <m:lit/>
                  <m:nor/>
                </m:rPr>
                <w:rPr>
                  <w:rFonts w:ascii="Cambria Math" w:hAnsi="Cambria Math"/>
                </w:rPr>
                <m:t xml:space="preserve">DIP</m:t>
              </m:r>
            </m:e>
            <m:sub>
              <m:r>
                <m:rPr>
                  <m:lit/>
                  <m:nor/>
                </m:rPr>
                <w:rPr>
                  <w:rFonts w:ascii="Cambria Math" w:hAnsi="Cambria Math"/>
                </w:rPr>
                <m:t xml:space="preserve">WUPC</m:t>
              </m:r>
            </m:sub>
          </m:sSub>
          <m:r>
            <w:rPr>
              <w:rFonts w:ascii="Cambria Math" w:hAnsi="Cambria Math"/>
            </w:rPr>
            <m:t xml:space="preserve">)</m:t>
          </m:r>
          <m:r>
            <m:rPr>
              <m:lit/>
              <m:nor/>
            </m:rPr>
            <w:rPr>
              <w:rFonts w:ascii="Cambria Math" w:hAnsi="Cambria Math"/>
            </w:rPr>
            <m:t xml:space="preserve">THEN</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WUP</m:t>
              </m:r>
            </m:sub>
          </m:sSub>
          <m:r>
            <w:rPr>
              <w:rFonts w:ascii="Cambria Math" w:hAnsi="Cambria Math"/>
            </w:rPr>
            <m:t xml:space="preserve">)</m:t>
          </m:r>
          <m:r>
            <m:rPr>
              <m:lit/>
              <m:nor/>
            </m:rPr>
            <w:rPr>
              <w:rFonts w:ascii="Cambria Math" w:hAnsi="Cambria Math"/>
            </w:rPr>
            <m:t xml:space="preserve">ELSE</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WUPC</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WUP</m:t>
              </m:r>
            </m:sub>
          </m:sSub>
          <m:r>
            <w:rPr>
              <w:rFonts w:ascii="Cambria Math" w:hAnsi="Cambria Math"/>
            </w:rPr>
            <m:t xml:space="preserve">)</m:t>
          </m:r>
        </m:oMath>
      </m:oMathPara>
    </w:p>
    <w:p>
      <w:pPr>
        <w:pStyle w:val="Normal"/>
        <w:rPr>
          <w:color w:themeColor="text1" w:val="000000"/>
          <w:sz w:val="32"/>
          <w:szCs w:val="32"/>
        </w:rPr>
      </w:pPr>
      <w:r>
        <w:rPr/>
      </w:r>
      <m:oMathPara xmlns:m="http://schemas.openxmlformats.org/officeDocument/2006/math">
        <m:oMathParaPr>
          <m:jc m:val="left"/>
        </m:oMathParaPr>
        <m:oMath>
          <m:r>
            <w:rPr>
              <w:rFonts w:ascii="Cambria Math" w:hAnsi="Cambria Math"/>
            </w:rPr>
            <m:t xml:space="preserve">(</m:t>
          </m:r>
          <m:r>
            <m:rPr>
              <m:lit/>
              <m:nor/>
            </m:rPr>
            <w:rPr>
              <w:rFonts w:ascii="Cambria Math" w:hAnsi="Cambria Math"/>
            </w:rPr>
            <m:t xml:space="preserve">14</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WSP</m:t>
              </m:r>
            </m:sub>
          </m:sSub>
          <m:r>
            <w:rPr>
              <w:rFonts w:ascii="Cambria Math" w:hAnsi="Cambria Math"/>
            </w:rPr>
            <m:t xml:space="preserve">=</m:t>
          </m:r>
          <m:r>
            <m:rPr>
              <m:lit/>
              <m:nor/>
            </m:rPr>
            <w:rPr>
              <w:rFonts w:ascii="Cambria Math" w:hAnsi="Cambria Math"/>
            </w:rPr>
            <m:t xml:space="preserve">IF</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&gt;</m:t>
          </m:r>
          <m:sSub>
            <m:e>
              <m:r>
                <m:rPr>
                  <m:lit/>
                  <m:nor/>
                </m:rPr>
                <w:rPr>
                  <w:rFonts w:ascii="Cambria Math" w:hAnsi="Cambria Math"/>
                </w:rPr>
                <m:t xml:space="preserve">DIP</m:t>
              </m:r>
            </m:e>
            <m:sub>
              <m:r>
                <m:rPr>
                  <m:lit/>
                  <m:nor/>
                </m:rPr>
                <w:rPr>
                  <w:rFonts w:ascii="Cambria Math" w:hAnsi="Cambria Math"/>
                </w:rPr>
                <m:t xml:space="preserve">WSPC</m:t>
              </m:r>
            </m:sub>
          </m:sSub>
          <m:r>
            <w:rPr>
              <w:rFonts w:ascii="Cambria Math" w:hAnsi="Cambria Math"/>
            </w:rPr>
            <m:t xml:space="preserve">)</m:t>
          </m:r>
          <m:r>
            <m:rPr>
              <m:lit/>
              <m:nor/>
            </m:rPr>
            <w:rPr>
              <w:rFonts w:ascii="Cambria Math" w:hAnsi="Cambria Math"/>
            </w:rPr>
            <m:t xml:space="preserve">THEN</m:t>
          </m:r>
          <m:r>
            <w:rPr>
              <w:rFonts w:ascii="Cambria Math" w:hAnsi="Cambria Math"/>
            </w:rPr>
            <m:t xml:space="preserve">(</m:t>
          </m:r>
          <m:sSub>
            <m:e>
              <m:r>
                <m:rPr>
                  <m:lit/>
                  <m:nor/>
                </m:rPr>
                <w:rPr>
                  <w:rFonts w:ascii="Cambria Math" w:hAnsi="Cambria Math"/>
                </w:rPr>
                <m:t xml:space="preserve">DIP</m:t>
              </m:r>
            </m:e>
            <m:sub>
              <m:r>
                <w:rPr>
                  <w:rFonts w:ascii="Cambria Math" w:hAnsi="Cambria Math"/>
                </w:rPr>
                <m:t xml:space="preserve">W</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WSP</m:t>
              </m:r>
            </m:sub>
          </m:sSub>
          <m:r>
            <w:rPr>
              <w:rFonts w:ascii="Cambria Math" w:hAnsi="Cambria Math"/>
            </w:rPr>
            <m:t xml:space="preserve">)</m:t>
          </m:r>
          <m:r>
            <m:rPr>
              <m:lit/>
              <m:nor/>
            </m:rPr>
            <w:rPr>
              <w:rFonts w:ascii="Cambria Math" w:hAnsi="Cambria Math"/>
            </w:rPr>
            <m:t xml:space="preserve">ELSE</m:t>
          </m:r>
          <m:r>
            <w:rPr>
              <w:rFonts w:ascii="Cambria Math" w:hAnsi="Cambria Math"/>
            </w:rPr>
            <m:t xml:space="preserve">(</m:t>
          </m:r>
          <m:sSub>
            <m:e>
              <m:r>
                <m:rPr>
                  <m:lit/>
                  <m:nor/>
                </m:rPr>
                <w:rPr>
                  <w:rFonts w:ascii="Cambria Math" w:hAnsi="Cambria Math"/>
                </w:rPr>
                <m:t xml:space="preserve">DIP</m:t>
              </m:r>
            </m:e>
            <m:sub>
              <m:r>
                <m:rPr>
                  <m:lit/>
                  <m:nor/>
                </m:rPr>
                <w:rPr>
                  <w:rFonts w:ascii="Cambria Math" w:hAnsi="Cambria Math"/>
                </w:rPr>
                <m:t xml:space="preserve">WSPC</m:t>
              </m:r>
            </m:sub>
          </m:sSub>
          <m:r>
            <w:rPr>
              <w:rFonts w:ascii="Cambria Math" w:hAnsi="Cambria Math"/>
            </w:rPr>
            <m:t xml:space="preserve">∗</m:t>
          </m:r>
          <m:sSub>
            <m:e>
              <m:r>
                <m:rPr>
                  <m:lit/>
                  <m:nor/>
                </m:rPr>
                <w:rPr>
                  <w:rFonts w:ascii="Cambria Math" w:hAnsi="Cambria Math"/>
                </w:rPr>
                <m:t xml:space="preserve">fDIP</m:t>
              </m:r>
            </m:e>
            <m:sub>
              <m:r>
                <m:rPr>
                  <m:lit/>
                  <m:nor/>
                </m:rPr>
                <w:rPr>
                  <w:rFonts w:ascii="Cambria Math" w:hAnsi="Cambria Math"/>
                </w:rPr>
                <m:t xml:space="preserve">WSP</m:t>
              </m:r>
            </m:sub>
          </m:sSub>
          <m:r>
            <w:rPr>
              <w:rFonts w:ascii="Cambria Math" w:hAnsi="Cambria Math"/>
            </w:rPr>
            <m:t xml:space="preserve">)</m:t>
          </m:r>
        </m:oMath>
      </m:oMathPara>
    </w:p>
    <w:p>
      <w:pPr>
        <w:pStyle w:val="Normal"/>
        <w:rPr>
          <w:color w:themeColor="text1" w:val="000000"/>
        </w:rPr>
      </w:pPr>
      <w:r>
        <w:rPr>
          <w:color w:themeColor="text1" w:val="000000"/>
        </w:rPr>
        <w:t>All of the water column TP constituents followed this approach for the multiple sink terms (POP</w:t>
      </w:r>
      <w:r>
        <w:rPr>
          <w:color w:themeColor="text1" w:val="000000"/>
          <w:vertAlign w:val="subscript"/>
        </w:rPr>
        <w:t>W</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PIP</w:t>
      </w:r>
      <w:r>
        <w:rPr>
          <w:color w:themeColor="text1" w:val="000000"/>
          <w:vertAlign w:val="subscript"/>
        </w:rPr>
        <w:t>W</w:t>
      </w:r>
      <w:r>
        <w:rPr>
          <w:color w:themeColor="text1" w:val="000000"/>
        </w:rPr>
        <w:t>; see Table 2-8). The daily summed sources and daily summed sinks (g P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were calculated for each of the constituents to check P mass balance. The sources and sinks among all four constituents were combined for daily comparison (g P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and to generate annual TP budgets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xml:space="preserve">). </w:t>
      </w:r>
    </w:p>
    <w:p>
      <w:pPr>
        <w:pStyle w:val="Normal"/>
        <w:rPr>
          <w:color w:themeColor="text1" w:val="000000"/>
        </w:rPr>
      </w:pPr>
      <w:r>
        <w:rPr>
          <w:color w:themeColor="text1" w:val="000000"/>
        </w:rPr>
        <w:t>There were peaks in TP sources relative to sinks apparent in the model time series (2006, 2007, 2008, 2009, 2012, 2018; Figure 2-13). These peaks were attributed to depth effects on the dynamics of POP</w:t>
      </w:r>
      <w:r>
        <w:rPr>
          <w:color w:themeColor="text1" w:val="000000"/>
          <w:vertAlign w:val="subscript"/>
        </w:rPr>
        <w:t>W</w:t>
      </w:r>
      <w:r>
        <w:rPr>
          <w:color w:themeColor="text1" w:val="000000"/>
        </w:rPr>
        <w:t xml:space="preserve"> creating minor differences in net annual TP sources and sinks in these earlier water years (Table 2-10). The overall agreement between TP sources and sinks improved in the second half of the simulation. The source and sink average annual rates were in balance for POP</w:t>
      </w:r>
      <w:r>
        <w:rPr>
          <w:color w:themeColor="text1" w:val="000000"/>
          <w:vertAlign w:val="subscript"/>
        </w:rPr>
        <w:t>W</w:t>
      </w:r>
      <w:r>
        <w:rPr>
          <w:color w:themeColor="text1" w:val="000000"/>
        </w:rPr>
        <w:t xml:space="preserve"> (1.47 vs 1.46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DOP</w:t>
      </w:r>
      <w:r>
        <w:rPr>
          <w:color w:themeColor="text1" w:val="000000"/>
          <w:vertAlign w:val="subscript"/>
        </w:rPr>
        <w:t>W</w:t>
      </w:r>
      <w:r>
        <w:rPr>
          <w:color w:themeColor="text1" w:val="000000"/>
        </w:rPr>
        <w:t xml:space="preserve"> (1.63 vs 1.63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DIP</w:t>
      </w:r>
      <w:r>
        <w:rPr>
          <w:color w:themeColor="text1" w:val="000000"/>
          <w:vertAlign w:val="subscript"/>
        </w:rPr>
        <w:t>W</w:t>
      </w:r>
      <w:r>
        <w:rPr>
          <w:color w:themeColor="text1" w:val="000000"/>
        </w:rPr>
        <w:t xml:space="preserve"> (6.59 vs 6.59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PIP</w:t>
      </w:r>
      <w:r>
        <w:rPr>
          <w:color w:themeColor="text1" w:val="000000"/>
          <w:vertAlign w:val="subscript"/>
        </w:rPr>
        <w:t>W</w:t>
      </w:r>
      <w:r>
        <w:rPr>
          <w:color w:themeColor="text1" w:val="000000"/>
        </w:rPr>
        <w:t xml:space="preserve"> (2.19 vs 2.19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and TP</w:t>
      </w:r>
      <w:r>
        <w:rPr>
          <w:color w:themeColor="text1" w:val="000000"/>
          <w:vertAlign w:val="subscript"/>
        </w:rPr>
        <w:t>W</w:t>
      </w:r>
      <w:r>
        <w:rPr>
          <w:color w:themeColor="text1" w:val="000000"/>
        </w:rPr>
        <w:t xml:space="preserve"> (11.87 vs 11.86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xml:space="preserve">; Table 2-10). </w:t>
      </w:r>
    </w:p>
    <w:p>
      <w:pPr>
        <w:pStyle w:val="Normal"/>
        <w:rPr>
          <w:color w:themeColor="text1" w:val="000000"/>
        </w:rPr>
      </w:pPr>
      <w:r>
        <w:rPr>
          <w:color w:themeColor="text1" w:val="000000"/>
        </w:rPr>
        <w:t>An average annual DIP</w:t>
      </w:r>
      <w:r>
        <w:rPr>
          <w:color w:themeColor="text1" w:val="000000"/>
          <w:vertAlign w:val="subscript"/>
        </w:rPr>
        <w:t>W</w:t>
      </w:r>
      <w:r>
        <w:rPr>
          <w:color w:themeColor="text1" w:val="000000"/>
        </w:rPr>
        <w:t xml:space="preserve"> budget was generated (Figure 2-14). DIP</w:t>
      </w:r>
      <w:r>
        <w:rPr>
          <w:color w:themeColor="text1" w:val="000000"/>
          <w:vertAlign w:val="subscript"/>
        </w:rPr>
        <w:t>W</w:t>
      </w:r>
      <w:r>
        <w:rPr>
          <w:color w:themeColor="text1" w:val="000000"/>
        </w:rPr>
        <w:t xml:space="preserve"> inputs from rain (DIP</w:t>
      </w:r>
      <w:r>
        <w:rPr>
          <w:color w:themeColor="text1" w:val="000000"/>
          <w:vertAlign w:val="subscript"/>
        </w:rPr>
        <w:t>WRAIN</w:t>
      </w:r>
      <w:r>
        <w:rPr>
          <w:color w:themeColor="text1" w:val="000000"/>
        </w:rPr>
        <w:t>), seepage (DIP</w:t>
      </w:r>
      <w:r>
        <w:rPr>
          <w:color w:themeColor="text1" w:val="000000"/>
          <w:vertAlign w:val="subscript"/>
        </w:rPr>
        <w:t>WSPIN</w:t>
      </w:r>
      <w:r>
        <w:rPr>
          <w:color w:themeColor="text1" w:val="000000"/>
        </w:rPr>
        <w:t>), DOP remineraization (DOP</w:t>
      </w:r>
      <w:r>
        <w:rPr>
          <w:color w:themeColor="text1" w:val="000000"/>
          <w:vertAlign w:val="subscript"/>
        </w:rPr>
        <w:t>WREM</w:t>
      </w:r>
      <w:r>
        <w:rPr>
          <w:color w:themeColor="text1" w:val="000000"/>
        </w:rPr>
        <w:t>), and desorption (DIP</w:t>
      </w:r>
      <w:r>
        <w:rPr>
          <w:color w:themeColor="text1" w:val="000000"/>
          <w:vertAlign w:val="subscript"/>
        </w:rPr>
        <w:t>WDSB</w:t>
      </w:r>
      <w:r>
        <w:rPr>
          <w:color w:themeColor="text1" w:val="000000"/>
        </w:rPr>
        <w:t>) were comparatively low (&lt; 0.007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Inflow (DIP</w:t>
      </w:r>
      <w:r>
        <w:rPr>
          <w:color w:themeColor="text1" w:val="000000"/>
          <w:vertAlign w:val="subscript"/>
        </w:rPr>
        <w:t>WIN</w:t>
      </w:r>
      <w:r>
        <w:rPr>
          <w:color w:themeColor="text1" w:val="000000"/>
        </w:rPr>
        <w:t>; 0.20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photolysis of DOP (DOP</w:t>
      </w:r>
      <w:r>
        <w:rPr>
          <w:color w:themeColor="text1" w:val="000000"/>
          <w:vertAlign w:val="subscript"/>
        </w:rPr>
        <w:t>WPHT</w:t>
      </w:r>
      <w:r>
        <w:rPr>
          <w:color w:themeColor="text1" w:val="000000"/>
        </w:rPr>
        <w:t>; 0.72 g P m</w:t>
      </w:r>
      <w:r>
        <w:rPr>
          <w:color w:themeColor="text1" w:val="000000"/>
          <w:vertAlign w:val="superscript"/>
        </w:rPr>
        <w:noBreakHyphen/>
        <w:t>2</w:t>
      </w:r>
      <w:r>
        <w:rPr>
          <w:color w:themeColor="text1" w:val="000000"/>
        </w:rPr>
        <w:t xml:space="preserve"> y</w:t>
      </w:r>
      <w:r>
        <w:rPr>
          <w:color w:themeColor="text1" w:val="000000"/>
          <w:vertAlign w:val="superscript"/>
        </w:rPr>
        <w:t>-1</w:t>
      </w:r>
      <w:r>
        <w:rPr>
          <w:color w:themeColor="text1" w:val="000000"/>
        </w:rPr>
        <w:t>), and grazing (DIP</w:t>
      </w:r>
      <w:r>
        <w:rPr>
          <w:color w:themeColor="text1" w:val="000000"/>
          <w:vertAlign w:val="subscript"/>
        </w:rPr>
        <w:t>WGRZ</w:t>
      </w:r>
      <w:r>
        <w:rPr>
          <w:color w:themeColor="text1" w:val="000000"/>
        </w:rPr>
        <w:t>; 2.0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were the major sources of DIPW. While the outward seepage was trivial, outflow (DIP</w:t>
      </w:r>
      <w:r>
        <w:rPr>
          <w:color w:themeColor="text1" w:val="000000"/>
          <w:vertAlign w:val="subscript"/>
        </w:rPr>
        <w:t>WOUT</w:t>
      </w:r>
      <w:r>
        <w:rPr>
          <w:color w:themeColor="text1" w:val="000000"/>
        </w:rPr>
        <w:t>) and sorption (DIP</w:t>
      </w:r>
      <w:r>
        <w:rPr>
          <w:color w:themeColor="text1" w:val="000000"/>
          <w:vertAlign w:val="subscript"/>
        </w:rPr>
        <w:t>WSB</w:t>
      </w:r>
      <w:r>
        <w:rPr>
          <w:color w:themeColor="text1" w:val="000000"/>
        </w:rPr>
        <w:t>) were 0.05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xml:space="preserve"> and 0.02 g P m</w:t>
      </w:r>
      <w:r>
        <w:rPr>
          <w:color w:themeColor="text1" w:val="000000"/>
          <w:vertAlign w:val="superscript"/>
        </w:rPr>
        <w:noBreakHyphen/>
        <w:t>2</w:t>
      </w:r>
      <w:r>
        <w:rPr>
          <w:color w:themeColor="text1" w:val="000000"/>
        </w:rPr>
        <w:t xml:space="preserve"> y</w:t>
      </w:r>
      <w:r>
        <w:rPr>
          <w:color w:themeColor="text1" w:val="000000"/>
          <w:vertAlign w:val="superscript"/>
        </w:rPr>
        <w:t>-1</w:t>
      </w:r>
      <w:r>
        <w:rPr>
          <w:color w:themeColor="text1" w:val="000000"/>
        </w:rPr>
        <w:t>, respectively (Figure 2-14). There was a 75% reduction between DIP</w:t>
      </w:r>
      <w:r>
        <w:rPr>
          <w:color w:themeColor="text1" w:val="000000"/>
          <w:vertAlign w:val="subscript"/>
        </w:rPr>
        <w:t>WIN</w:t>
      </w:r>
      <w:r>
        <w:rPr>
          <w:color w:themeColor="text1" w:val="000000"/>
        </w:rPr>
        <w:t xml:space="preserve"> and DIP</w:t>
      </w:r>
      <w:r>
        <w:rPr>
          <w:color w:themeColor="text1" w:val="000000"/>
          <w:vertAlign w:val="subscript"/>
        </w:rPr>
        <w:t>WOUT</w:t>
      </w:r>
      <w:r>
        <w:rPr>
          <w:color w:themeColor="text1" w:val="000000"/>
        </w:rPr>
        <w:t>. Co-precipitation to PIP</w:t>
      </w:r>
      <w:r>
        <w:rPr>
          <w:color w:themeColor="text1" w:val="000000"/>
          <w:vertAlign w:val="subscript"/>
        </w:rPr>
        <w:t>W</w:t>
      </w:r>
      <w:r>
        <w:rPr>
          <w:color w:themeColor="text1" w:val="000000"/>
        </w:rPr>
        <w:t xml:space="preserve"> (DIP</w:t>
      </w:r>
      <w:r>
        <w:rPr>
          <w:color w:themeColor="text1" w:val="000000"/>
          <w:vertAlign w:val="subscript"/>
        </w:rPr>
        <w:t>WPRC</w:t>
      </w:r>
      <w:r>
        <w:rPr>
          <w:color w:themeColor="text1" w:val="000000"/>
        </w:rPr>
        <w:t>) and uptake by the primary producers (DIP</w:t>
      </w:r>
      <w:r>
        <w:rPr>
          <w:color w:themeColor="text1" w:val="000000"/>
          <w:vertAlign w:val="subscript"/>
        </w:rPr>
        <w:t>WUP</w:t>
      </w:r>
      <w:r>
        <w:rPr>
          <w:color w:themeColor="text1" w:val="000000"/>
        </w:rPr>
        <w:t>) were 0.84 g P m</w:t>
      </w:r>
      <w:r>
        <w:rPr>
          <w:color w:themeColor="text1" w:val="000000"/>
          <w:vertAlign w:val="superscript"/>
        </w:rPr>
        <w:t>-2</w:t>
      </w:r>
      <w:r>
        <w:rPr>
          <w:color w:themeColor="text1" w:val="000000"/>
        </w:rPr>
        <w:t xml:space="preserve"> y</w:t>
      </w:r>
      <w:r>
        <w:rPr>
          <w:color w:themeColor="text1" w:val="000000"/>
          <w:vertAlign w:val="superscript"/>
        </w:rPr>
        <w:noBreakHyphen/>
        <w:t>1</w:t>
      </w:r>
      <w:r>
        <w:rPr>
          <w:color w:themeColor="text1" w:val="000000"/>
        </w:rPr>
        <w:t xml:space="preserve"> and 2.1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xml:space="preserve">, respectively. A major proportion of the total DIP uptake was by periphyton. </w:t>
      </w:r>
    </w:p>
    <w:p>
      <w:pPr>
        <w:sectPr>
          <w:headerReference w:type="default" r:id="rId72"/>
          <w:headerReference w:type="first" r:id="rId73"/>
          <w:footerReference w:type="default" r:id="rId74"/>
          <w:footerReference w:type="first" r:id="rId75"/>
          <w:type w:val="nextPage"/>
          <w:pgSz w:w="12240" w:h="15840"/>
          <w:pgMar w:left="1440" w:right="1440" w:gutter="0" w:header="576" w:top="1440" w:footer="576" w:bottom="1440"/>
          <w:pgNumType w:fmt="decimal"/>
          <w:formProt w:val="false"/>
          <w:titlePg/>
          <w:textDirection w:val="lrTb"/>
          <w:docGrid w:type="default" w:linePitch="299" w:charSpace="0"/>
        </w:sectPr>
        <w:pStyle w:val="Normal"/>
        <w:rPr>
          <w:color w:themeColor="text1" w:val="000000"/>
        </w:rPr>
      </w:pPr>
      <w:r>
        <w:rPr>
          <w:color w:themeColor="text1" w:val="000000"/>
        </w:rPr>
        <w:t xml:space="preserve">The result of Task 8.3 was a stable BGC Model which conserved mass and was ready for variable inflow TP concentrations and loads, calibration and validation, and sensitivity analysis. These procedures were essential to further develop and complete the BGC Model of STA-2 FW1. </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sectPr>
          <w:headerReference w:type="default" r:id="rId78"/>
          <w:headerReference w:type="first" r:id="rId79"/>
          <w:footerReference w:type="default" r:id="rId80"/>
          <w:footerReference w:type="first" r:id="rId81"/>
          <w:type w:val="nextPage"/>
          <w:pgSz w:orient="landscape" w:w="15840" w:h="12240"/>
          <w:pgMar w:left="1440" w:right="1440" w:gutter="0" w:header="576" w:top="1440" w:footer="576" w:bottom="1440"/>
          <w:pgNumType w:fmt="decimal"/>
          <w:formProt w:val="false"/>
          <w:titlePg/>
          <w:textDirection w:val="lrTb"/>
          <w:docGrid w:type="default" w:linePitch="299" w:charSpace="0"/>
        </w:sectPr>
        <w:pStyle w:val="Normal"/>
        <w:rPr>
          <w:rStyle w:val="annotationreference"/>
          <w:color w:themeColor="text1" w:val="000000"/>
        </w:rPr>
      </w:pPr>
      <w:r>
        <w:rPr>
          <w:color w:themeColor="text1" w:val="000000"/>
        </w:rPr>
        <mc:AlternateContent>
          <mc:Choice Requires="wps">
            <w:drawing>
              <wp:anchor behindDoc="0" distT="45720" distB="50800" distL="0" distR="130175" simplePos="0" locked="0" layoutInCell="0" allowOverlap="1" relativeHeight="90" wp14:anchorId="1AE201DF">
                <wp:simplePos x="0" y="0"/>
                <wp:positionH relativeFrom="margin">
                  <wp:align>left</wp:align>
                </wp:positionH>
                <wp:positionV relativeFrom="paragraph">
                  <wp:posOffset>76835</wp:posOffset>
                </wp:positionV>
                <wp:extent cx="8261350" cy="3337560"/>
                <wp:effectExtent l="4445" t="5080" r="5080" b="5080"/>
                <wp:wrapSquare wrapText="bothSides"/>
                <wp:docPr id="63" name="Text Box 2"/>
                <a:graphic xmlns:a="http://schemas.openxmlformats.org/drawingml/2006/main">
                  <a:graphicData uri="http://schemas.microsoft.com/office/word/2010/wordprocessingShape">
                    <wps:wsp>
                      <wps:cNvSpPr/>
                      <wps:spPr>
                        <a:xfrm>
                          <a:off x="0" y="0"/>
                          <a:ext cx="8261280" cy="33375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8229600" cy="2493010"/>
                                  <wp:effectExtent l="0" t="0" r="0" b="0"/>
                                  <wp:docPr id="6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1" descr=""/>
                                          <pic:cNvPicPr>
                                            <a:picLocks noChangeAspect="1" noChangeArrowheads="1"/>
                                          </pic:cNvPicPr>
                                        </pic:nvPicPr>
                                        <pic:blipFill>
                                          <a:blip r:embed="rId76"/>
                                          <a:stretch>
                                            <a:fillRect/>
                                          </a:stretch>
                                        </pic:blipFill>
                                        <pic:spPr bwMode="auto">
                                          <a:xfrm>
                                            <a:off x="0" y="0"/>
                                            <a:ext cx="8229600" cy="2493010"/>
                                          </a:xfrm>
                                          <a:prstGeom prst="rect">
                                            <a:avLst/>
                                          </a:prstGeom>
                                        </pic:spPr>
                                      </pic:pic>
                                    </a:graphicData>
                                  </a:graphic>
                                </wp:inline>
                              </w:drawing>
                            </w:r>
                          </w:p>
                          <w:p>
                            <w:pPr>
                              <w:pStyle w:val="Caption"/>
                              <w:widowControl/>
                              <w:bidi w:val="0"/>
                              <w:spacing w:lineRule="auto" w:line="276" w:before="0" w:after="60"/>
                              <w:jc w:val="center"/>
                              <w:rPr/>
                            </w:pPr>
                            <w:bookmarkStart w:id="75" w:name="_Toc181802655"/>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15</w:t>
                            </w:r>
                            <w:r>
                              <w:rPr/>
                              <w:fldChar w:fldCharType="end"/>
                            </w:r>
                            <w:r>
                              <w:rPr/>
                              <w:t>.  Time series for net daily water column total phosphorus (TP) sources (black) and sinks (red).  TP sources and sinks were calculated as sums of respective sources and sinks for water column particulate organic phosphorus (POP</w:t>
                            </w:r>
                            <w:r>
                              <w:rPr>
                                <w:vertAlign w:val="subscript"/>
                              </w:rPr>
                              <w:t>W</w:t>
                            </w:r>
                            <w:r>
                              <w:rPr/>
                              <w:t>), dissolved organic phosphorus (DOP</w:t>
                            </w:r>
                            <w:r>
                              <w:rPr>
                                <w:vertAlign w:val="subscript"/>
                              </w:rPr>
                              <w:t>W</w:t>
                            </w:r>
                            <w:r>
                              <w:rPr/>
                              <w:t>), dissolved inorganic phosphorus (DIP</w:t>
                            </w:r>
                            <w:r>
                              <w:rPr>
                                <w:vertAlign w:val="subscript"/>
                              </w:rPr>
                              <w:t>W</w:t>
                            </w:r>
                            <w:r>
                              <w:rPr/>
                              <w:t>), and particulate inorganic phosphorus (PIP</w:t>
                            </w:r>
                            <w:r>
                              <w:rPr>
                                <w:vertAlign w:val="subscript"/>
                              </w:rPr>
                              <w:t>W</w:t>
                            </w:r>
                            <w:r>
                              <w:rPr/>
                              <w:t>).</w:t>
                            </w:r>
                            <w:bookmarkEnd w:id="75"/>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05pt;margin-top:6.05pt;width:650.45pt;height:262.75pt;mso-wrap-style:square;v-text-anchor:top;mso-position-horizontal:left;mso-position-horizontal-relative:margin" wp14:anchorId="1AE201DF">
                <v:fill o:detectmouseclick="t" type="solid" color2="black"/>
                <v:stroke color="black" weight="9360" joinstyle="miter" endcap="flat"/>
                <v:textbox>
                  <w:txbxContent>
                    <w:p>
                      <w:pPr>
                        <w:pStyle w:val="FrameContents"/>
                        <w:jc w:val="center"/>
                        <w:rPr/>
                      </w:pPr>
                      <w:r>
                        <w:rPr/>
                        <w:drawing>
                          <wp:inline distT="0" distB="0" distL="0" distR="0">
                            <wp:extent cx="8229600" cy="2493010"/>
                            <wp:effectExtent l="0" t="0" r="0" b="0"/>
                            <wp:docPr id="6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1" descr=""/>
                                    <pic:cNvPicPr>
                                      <a:picLocks noChangeAspect="1" noChangeArrowheads="1"/>
                                    </pic:cNvPicPr>
                                  </pic:nvPicPr>
                                  <pic:blipFill>
                                    <a:blip r:embed="rId77"/>
                                    <a:stretch>
                                      <a:fillRect/>
                                    </a:stretch>
                                  </pic:blipFill>
                                  <pic:spPr bwMode="auto">
                                    <a:xfrm>
                                      <a:off x="0" y="0"/>
                                      <a:ext cx="8229600" cy="2493010"/>
                                    </a:xfrm>
                                    <a:prstGeom prst="rect">
                                      <a:avLst/>
                                    </a:prstGeom>
                                  </pic:spPr>
                                </pic:pic>
                              </a:graphicData>
                            </a:graphic>
                          </wp:inline>
                        </w:drawing>
                      </w:r>
                    </w:p>
                    <w:p>
                      <w:pPr>
                        <w:pStyle w:val="Caption"/>
                        <w:widowControl/>
                        <w:bidi w:val="0"/>
                        <w:spacing w:lineRule="auto" w:line="276" w:before="0" w:after="60"/>
                        <w:jc w:val="center"/>
                        <w:rPr/>
                      </w:pPr>
                      <w:bookmarkStart w:id="76" w:name="_Toc181802655"/>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15</w:t>
                      </w:r>
                      <w:r>
                        <w:rPr/>
                        <w:fldChar w:fldCharType="end"/>
                      </w:r>
                      <w:r>
                        <w:rPr/>
                        <w:t>.  Time series for net daily water column total phosphorus (TP) sources (black) and sinks (red).  TP sources and sinks were calculated as sums of respective sources and sinks for water column particulate organic phosphorus (POP</w:t>
                      </w:r>
                      <w:r>
                        <w:rPr>
                          <w:vertAlign w:val="subscript"/>
                        </w:rPr>
                        <w:t>W</w:t>
                      </w:r>
                      <w:r>
                        <w:rPr/>
                        <w:t>), dissolved organic phosphorus (DOP</w:t>
                      </w:r>
                      <w:r>
                        <w:rPr>
                          <w:vertAlign w:val="subscript"/>
                        </w:rPr>
                        <w:t>W</w:t>
                      </w:r>
                      <w:r>
                        <w:rPr/>
                        <w:t>), dissolved inorganic phosphorus (DIP</w:t>
                      </w:r>
                      <w:r>
                        <w:rPr>
                          <w:vertAlign w:val="subscript"/>
                        </w:rPr>
                        <w:t>W</w:t>
                      </w:r>
                      <w:r>
                        <w:rPr/>
                        <w:t>), and particulate inorganic phosphorus (PIP</w:t>
                      </w:r>
                      <w:r>
                        <w:rPr>
                          <w:vertAlign w:val="subscript"/>
                        </w:rPr>
                        <w:t>W</w:t>
                      </w:r>
                      <w:r>
                        <w:rPr/>
                        <w:t>).</w:t>
                      </w:r>
                      <w:bookmarkEnd w:id="76"/>
                    </w:p>
                  </w:txbxContent>
                </v:textbox>
                <w10:wrap type="square"/>
              </v:rect>
            </w:pict>
          </mc:Fallback>
        </mc:AlternateContent>
      </w:r>
    </w:p>
    <w:p>
      <w:pPr>
        <w:pStyle w:val="Caption"/>
        <w:spacing w:lineRule="auto" w:line="240"/>
        <w:rPr>
          <w:color w:themeColor="text1" w:val="000000"/>
        </w:rPr>
      </w:pPr>
      <w:bookmarkStart w:id="77" w:name="_Toc182250920"/>
      <w:bookmarkStart w:id="78" w:name="_Hlk170399801"/>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11</w:t>
      </w:r>
      <w:r>
        <w:rPr>
          <w:color w:themeColor="text1" w:val="000000"/>
        </w:rPr>
        <w:fldChar w:fldCharType="end"/>
      </w:r>
      <w:r>
        <w:rPr>
          <w:color w:themeColor="text1" w:val="000000"/>
        </w:rPr>
        <w:t>. Annual values for water column TP (TP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and net sources and net sinks (g P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for water column particulate organic phosphorus (POP</w:t>
      </w:r>
      <w:r>
        <w:rPr>
          <w:color w:themeColor="text1" w:val="000000"/>
          <w:vertAlign w:val="subscript"/>
        </w:rPr>
        <w:t>W</w:t>
      </w:r>
      <w:r>
        <w:rPr>
          <w:color w:themeColor="text1" w:val="000000"/>
        </w:rPr>
        <w:t>), dissolved organic phosphorus (DOP</w:t>
      </w:r>
      <w:r>
        <w:rPr>
          <w:color w:themeColor="text1" w:val="000000"/>
          <w:vertAlign w:val="subscript"/>
        </w:rPr>
        <w:t>W</w:t>
      </w:r>
      <w:r>
        <w:rPr>
          <w:color w:themeColor="text1" w:val="000000"/>
        </w:rPr>
        <w:t>), dissolved inorganic phosphorus (DIP</w:t>
      </w:r>
      <w:r>
        <w:rPr>
          <w:color w:themeColor="text1" w:val="000000"/>
          <w:vertAlign w:val="subscript"/>
        </w:rPr>
        <w:t>W</w:t>
      </w:r>
      <w:r>
        <w:rPr>
          <w:color w:themeColor="text1" w:val="000000"/>
        </w:rPr>
        <w:t>), particulate inorganic phosphorus (PIP</w:t>
      </w:r>
      <w:r>
        <w:rPr>
          <w:color w:themeColor="text1" w:val="000000"/>
          <w:vertAlign w:val="subscript"/>
        </w:rPr>
        <w:t>W</w:t>
      </w:r>
      <w:r>
        <w:rPr>
          <w:color w:themeColor="text1" w:val="000000"/>
        </w:rPr>
        <w:t>). and TP</w:t>
      </w:r>
      <w:r>
        <w:rPr>
          <w:color w:themeColor="text1" w:val="000000"/>
          <w:vertAlign w:val="subscript"/>
        </w:rPr>
        <w:t>W</w:t>
      </w:r>
      <w:r>
        <w:rPr>
          <w:color w:themeColor="text1" w:val="000000"/>
        </w:rPr>
        <w:t>.</w:t>
      </w:r>
      <w:bookmarkEnd w:id="77"/>
      <w:bookmarkEnd w:id="78"/>
    </w:p>
    <w:p>
      <w:pPr>
        <w:pStyle w:val="Normal"/>
        <w:jc w:val="center"/>
        <w:rPr>
          <w:color w:themeColor="text1" w:val="000000"/>
        </w:rPr>
      </w:pPr>
      <w:r>
        <w:rPr/>
        <w:drawing>
          <wp:inline distT="0" distB="0" distL="0" distR="0">
            <wp:extent cx="7633335" cy="2286000"/>
            <wp:effectExtent l="0" t="0" r="0" b="0"/>
            <wp:docPr id="72"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0" descr=""/>
                    <pic:cNvPicPr>
                      <a:picLocks noChangeAspect="1" noChangeArrowheads="1"/>
                    </pic:cNvPicPr>
                  </pic:nvPicPr>
                  <pic:blipFill>
                    <a:blip r:embed="rId82"/>
                    <a:stretch>
                      <a:fillRect/>
                    </a:stretch>
                  </pic:blipFill>
                  <pic:spPr bwMode="auto">
                    <a:xfrm>
                      <a:off x="0" y="0"/>
                      <a:ext cx="7633335" cy="2286000"/>
                    </a:xfrm>
                    <a:prstGeom prst="rect">
                      <a:avLst/>
                    </a:prstGeom>
                  </pic:spPr>
                </pic:pic>
              </a:graphicData>
            </a:graphic>
          </wp:inline>
        </w:drawing>
      </w:r>
    </w:p>
    <w:p>
      <w:pPr>
        <w:sectPr>
          <w:headerReference w:type="default" r:id="rId84"/>
          <w:headerReference w:type="first" r:id="rId85"/>
          <w:footerReference w:type="default" r:id="rId86"/>
          <w:footerReference w:type="first" r:id="rId87"/>
          <w:type w:val="nextPage"/>
          <w:pgSz w:orient="landscape" w:w="15840" w:h="12240"/>
          <w:pgMar w:left="1440" w:right="1440" w:gutter="0" w:header="576" w:top="1440" w:footer="576" w:bottom="1440"/>
          <w:pgNumType w:fmt="decimal"/>
          <w:formProt w:val="false"/>
          <w:titlePg/>
          <w:textDirection w:val="lrTb"/>
          <w:docGrid w:type="default" w:linePitch="299" w:charSpace="0"/>
        </w:sectPr>
        <w:pStyle w:val="Normal"/>
        <w:jc w:val="center"/>
        <w:rPr>
          <w:color w:themeColor="text1" w:val="000000"/>
        </w:rPr>
      </w:pPr>
      <w:r>
        <w:rPr/>
        <w:drawing>
          <wp:inline distT="0" distB="0" distL="0" distR="0">
            <wp:extent cx="8224520" cy="2355850"/>
            <wp:effectExtent l="0" t="0" r="0" b="0"/>
            <wp:docPr id="73"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1" descr=""/>
                    <pic:cNvPicPr>
                      <a:picLocks noChangeAspect="1" noChangeArrowheads="1"/>
                    </pic:cNvPicPr>
                  </pic:nvPicPr>
                  <pic:blipFill>
                    <a:blip r:embed="rId83"/>
                    <a:stretch>
                      <a:fillRect/>
                    </a:stretch>
                  </pic:blipFill>
                  <pic:spPr bwMode="auto">
                    <a:xfrm>
                      <a:off x="0" y="0"/>
                      <a:ext cx="8224520" cy="2355850"/>
                    </a:xfrm>
                    <a:prstGeom prst="rect">
                      <a:avLst/>
                    </a:prstGeom>
                  </pic:spPr>
                </pic:pic>
              </a:graphicData>
            </a:graphic>
          </wp:inline>
        </w:drawing>
      </w:r>
    </w:p>
    <w:p>
      <w:pPr>
        <w:pStyle w:val="Normal"/>
        <w:rPr>
          <w:color w:themeColor="text1" w:val="000000"/>
        </w:rPr>
      </w:pPr>
      <w:r>
        <w:rPr>
          <w:color w:themeColor="text1" w:val="000000"/>
        </w:rPr>
      </w:r>
    </w:p>
    <w:p>
      <w:pPr>
        <w:pStyle w:val="Heading3"/>
        <w:rPr>
          <w:color w:themeColor="text1" w:val="000000"/>
        </w:rPr>
      </w:pPr>
      <w:bookmarkStart w:id="79" w:name="_Toc182252505"/>
      <w:r>
        <w:rPr>
          <w:color w:themeColor="text1" w:val="000000"/>
        </w:rPr>
        <w:t>Calibration of the BGC Model (Task 8.4)</w:t>
      </w:r>
      <w:bookmarkEnd w:id="79"/>
    </w:p>
    <w:p>
      <w:pPr>
        <w:pStyle w:val="Normal"/>
        <w:rPr>
          <w:color w:themeColor="text1" w:val="000000"/>
        </w:rPr>
      </w:pPr>
      <w:r>
        <w:rPr>
          <w:color w:themeColor="text1" w:val="000000"/>
        </w:rPr>
        <w:t>The objective of Task 8.4 was to calibrate and validate the Biogeochemical Model of STA-2 FW1 (BGC Model) conceptualized in Phase I, developed in Phase II, and improved in Task 8.3 of Phase III. The first step introduced variable inflow concentrations for the water column TP constituents; [POPW]</w:t>
      </w:r>
      <w:r>
        <w:rPr>
          <w:color w:themeColor="text1" w:val="000000"/>
          <w:vertAlign w:val="subscript"/>
        </w:rPr>
        <w:t>IN</w:t>
      </w:r>
      <w:r>
        <w:rPr>
          <w:color w:themeColor="text1" w:val="000000"/>
        </w:rPr>
        <w:t>, [DOPW]</w:t>
      </w:r>
      <w:r>
        <w:rPr>
          <w:color w:themeColor="text1" w:val="000000"/>
          <w:vertAlign w:val="subscript"/>
        </w:rPr>
        <w:t>IN</w:t>
      </w:r>
      <w:r>
        <w:rPr>
          <w:color w:themeColor="text1" w:val="000000"/>
        </w:rPr>
        <w:t>, [DIPW]</w:t>
      </w:r>
      <w:r>
        <w:rPr>
          <w:color w:themeColor="text1" w:val="000000"/>
          <w:vertAlign w:val="subscript"/>
        </w:rPr>
        <w:t>IN</w:t>
      </w:r>
      <w:r>
        <w:rPr>
          <w:color w:themeColor="text1" w:val="000000"/>
        </w:rPr>
        <w:t>, [PIPW]</w:t>
      </w:r>
      <w:r>
        <w:rPr>
          <w:color w:themeColor="text1" w:val="000000"/>
          <w:vertAlign w:val="subscript"/>
        </w:rPr>
        <w:t>IN</w:t>
      </w:r>
      <w:r>
        <w:rPr>
          <w:color w:themeColor="text1" w:val="000000"/>
        </w:rPr>
        <w:t>. While previous model versions applied the average inflow concentrations for each constituent, improvements in the Hydrologic Model provided the pathway to incorporate variable daily input concentrations. The inflow concentrations were based on those from G329A, G329B, G329C, G329D used by SFWMD to estimate TP loads to STA-2 FW1 over the same period as the model simulations (Figure 2-2). The incoming TP to the model was assumed to be composed of POP</w:t>
      </w:r>
      <w:r>
        <w:rPr>
          <w:color w:themeColor="text1" w:val="000000"/>
          <w:vertAlign w:val="subscript"/>
        </w:rPr>
        <w:t>W</w:t>
      </w:r>
      <w:r>
        <w:rPr>
          <w:color w:themeColor="text1" w:val="000000"/>
        </w:rPr>
        <w:t xml:space="preserve"> (25%), DOP</w:t>
      </w:r>
      <w:r>
        <w:rPr>
          <w:color w:themeColor="text1" w:val="000000"/>
          <w:vertAlign w:val="subscript"/>
        </w:rPr>
        <w:t>W</w:t>
      </w:r>
      <w:r>
        <w:rPr>
          <w:color w:themeColor="text1" w:val="000000"/>
        </w:rPr>
        <w:t xml:space="preserve"> (12.5%), DIP</w:t>
      </w:r>
      <w:r>
        <w:rPr>
          <w:color w:themeColor="text1" w:val="000000"/>
          <w:vertAlign w:val="subscript"/>
        </w:rPr>
        <w:t>W</w:t>
      </w:r>
      <w:r>
        <w:rPr>
          <w:color w:themeColor="text1" w:val="000000"/>
        </w:rPr>
        <w:t xml:space="preserve"> (50%), and PIP</w:t>
      </w:r>
      <w:r>
        <w:rPr>
          <w:color w:themeColor="text1" w:val="000000"/>
          <w:vertAlign w:val="subscript"/>
        </w:rPr>
        <w:t>W</w:t>
      </w:r>
      <w:r>
        <w:rPr>
          <w:color w:themeColor="text1" w:val="000000"/>
        </w:rPr>
        <w:t xml:space="preserve"> (12.5%). While [TP]</w:t>
      </w:r>
      <w:r>
        <w:rPr>
          <w:color w:themeColor="text1" w:val="000000"/>
          <w:vertAlign w:val="subscript"/>
        </w:rPr>
        <w:t>IN</w:t>
      </w:r>
      <w:r>
        <w:rPr>
          <w:color w:themeColor="text1" w:val="000000"/>
        </w:rPr>
        <w:t xml:space="preserve"> varied daily, the proportions among the four constituents were constant throughout the simulation. The concentrations were combined with the inflows for P loading to the model flow-way (g P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Loading rates varied intra- and inter-annually ranging up to 0.06-0.09 g P m</w:t>
      </w:r>
      <w:r>
        <w:rPr>
          <w:color w:themeColor="text1" w:val="000000"/>
          <w:vertAlign w:val="superscript"/>
        </w:rPr>
        <w:t>-2</w:t>
      </w:r>
      <w:r>
        <w:rPr>
          <w:color w:themeColor="text1" w:val="000000"/>
        </w:rPr>
        <w:t xml:space="preserve"> d</w:t>
      </w:r>
      <w:r>
        <w:rPr>
          <w:color w:themeColor="text1" w:val="000000"/>
          <w:vertAlign w:val="superscript"/>
        </w:rPr>
        <w:noBreakHyphen/>
        <w:t>1</w:t>
      </w:r>
      <w:r>
        <w:rPr>
          <w:color w:themeColor="text1" w:val="000000"/>
        </w:rPr>
        <w:t xml:space="preserve"> in wet seasons of 2006, 2008, 2012, and 2017 (Figure 2-15). The base BGC Model TP loads were manipulated by altering either the inflow volumes (Q</w:t>
      </w:r>
      <w:r>
        <w:rPr>
          <w:color w:themeColor="text1" w:val="000000"/>
          <w:vertAlign w:val="subscript"/>
        </w:rPr>
        <w:t>0</w:t>
      </w:r>
      <w:r>
        <w:rPr>
          <w:color w:themeColor="text1" w:val="000000"/>
        </w:rPr>
        <w:t>) or the [TP]</w:t>
      </w:r>
      <w:r>
        <w:rPr>
          <w:color w:themeColor="text1" w:val="000000"/>
          <w:vertAlign w:val="subscript"/>
        </w:rPr>
        <w:t>IN</w:t>
      </w:r>
      <w:r>
        <w:rPr>
          <w:color w:themeColor="text1" w:val="000000"/>
        </w:rPr>
        <w:t xml:space="preserve"> concentrations (See Sensitivity Analysis). </w:t>
      </w:r>
    </w:p>
    <w:p>
      <w:pPr>
        <w:pStyle w:val="Normal"/>
        <w:rPr>
          <w:color w:themeColor="text1" w:val="000000"/>
        </w:rPr>
      </w:pPr>
      <w:r>
        <w:rPr>
          <w:color w:themeColor="text1" w:val="000000"/>
        </w:rPr>
      </w:r>
    </w:p>
    <w:p>
      <w:pPr>
        <w:pStyle w:val="Normal"/>
        <w:rPr>
          <w:color w:themeColor="text1" w:val="000000"/>
        </w:rPr>
      </w:pPr>
      <w:r>
        <w:rPr>
          <w:color w:themeColor="text1" w:val="000000"/>
        </w:rPr>
        <mc:AlternateContent>
          <mc:Choice Requires="wps">
            <w:drawing>
              <wp:anchor behindDoc="0" distT="44450" distB="59055" distL="113665" distR="114935" simplePos="0" locked="0" layoutInCell="0" allowOverlap="1" relativeHeight="39" wp14:anchorId="1885DF88">
                <wp:simplePos x="0" y="0"/>
                <wp:positionH relativeFrom="margin">
                  <wp:posOffset>17780</wp:posOffset>
                </wp:positionH>
                <wp:positionV relativeFrom="paragraph">
                  <wp:posOffset>43815</wp:posOffset>
                </wp:positionV>
                <wp:extent cx="5019040" cy="3063875"/>
                <wp:effectExtent l="5080" t="5715" r="5080" b="4445"/>
                <wp:wrapSquare wrapText="bothSides"/>
                <wp:docPr id="82" name="Text Box 2"/>
                <a:graphic xmlns:a="http://schemas.openxmlformats.org/drawingml/2006/main">
                  <a:graphicData uri="http://schemas.microsoft.com/office/word/2010/wordprocessingShape">
                    <wps:wsp>
                      <wps:cNvSpPr/>
                      <wps:spPr>
                        <a:xfrm>
                          <a:off x="0" y="0"/>
                          <a:ext cx="5019120" cy="30639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4733290" cy="3261360"/>
                                  <wp:effectExtent l="0" t="0" r="0" b="0"/>
                                  <wp:docPr id="8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2" descr=""/>
                                          <pic:cNvPicPr>
                                            <a:picLocks noChangeAspect="1" noChangeArrowheads="1"/>
                                          </pic:cNvPicPr>
                                        </pic:nvPicPr>
                                        <pic:blipFill>
                                          <a:blip r:embed="rId88"/>
                                          <a:stretch>
                                            <a:fillRect/>
                                          </a:stretch>
                                        </pic:blipFill>
                                        <pic:spPr bwMode="auto">
                                          <a:xfrm>
                                            <a:off x="0" y="0"/>
                                            <a:ext cx="4733290" cy="3261360"/>
                                          </a:xfrm>
                                          <a:prstGeom prst="rect">
                                            <a:avLst/>
                                          </a:prstGeom>
                                        </pic:spPr>
                                      </pic:pic>
                                    </a:graphicData>
                                  </a:graphic>
                                </wp:inline>
                              </w:drawing>
                            </w:r>
                          </w:p>
                          <w:p>
                            <w:pPr>
                              <w:pStyle w:val="Caption"/>
                              <w:widowControl/>
                              <w:bidi w:val="0"/>
                              <w:spacing w:lineRule="auto" w:line="276" w:before="0" w:after="60"/>
                              <w:jc w:val="center"/>
                              <w:rPr/>
                            </w:pPr>
                            <w:bookmarkStart w:id="80" w:name="_Toc181802656"/>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16</w:t>
                            </w:r>
                            <w:r>
                              <w:rPr/>
                              <w:fldChar w:fldCharType="end"/>
                            </w:r>
                            <w:r>
                              <w:rPr/>
                              <w:t>.  Average annual DIP</w:t>
                            </w:r>
                            <w:r>
                              <w:rPr>
                                <w:vertAlign w:val="subscript"/>
                              </w:rPr>
                              <w:t>W</w:t>
                            </w:r>
                            <w:r>
                              <w:rPr/>
                              <w:t xml:space="preserve"> budget generated using the updated Biogeochemical Model.  Arrows are annually summed rates in g P m</w:t>
                            </w:r>
                            <w:r>
                              <w:rPr>
                                <w:vertAlign w:val="superscript"/>
                              </w:rPr>
                              <w:t>-2</w:t>
                            </w:r>
                            <w:r>
                              <w:rPr/>
                              <w:t xml:space="preserve"> y</w:t>
                            </w:r>
                            <w:r>
                              <w:rPr>
                                <w:vertAlign w:val="superscript"/>
                              </w:rPr>
                              <w:t>-1</w:t>
                            </w:r>
                            <w:r>
                              <w:rPr/>
                              <w:t>.</w:t>
                            </w:r>
                            <w:bookmarkEnd w:id="80"/>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4pt;margin-top:3.45pt;width:395.15pt;height:241.2pt;mso-wrap-style:square;v-text-anchor:top;mso-position-horizontal-relative:margin" wp14:anchorId="1885DF88">
                <v:fill o:detectmouseclick="t" type="solid" color2="black"/>
                <v:stroke color="black" weight="9360" joinstyle="miter" endcap="flat"/>
                <v:textbox>
                  <w:txbxContent>
                    <w:p>
                      <w:pPr>
                        <w:pStyle w:val="FrameContents"/>
                        <w:jc w:val="center"/>
                        <w:rPr/>
                      </w:pPr>
                      <w:r>
                        <w:rPr/>
                        <w:drawing>
                          <wp:inline distT="0" distB="0" distL="0" distR="0">
                            <wp:extent cx="4733290" cy="3261360"/>
                            <wp:effectExtent l="0" t="0" r="0" b="0"/>
                            <wp:docPr id="8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2" descr=""/>
                                    <pic:cNvPicPr>
                                      <a:picLocks noChangeAspect="1" noChangeArrowheads="1"/>
                                    </pic:cNvPicPr>
                                  </pic:nvPicPr>
                                  <pic:blipFill>
                                    <a:blip r:embed="rId89"/>
                                    <a:stretch>
                                      <a:fillRect/>
                                    </a:stretch>
                                  </pic:blipFill>
                                  <pic:spPr bwMode="auto">
                                    <a:xfrm>
                                      <a:off x="0" y="0"/>
                                      <a:ext cx="4733290" cy="3261360"/>
                                    </a:xfrm>
                                    <a:prstGeom prst="rect">
                                      <a:avLst/>
                                    </a:prstGeom>
                                  </pic:spPr>
                                </pic:pic>
                              </a:graphicData>
                            </a:graphic>
                          </wp:inline>
                        </w:drawing>
                      </w:r>
                    </w:p>
                    <w:p>
                      <w:pPr>
                        <w:pStyle w:val="Caption"/>
                        <w:widowControl/>
                        <w:bidi w:val="0"/>
                        <w:spacing w:lineRule="auto" w:line="276" w:before="0" w:after="60"/>
                        <w:jc w:val="center"/>
                        <w:rPr/>
                      </w:pPr>
                      <w:bookmarkStart w:id="81" w:name="_Toc181802656"/>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16</w:t>
                      </w:r>
                      <w:r>
                        <w:rPr/>
                        <w:fldChar w:fldCharType="end"/>
                      </w:r>
                      <w:r>
                        <w:rPr/>
                        <w:t>.  Average annual DIP</w:t>
                      </w:r>
                      <w:r>
                        <w:rPr>
                          <w:vertAlign w:val="subscript"/>
                        </w:rPr>
                        <w:t>W</w:t>
                      </w:r>
                      <w:r>
                        <w:rPr/>
                        <w:t xml:space="preserve"> budget generated using the updated Biogeochemical Model.  Arrows are annually summed rates in g P m</w:t>
                      </w:r>
                      <w:r>
                        <w:rPr>
                          <w:vertAlign w:val="superscript"/>
                        </w:rPr>
                        <w:t>-2</w:t>
                      </w:r>
                      <w:r>
                        <w:rPr/>
                        <w:t xml:space="preserve"> y</w:t>
                      </w:r>
                      <w:r>
                        <w:rPr>
                          <w:vertAlign w:val="superscript"/>
                        </w:rPr>
                        <w:t>-1</w:t>
                      </w:r>
                      <w:r>
                        <w:rPr/>
                        <w:t>.</w:t>
                      </w:r>
                      <w:bookmarkEnd w:id="81"/>
                    </w:p>
                  </w:txbxContent>
                </v:textbox>
                <w10:wrap type="square"/>
              </v:rect>
            </w:pict>
          </mc:Fallback>
        </mc:AlternateConten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t>The 16 initial concentrations and 112 parameters were compiled to include the mathematical abbreviation (Symbol), base value, units, and reference (Table 2-7 and electronic Appendix). A total of 23 different parameters were identified with the greatest potential to affect the results of the BGC Model (Table 2-11). The effects of three different levels for each of the 23 parameters on the model average TP</w:t>
      </w:r>
      <w:r>
        <w:rPr>
          <w:color w:themeColor="text1" w:val="000000"/>
          <w:vertAlign w:val="subscript"/>
        </w:rPr>
        <w:t>W</w:t>
      </w:r>
      <w:r>
        <w:rPr>
          <w:color w:themeColor="text1" w:val="000000"/>
        </w:rPr>
        <w:t xml:space="preserve"> concentration (g P m</w:t>
      </w:r>
      <w:r>
        <w:rPr>
          <w:color w:themeColor="text1" w:val="000000"/>
          <w:vertAlign w:val="superscript"/>
        </w:rPr>
        <w:t>-3</w:t>
      </w:r>
      <w:r>
        <w:rPr>
          <w:color w:themeColor="text1" w:val="000000"/>
        </w:rPr>
        <w:t xml:space="preserve">) were assessed via 69 independent (23 x 3 = 69).  The Task 8.3 BGC Test Model served as the source of the 23 base values which were then increased and decreased, respectively, for the calibration series. </w:t>
      </w:r>
    </w:p>
    <w:p>
      <w:pPr>
        <w:pStyle w:val="Caption"/>
        <w:spacing w:lineRule="auto" w:line="240"/>
        <w:rPr>
          <w:color w:themeColor="text1" w:val="000000"/>
        </w:rPr>
      </w:pPr>
      <w:bookmarkStart w:id="82" w:name="_Toc182250921"/>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12</w:t>
      </w:r>
      <w:r>
        <w:rPr>
          <w:color w:themeColor="text1" w:val="000000"/>
        </w:rPr>
        <w:fldChar w:fldCharType="end"/>
      </w:r>
      <w:r>
        <w:rPr>
          <w:color w:themeColor="text1" w:val="000000"/>
        </w:rPr>
        <w:t>. The 23 parameters selected for calibration of the STA-2 FW1 Biogeochemical Model.</w:t>
      </w:r>
      <w:bookmarkEnd w:id="82"/>
    </w:p>
    <w:p>
      <w:pPr>
        <w:pStyle w:val="Normal"/>
        <w:jc w:val="center"/>
        <w:rPr>
          <w:color w:themeColor="text1" w:val="000000"/>
        </w:rPr>
      </w:pPr>
      <w:r>
        <w:rPr/>
        <w:drawing>
          <wp:inline distT="0" distB="0" distL="0" distR="0">
            <wp:extent cx="4572000" cy="2491105"/>
            <wp:effectExtent l="0" t="0" r="0" b="0"/>
            <wp:docPr id="8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3" descr=""/>
                    <pic:cNvPicPr>
                      <a:picLocks noChangeAspect="1" noChangeArrowheads="1"/>
                    </pic:cNvPicPr>
                  </pic:nvPicPr>
                  <pic:blipFill>
                    <a:blip r:embed="rId90"/>
                    <a:stretch>
                      <a:fillRect/>
                    </a:stretch>
                  </pic:blipFill>
                  <pic:spPr bwMode="auto">
                    <a:xfrm>
                      <a:off x="0" y="0"/>
                      <a:ext cx="4572000" cy="2491105"/>
                    </a:xfrm>
                    <a:prstGeom prst="rect">
                      <a:avLst/>
                    </a:prstGeom>
                  </pic:spPr>
                </pic:pic>
              </a:graphicData>
            </a:graphic>
          </wp:inline>
        </w:drawing>
      </w:r>
    </w:p>
    <w:p>
      <w:pPr>
        <w:pStyle w:val="Normal"/>
        <w:rPr>
          <w:color w:themeColor="text1" w:val="000000"/>
        </w:rPr>
      </w:pPr>
      <w:r>
        <w:rPr>
          <w:color w:themeColor="text1" w:val="000000"/>
        </w:rPr>
        <mc:AlternateContent>
          <mc:Choice Requires="wps">
            <w:drawing>
              <wp:anchor behindDoc="0" distT="45085" distB="52705" distL="0" distR="123190" simplePos="0" locked="0" layoutInCell="0" allowOverlap="1" relativeHeight="82" wp14:anchorId="4E46533C">
                <wp:simplePos x="0" y="0"/>
                <wp:positionH relativeFrom="margin">
                  <wp:align>left</wp:align>
                </wp:positionH>
                <wp:positionV relativeFrom="paragraph">
                  <wp:posOffset>336550</wp:posOffset>
                </wp:positionV>
                <wp:extent cx="5943600" cy="3412490"/>
                <wp:effectExtent l="5080" t="5080" r="5080" b="5080"/>
                <wp:wrapSquare wrapText="bothSides"/>
                <wp:docPr id="84" name="Text Box 2"/>
                <a:graphic xmlns:a="http://schemas.openxmlformats.org/drawingml/2006/main">
                  <a:graphicData uri="http://schemas.microsoft.com/office/word/2010/wordprocessingShape">
                    <wps:wsp>
                      <wps:cNvSpPr/>
                      <wps:spPr>
                        <a:xfrm>
                          <a:off x="0" y="0"/>
                          <a:ext cx="5943600" cy="3412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4572000" cy="2868295"/>
                                  <wp:effectExtent l="0" t="0" r="0" b="0"/>
                                  <wp:docPr id="8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4" descr=""/>
                                          <pic:cNvPicPr>
                                            <a:picLocks noChangeAspect="1" noChangeArrowheads="1"/>
                                          </pic:cNvPicPr>
                                        </pic:nvPicPr>
                                        <pic:blipFill>
                                          <a:blip r:embed="rId91"/>
                                          <a:stretch>
                                            <a:fillRect/>
                                          </a:stretch>
                                        </pic:blipFill>
                                        <pic:spPr bwMode="auto">
                                          <a:xfrm>
                                            <a:off x="0" y="0"/>
                                            <a:ext cx="4572000" cy="2868295"/>
                                          </a:xfrm>
                                          <a:prstGeom prst="rect">
                                            <a:avLst/>
                                          </a:prstGeom>
                                        </pic:spPr>
                                      </pic:pic>
                                    </a:graphicData>
                                  </a:graphic>
                                </wp:inline>
                              </w:drawing>
                            </w:r>
                          </w:p>
                          <w:p>
                            <w:pPr>
                              <w:pStyle w:val="Caption"/>
                              <w:widowControl/>
                              <w:bidi w:val="0"/>
                              <w:spacing w:lineRule="auto" w:line="276" w:before="0" w:after="60"/>
                              <w:jc w:val="center"/>
                              <w:rPr/>
                            </w:pPr>
                            <w:bookmarkStart w:id="83" w:name="_Toc181802657"/>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17</w:t>
                            </w:r>
                            <w:r>
                              <w:rPr/>
                              <w:fldChar w:fldCharType="end"/>
                            </w:r>
                            <w:r>
                              <w:rPr/>
                              <w:t>.  Time series of daily P loads to Biogeochemical Model of STA-2 FW1.</w:t>
                            </w:r>
                            <w:bookmarkEnd w:id="83"/>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26.5pt;width:467.95pt;height:268.65pt;mso-wrap-style:square;v-text-anchor:top;mso-position-horizontal:left;mso-position-horizontal-relative:margin" wp14:anchorId="4E46533C">
                <v:fill o:detectmouseclick="t" type="solid" color2="black"/>
                <v:stroke color="black" weight="9360" joinstyle="miter" endcap="flat"/>
                <v:textbox>
                  <w:txbxContent>
                    <w:p>
                      <w:pPr>
                        <w:pStyle w:val="FrameContents"/>
                        <w:jc w:val="center"/>
                        <w:rPr/>
                      </w:pPr>
                      <w:r>
                        <w:rPr/>
                        <w:drawing>
                          <wp:inline distT="0" distB="0" distL="0" distR="0">
                            <wp:extent cx="4572000" cy="2868295"/>
                            <wp:effectExtent l="0" t="0" r="0" b="0"/>
                            <wp:docPr id="8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14" descr=""/>
                                    <pic:cNvPicPr>
                                      <a:picLocks noChangeAspect="1" noChangeArrowheads="1"/>
                                    </pic:cNvPicPr>
                                  </pic:nvPicPr>
                                  <pic:blipFill>
                                    <a:blip r:embed="rId92"/>
                                    <a:stretch>
                                      <a:fillRect/>
                                    </a:stretch>
                                  </pic:blipFill>
                                  <pic:spPr bwMode="auto">
                                    <a:xfrm>
                                      <a:off x="0" y="0"/>
                                      <a:ext cx="4572000" cy="2868295"/>
                                    </a:xfrm>
                                    <a:prstGeom prst="rect">
                                      <a:avLst/>
                                    </a:prstGeom>
                                  </pic:spPr>
                                </pic:pic>
                              </a:graphicData>
                            </a:graphic>
                          </wp:inline>
                        </w:drawing>
                      </w:r>
                    </w:p>
                    <w:p>
                      <w:pPr>
                        <w:pStyle w:val="Caption"/>
                        <w:widowControl/>
                        <w:bidi w:val="0"/>
                        <w:spacing w:lineRule="auto" w:line="276" w:before="0" w:after="60"/>
                        <w:jc w:val="center"/>
                        <w:rPr/>
                      </w:pPr>
                      <w:bookmarkStart w:id="84" w:name="_Toc181802657"/>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17</w:t>
                      </w:r>
                      <w:r>
                        <w:rPr/>
                        <w:fldChar w:fldCharType="end"/>
                      </w:r>
                      <w:r>
                        <w:rPr/>
                        <w:t>.  Time series of daily P loads to Biogeochemical Model of STA-2 FW1.</w:t>
                      </w:r>
                      <w:bookmarkEnd w:id="84"/>
                    </w:p>
                  </w:txbxContent>
                </v:textbox>
                <w10:wrap type="square"/>
              </v:rect>
            </w:pict>
          </mc:Fallback>
        </mc:AlternateContent>
      </w:r>
      <w:r>
        <w:br w:type="page"/>
      </w:r>
    </w:p>
    <w:p>
      <w:pPr>
        <w:pStyle w:val="Normal"/>
        <w:spacing w:before="0" w:after="120"/>
        <w:rPr>
          <w:color w:themeColor="text1" w:val="000000"/>
        </w:rPr>
      </w:pPr>
      <w:r>
        <w:rPr>
          <w:color w:themeColor="text1" w:val="000000"/>
        </w:rPr>
        <w:t>The resulting 69 averages were ranked from highest to lowest TP</w:t>
      </w:r>
      <w:r>
        <w:rPr>
          <w:color w:themeColor="text1" w:val="000000"/>
          <w:vertAlign w:val="subscript"/>
        </w:rPr>
        <w:t>W</w:t>
      </w:r>
      <w:r>
        <w:rPr>
          <w:color w:themeColor="text1" w:val="000000"/>
        </w:rPr>
        <w:t xml:space="preserve"> concentrations (Table 2-12). TP</w:t>
      </w:r>
      <w:r>
        <w:rPr>
          <w:color w:themeColor="text1" w:val="000000"/>
          <w:vertAlign w:val="subscript"/>
        </w:rPr>
        <w:t>W</w:t>
      </w:r>
      <w:r>
        <w:rPr>
          <w:color w:themeColor="text1" w:val="000000"/>
        </w:rPr>
        <w:t xml:space="preserve"> concentrations from the base model parameter values were generally in the middle of the range of the 69 average values. The effects of either the low or high test values for several specific parameters on model TP</w:t>
      </w:r>
      <w:r>
        <w:rPr>
          <w:color w:themeColor="text1" w:val="000000"/>
          <w:vertAlign w:val="subscript"/>
        </w:rPr>
        <w:t>W</w:t>
      </w:r>
      <w:r>
        <w:rPr>
          <w:color w:themeColor="text1" w:val="000000"/>
        </w:rPr>
        <w:t xml:space="preserve"> were evident. These included the periphyton C:P ratio (C</w:t>
      </w:r>
      <w:r>
        <w:rPr>
          <w:color w:themeColor="text1" w:val="000000"/>
          <w:vertAlign w:val="subscript"/>
        </w:rPr>
        <w:t>PPERI</w:t>
      </w:r>
      <w:r>
        <w:rPr>
          <w:color w:themeColor="text1" w:val="000000"/>
        </w:rPr>
        <w:t>; g C g P</w:t>
      </w:r>
      <w:r>
        <w:rPr>
          <w:color w:themeColor="text1" w:val="000000"/>
          <w:vertAlign w:val="superscript"/>
        </w:rPr>
        <w:t>-1</w:t>
      </w:r>
      <w:r>
        <w:rPr>
          <w:color w:themeColor="text1" w:val="000000"/>
        </w:rPr>
        <w:t>), the maximum periphyton photosynthetic rate (P</w:t>
      </w:r>
      <w:r>
        <w:rPr>
          <w:color w:themeColor="text1" w:val="000000"/>
          <w:vertAlign w:val="subscript"/>
        </w:rPr>
        <w:t>MXPERI</w:t>
      </w:r>
      <w:r>
        <w:rPr>
          <w:color w:themeColor="text1" w:val="000000"/>
        </w:rPr>
        <w:t>; d</w:t>
      </w:r>
      <w:r>
        <w:rPr>
          <w:color w:themeColor="text1" w:val="000000"/>
          <w:vertAlign w:val="superscript"/>
        </w:rPr>
        <w:t>-1</w:t>
      </w:r>
      <w:r>
        <w:rPr>
          <w:color w:themeColor="text1" w:val="000000"/>
        </w:rPr>
        <w:t>) and biomass (C</w:t>
      </w:r>
      <w:r>
        <w:rPr>
          <w:color w:themeColor="text1" w:val="000000"/>
          <w:vertAlign w:val="subscript"/>
        </w:rPr>
        <w:t>MXPERI</w:t>
      </w:r>
      <w:r>
        <w:rPr>
          <w:color w:themeColor="text1" w:val="000000"/>
        </w:rPr>
        <w:t>; g C m</w:t>
      </w:r>
      <w:r>
        <w:rPr>
          <w:color w:themeColor="text1" w:val="000000"/>
          <w:vertAlign w:val="superscript"/>
        </w:rPr>
        <w:t>-2</w:t>
      </w:r>
      <w:r>
        <w:rPr>
          <w:color w:themeColor="text1" w:val="000000"/>
        </w:rPr>
        <w:t>), the rates of remineralization (k</w:t>
      </w:r>
      <w:r>
        <w:rPr>
          <w:color w:themeColor="text1" w:val="000000"/>
          <w:vertAlign w:val="subscript"/>
        </w:rPr>
        <w:t>REM</w:t>
      </w:r>
      <w:r>
        <w:rPr>
          <w:color w:themeColor="text1" w:val="000000"/>
        </w:rPr>
        <w:t>; d</w:t>
      </w:r>
      <w:r>
        <w:rPr>
          <w:color w:themeColor="text1" w:val="000000"/>
          <w:vertAlign w:val="superscript"/>
        </w:rPr>
        <w:t>-1</w:t>
      </w:r>
      <w:r>
        <w:rPr>
          <w:color w:themeColor="text1" w:val="000000"/>
        </w:rPr>
        <w:t>) and photolysis (k</w:t>
      </w:r>
      <w:r>
        <w:rPr>
          <w:color w:themeColor="text1" w:val="000000"/>
          <w:vertAlign w:val="subscript"/>
        </w:rPr>
        <w:t>PHT</w:t>
      </w:r>
      <w:r>
        <w:rPr>
          <w:color w:themeColor="text1" w:val="000000"/>
        </w:rPr>
        <w:t>; d</w:t>
      </w:r>
      <w:r>
        <w:rPr>
          <w:color w:themeColor="text1" w:val="000000"/>
          <w:vertAlign w:val="superscript"/>
        </w:rPr>
        <w:t>-1</w:t>
      </w:r>
      <w:r>
        <w:rPr>
          <w:color w:themeColor="text1" w:val="000000"/>
        </w:rPr>
        <w:t xml:space="preserve">) of DOP, the maximum </w:t>
      </w:r>
      <w:r>
        <w:rPr>
          <w:i/>
          <w:color w:themeColor="text1" w:val="000000"/>
        </w:rPr>
        <w:t>Typha</w:t>
      </w:r>
      <w:r>
        <w:rPr>
          <w:color w:themeColor="text1" w:val="000000"/>
        </w:rPr>
        <w:t xml:space="preserve"> shoot biomass (C</w:t>
      </w:r>
      <w:r>
        <w:rPr>
          <w:color w:themeColor="text1" w:val="000000"/>
          <w:vertAlign w:val="subscript"/>
        </w:rPr>
        <w:t>MXEAV</w:t>
      </w:r>
      <w:r>
        <w:rPr>
          <w:color w:themeColor="text1" w:val="000000"/>
        </w:rPr>
        <w:t>; g C m</w:t>
      </w:r>
      <w:r>
        <w:rPr>
          <w:color w:themeColor="text1" w:val="000000"/>
          <w:vertAlign w:val="superscript"/>
        </w:rPr>
        <w:t>-2</w:t>
      </w:r>
      <w:r>
        <w:rPr>
          <w:color w:themeColor="text1" w:val="000000"/>
        </w:rPr>
        <w:t>), and the rates of dissolved DOP and DIP efflux from the soil to the water (k</w:t>
      </w:r>
      <w:r>
        <w:rPr>
          <w:color w:themeColor="text1" w:val="000000"/>
          <w:vertAlign w:val="subscript"/>
        </w:rPr>
        <w:t>DOPSWX</w:t>
      </w:r>
      <w:r>
        <w:rPr>
          <w:color w:themeColor="text1" w:val="000000"/>
        </w:rPr>
        <w:t xml:space="preserve"> and k</w:t>
      </w:r>
      <w:r>
        <w:rPr>
          <w:color w:themeColor="text1" w:val="000000"/>
          <w:vertAlign w:val="subscript"/>
        </w:rPr>
        <w:t>DIPSWX</w:t>
      </w:r>
      <w:r>
        <w:rPr>
          <w:color w:themeColor="text1" w:val="000000"/>
        </w:rPr>
        <w:t>; d</w:t>
      </w:r>
      <w:r>
        <w:rPr>
          <w:color w:themeColor="text1" w:val="000000"/>
          <w:vertAlign w:val="superscript"/>
        </w:rPr>
        <w:t>-1</w:t>
      </w:r>
      <w:r>
        <w:rPr>
          <w:color w:themeColor="text1" w:val="000000"/>
        </w:rPr>
        <w:t xml:space="preserve">). Each of these were adjusted to the levels associated with the lowest average TPW concentrations during their respective calibration runs (Table 2-13). </w:t>
      </w:r>
    </w:p>
    <w:p>
      <w:pPr>
        <w:pStyle w:val="Caption"/>
        <w:spacing w:lineRule="auto" w:line="240"/>
        <w:rPr>
          <w:color w:themeColor="text1" w:val="000000"/>
        </w:rPr>
      </w:pPr>
      <w:bookmarkStart w:id="85" w:name="_Toc182250922"/>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13</w:t>
      </w:r>
      <w:r>
        <w:rPr>
          <w:color w:themeColor="text1" w:val="000000"/>
        </w:rPr>
        <w:fldChar w:fldCharType="end"/>
      </w:r>
      <w:r>
        <w:rPr>
          <w:color w:themeColor="text1" w:val="000000"/>
        </w:rPr>
        <w:t>. Results of 69 individual model calibration simulations for the effects of altered magnitudes of 23 different parameters listed in Table 2-4. Extensions on end of each parameter name denote low (_L), base (_B), or high (_H) value from Table 2-4. Results ranked from highest to lowest average water column TP (g P m</w:t>
      </w:r>
      <w:r>
        <w:rPr>
          <w:color w:themeColor="text1" w:val="000000"/>
          <w:vertAlign w:val="superscript"/>
        </w:rPr>
        <w:t>-3</w:t>
      </w:r>
      <w:r>
        <w:rPr>
          <w:color w:themeColor="text1" w:val="000000"/>
        </w:rPr>
        <w:t>).</w:t>
      </w:r>
      <w:bookmarkEnd w:id="85"/>
    </w:p>
    <w:p>
      <w:pPr>
        <w:pStyle w:val="Normal"/>
        <w:jc w:val="center"/>
        <w:rPr>
          <w:color w:themeColor="text1" w:val="000000"/>
        </w:rPr>
      </w:pPr>
      <w:r>
        <w:rPr/>
        <w:drawing>
          <wp:inline distT="0" distB="0" distL="0" distR="0">
            <wp:extent cx="4665980" cy="3200400"/>
            <wp:effectExtent l="0" t="0" r="0" b="0"/>
            <wp:docPr id="8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5" descr=""/>
                    <pic:cNvPicPr>
                      <a:picLocks noChangeAspect="1" noChangeArrowheads="1"/>
                    </pic:cNvPicPr>
                  </pic:nvPicPr>
                  <pic:blipFill>
                    <a:blip r:embed="rId93"/>
                    <a:stretch>
                      <a:fillRect/>
                    </a:stretch>
                  </pic:blipFill>
                  <pic:spPr bwMode="auto">
                    <a:xfrm>
                      <a:off x="0" y="0"/>
                      <a:ext cx="4665980" cy="3200400"/>
                    </a:xfrm>
                    <a:prstGeom prst="rect">
                      <a:avLst/>
                    </a:prstGeom>
                  </pic:spPr>
                </pic:pic>
              </a:graphicData>
            </a:graphic>
          </wp:inline>
        </w:drawing>
      </w:r>
    </w:p>
    <w:p>
      <w:pPr>
        <w:pStyle w:val="Normal"/>
        <w:spacing w:lineRule="auto" w:line="240" w:before="0" w:after="0"/>
        <w:jc w:val="left"/>
        <w:rPr>
          <w:b/>
          <w:color w:themeColor="text1" w:val="000000"/>
          <w:sz w:val="20"/>
        </w:rPr>
      </w:pPr>
      <w:r>
        <w:rPr>
          <w:b/>
          <w:color w:themeColor="text1" w:val="000000"/>
          <w:sz w:val="20"/>
        </w:rPr>
      </w:r>
      <w:bookmarkStart w:id="86" w:name="_Hlk170400269"/>
      <w:bookmarkStart w:id="87" w:name="_Hlk170400269"/>
    </w:p>
    <w:p>
      <w:pPr>
        <w:pStyle w:val="Caption"/>
        <w:spacing w:lineRule="auto" w:line="240"/>
        <w:rPr>
          <w:color w:themeColor="text1" w:val="000000"/>
        </w:rPr>
      </w:pPr>
      <w:bookmarkStart w:id="88" w:name="_Toc182250923"/>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14</w:t>
      </w:r>
      <w:r>
        <w:rPr>
          <w:color w:themeColor="text1" w:val="000000"/>
        </w:rPr>
        <w:fldChar w:fldCharType="end"/>
      </w:r>
      <w:r>
        <w:rPr>
          <w:color w:themeColor="text1" w:val="000000"/>
        </w:rPr>
        <w:t>. The key parameters and their symbols, definitions, units, and value.</w:t>
      </w:r>
      <w:bookmarkEnd w:id="87"/>
      <w:bookmarkEnd w:id="88"/>
    </w:p>
    <w:p>
      <w:pPr>
        <w:pStyle w:val="Normal"/>
        <w:rPr>
          <w:color w:themeColor="text1" w:val="000000"/>
        </w:rPr>
      </w:pPr>
      <w:r>
        <w:rPr/>
        <w:drawing>
          <wp:inline distT="0" distB="0" distL="0" distR="0">
            <wp:extent cx="5918835" cy="1295400"/>
            <wp:effectExtent l="0" t="0" r="0" b="0"/>
            <wp:docPr id="86"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5" descr=""/>
                    <pic:cNvPicPr>
                      <a:picLocks noChangeAspect="1" noChangeArrowheads="1"/>
                    </pic:cNvPicPr>
                  </pic:nvPicPr>
                  <pic:blipFill>
                    <a:blip r:embed="rId94"/>
                    <a:stretch>
                      <a:fillRect/>
                    </a:stretch>
                  </pic:blipFill>
                  <pic:spPr bwMode="auto">
                    <a:xfrm>
                      <a:off x="0" y="0"/>
                      <a:ext cx="5918835" cy="1295400"/>
                    </a:xfrm>
                    <a:prstGeom prst="rect">
                      <a:avLst/>
                    </a:prstGeom>
                  </pic:spPr>
                </pic:pic>
              </a:graphicData>
            </a:graphic>
          </wp:inline>
        </w:drawing>
      </w:r>
    </w:p>
    <w:p>
      <w:pPr>
        <w:pStyle w:val="Normal"/>
        <w:rPr>
          <w:color w:themeColor="text1" w:val="000000"/>
        </w:rPr>
      </w:pPr>
      <w:r>
        <w:rPr>
          <w:color w:themeColor="text1" w:val="000000"/>
        </w:rPr>
      </w:r>
    </w:p>
    <w:p>
      <w:pPr>
        <w:pStyle w:val="Normal"/>
        <w:rPr>
          <w:color w:themeColor="text1" w:val="000000"/>
        </w:rPr>
      </w:pPr>
      <w:r>
        <w:rPr>
          <w:color w:themeColor="text1" w:val="000000"/>
        </w:rPr>
        <w:t>The model daily time series and average concentrations for all 15 pools were evaluated during calibration and tuning. Although the key parameters for overall TP</w:t>
      </w:r>
      <w:r>
        <w:rPr>
          <w:color w:themeColor="text1" w:val="000000"/>
          <w:vertAlign w:val="subscript"/>
        </w:rPr>
        <w:t>W</w:t>
      </w:r>
      <w:r>
        <w:rPr>
          <w:color w:themeColor="text1" w:val="000000"/>
        </w:rPr>
        <w:t xml:space="preserve"> concentrations were identified, the adjustments led to changes in some of the individual biogeochemical pools. In particular, the vertical processes of particulate sinking from the water and diffusive efflux from the soil were recognized as key to the predicted concentrations of DOP, DIP, and PIP in the water and soil. Twenty more simulations were performed to further assess the effects of varying each of four different parameters on the average concentrations. Five different values were used for each of the four parameters and evaluated using bar charts marked with reference lines for the respective BGC Model targets (DOP</w:t>
      </w:r>
      <w:r>
        <w:rPr>
          <w:color w:themeColor="text1" w:val="000000"/>
          <w:vertAlign w:val="subscript"/>
        </w:rPr>
        <w:t>S</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S</w:t>
      </w:r>
      <w:r>
        <w:rPr>
          <w:color w:themeColor="text1" w:val="000000"/>
        </w:rPr>
        <w:t>, DIP</w:t>
      </w:r>
      <w:r>
        <w:rPr>
          <w:color w:themeColor="text1" w:val="000000"/>
          <w:vertAlign w:val="subscript"/>
        </w:rPr>
        <w:t>W</w:t>
      </w:r>
      <w:r>
        <w:rPr>
          <w:color w:themeColor="text1" w:val="000000"/>
        </w:rPr>
        <w:t>, PIP</w:t>
      </w:r>
      <w:r>
        <w:rPr>
          <w:color w:themeColor="text1" w:val="000000"/>
          <w:vertAlign w:val="subscript"/>
        </w:rPr>
        <w:t>S</w:t>
      </w:r>
      <w:r>
        <w:rPr>
          <w:color w:themeColor="text1" w:val="000000"/>
        </w:rPr>
        <w:t>, PIP</w:t>
      </w:r>
      <w:r>
        <w:rPr>
          <w:color w:themeColor="text1" w:val="000000"/>
          <w:vertAlign w:val="subscript"/>
        </w:rPr>
        <w:t>W</w:t>
      </w:r>
      <w:r>
        <w:rPr>
          <w:color w:themeColor="text1" w:val="000000"/>
        </w:rPr>
        <w:t>). The four parameters were k</w:t>
      </w:r>
      <w:r>
        <w:rPr>
          <w:color w:themeColor="text1" w:val="000000"/>
          <w:vertAlign w:val="subscript"/>
        </w:rPr>
        <w:t>DOPSWX</w:t>
      </w:r>
      <w:r>
        <w:rPr>
          <w:color w:themeColor="text1" w:val="000000"/>
        </w:rPr>
        <w:t>, k</w:t>
      </w:r>
      <w:r>
        <w:rPr>
          <w:color w:themeColor="text1" w:val="000000"/>
          <w:vertAlign w:val="subscript"/>
        </w:rPr>
        <w:t>DIPSWX</w:t>
      </w:r>
      <w:r>
        <w:rPr>
          <w:color w:themeColor="text1" w:val="000000"/>
        </w:rPr>
        <w:t>, the PIP vertical sinking rate (k</w:t>
      </w:r>
      <w:r>
        <w:rPr>
          <w:color w:themeColor="text1" w:val="000000"/>
          <w:vertAlign w:val="subscript"/>
        </w:rPr>
        <w:t>PIPWS</w:t>
      </w:r>
      <w:r>
        <w:rPr>
          <w:color w:themeColor="text1" w:val="000000"/>
        </w:rPr>
        <w:t>; m d</w:t>
      </w:r>
      <w:r>
        <w:rPr>
          <w:color w:themeColor="text1" w:val="000000"/>
          <w:vertAlign w:val="superscript"/>
        </w:rPr>
        <w:t>-1</w:t>
      </w:r>
      <w:r>
        <w:rPr>
          <w:color w:themeColor="text1" w:val="000000"/>
        </w:rPr>
        <w:t>), and the soil PIP deposition rate (k</w:t>
      </w:r>
      <w:r>
        <w:rPr>
          <w:color w:themeColor="text1" w:val="000000"/>
          <w:vertAlign w:val="subscript"/>
        </w:rPr>
        <w:t>PIPDEP</w:t>
      </w:r>
      <w:r>
        <w:rPr>
          <w:color w:themeColor="text1" w:val="000000"/>
        </w:rPr>
        <w:t>; d</w:t>
      </w:r>
      <w:r>
        <w:rPr>
          <w:color w:themeColor="text1" w:val="000000"/>
          <w:vertAlign w:val="superscript"/>
        </w:rPr>
        <w:t>-1</w:t>
      </w:r>
      <w:r>
        <w:rPr>
          <w:color w:themeColor="text1" w:val="000000"/>
        </w:rPr>
        <w:t xml:space="preserve">; Table 2-14). </w:t>
      </w:r>
    </w:p>
    <w:p>
      <w:pPr>
        <w:pStyle w:val="Caption"/>
        <w:spacing w:lineRule="auto" w:line="240"/>
        <w:rPr>
          <w:color w:themeColor="text1" w:val="000000"/>
        </w:rPr>
      </w:pPr>
      <w:bookmarkStart w:id="89" w:name="_Toc182250924"/>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15</w:t>
      </w:r>
      <w:r>
        <w:rPr>
          <w:color w:themeColor="text1" w:val="000000"/>
        </w:rPr>
        <w:fldChar w:fldCharType="end"/>
      </w:r>
      <w:r>
        <w:rPr>
          <w:color w:themeColor="text1" w:val="000000"/>
        </w:rPr>
        <w:t>. The parameters and ranges of values for series to calibrate DOP, DIP, and PIP in the soil and water of the Biogeochemical Model of STA FW1.</w:t>
      </w:r>
      <w:bookmarkEnd w:id="89"/>
    </w:p>
    <w:p>
      <w:pPr>
        <w:pStyle w:val="Normal"/>
        <w:rPr>
          <w:color w:themeColor="text1" w:val="000000"/>
        </w:rPr>
      </w:pPr>
      <w:r>
        <w:rPr/>
        <w:drawing>
          <wp:inline distT="0" distB="0" distL="0" distR="0">
            <wp:extent cx="5968365" cy="784860"/>
            <wp:effectExtent l="0" t="0" r="0" b="0"/>
            <wp:docPr id="8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16" descr=""/>
                    <pic:cNvPicPr>
                      <a:picLocks noChangeAspect="1" noChangeArrowheads="1"/>
                    </pic:cNvPicPr>
                  </pic:nvPicPr>
                  <pic:blipFill>
                    <a:blip r:embed="rId95"/>
                    <a:stretch>
                      <a:fillRect/>
                    </a:stretch>
                  </pic:blipFill>
                  <pic:spPr bwMode="auto">
                    <a:xfrm>
                      <a:off x="0" y="0"/>
                      <a:ext cx="5968365" cy="784860"/>
                    </a:xfrm>
                    <a:prstGeom prst="rect">
                      <a:avLst/>
                    </a:prstGeom>
                  </pic:spPr>
                </pic:pic>
              </a:graphicData>
            </a:graphic>
          </wp:inline>
        </w:drawing>
      </w:r>
    </w:p>
    <w:p>
      <w:pPr>
        <w:pStyle w:val="Normal"/>
        <w:rPr>
          <w:color w:themeColor="text1" w:val="000000"/>
        </w:rPr>
      </w:pPr>
      <w:r>
        <w:rPr>
          <w:color w:themeColor="text1" w:val="000000"/>
        </w:rPr>
        <w:t>Varying the rate k</w:t>
      </w:r>
      <w:r>
        <w:rPr>
          <w:color w:themeColor="text1" w:val="000000"/>
          <w:vertAlign w:val="subscript"/>
        </w:rPr>
        <w:t>DIPSWX</w:t>
      </w:r>
      <w:r>
        <w:rPr>
          <w:color w:themeColor="text1" w:val="000000"/>
        </w:rPr>
        <w:t xml:space="preserve"> from 0.002-0.1 d</w:t>
      </w:r>
      <w:r>
        <w:rPr>
          <w:color w:themeColor="text1" w:val="000000"/>
          <w:vertAlign w:val="superscript"/>
        </w:rPr>
        <w:t xml:space="preserve">-1 </w:t>
      </w:r>
      <w:r>
        <w:rPr>
          <w:color w:themeColor="text1" w:val="000000"/>
        </w:rPr>
        <w:t>did not affect the concentration of DIP in the soil (DIP</w:t>
      </w:r>
      <w:r>
        <w:rPr>
          <w:color w:themeColor="text1" w:val="000000"/>
          <w:vertAlign w:val="subscript"/>
        </w:rPr>
        <w:t>S</w:t>
      </w:r>
      <w:r>
        <w:rPr>
          <w:color w:themeColor="text1" w:val="000000"/>
        </w:rPr>
        <w:t>; Figure 2-16A). However, increasing the value to &gt;0.01 d</w:t>
      </w:r>
      <w:r>
        <w:rPr>
          <w:color w:themeColor="text1" w:val="000000"/>
          <w:vertAlign w:val="superscript"/>
        </w:rPr>
        <w:t>-1</w:t>
      </w:r>
      <w:r>
        <w:rPr>
          <w:color w:themeColor="text1" w:val="000000"/>
        </w:rPr>
        <w:t xml:space="preserve"> elevated DIP</w:t>
      </w:r>
      <w:r>
        <w:rPr>
          <w:color w:themeColor="text1" w:val="000000"/>
          <w:vertAlign w:val="subscript"/>
        </w:rPr>
        <w:t>W</w:t>
      </w:r>
      <w:r>
        <w:rPr>
          <w:color w:themeColor="text1" w:val="000000"/>
        </w:rPr>
        <w:t xml:space="preserve"> and TP</w:t>
      </w:r>
      <w:r>
        <w:rPr>
          <w:color w:themeColor="text1" w:val="000000"/>
          <w:vertAlign w:val="subscript"/>
        </w:rPr>
        <w:t>W</w:t>
      </w:r>
      <w:r>
        <w:rPr>
          <w:color w:themeColor="text1" w:val="000000"/>
        </w:rPr>
        <w:t xml:space="preserve"> to 0.030 and 0.073 g P m</w:t>
      </w:r>
      <w:r>
        <w:rPr>
          <w:color w:themeColor="text1" w:val="000000"/>
          <w:vertAlign w:val="superscript"/>
        </w:rPr>
        <w:t>-3</w:t>
      </w:r>
      <w:r>
        <w:rPr>
          <w:color w:themeColor="text1" w:val="000000"/>
        </w:rPr>
        <w:t>, respectively (Figure 2-16B and 2-16C). This value was determined to be 0.007 d</w:t>
      </w:r>
      <w:r>
        <w:rPr>
          <w:color w:themeColor="text1" w:val="000000"/>
          <w:vertAlign w:val="superscript"/>
        </w:rPr>
        <w:t>-1</w:t>
      </w:r>
      <w:r>
        <w:rPr>
          <w:color w:themeColor="text1" w:val="000000"/>
        </w:rPr>
        <w:t xml:space="preserve"> in a model of dissolved P diffusion in the STAs (UF-WBL 2019). Thus, k</w:t>
      </w:r>
      <w:r>
        <w:rPr>
          <w:color w:themeColor="text1" w:val="000000"/>
          <w:vertAlign w:val="subscript"/>
        </w:rPr>
        <w:t>DIPSWX</w:t>
      </w:r>
      <w:r>
        <w:rPr>
          <w:color w:themeColor="text1" w:val="000000"/>
        </w:rPr>
        <w:t xml:space="preserve"> = 0.01 d</w:t>
      </w:r>
      <w:r>
        <w:rPr>
          <w:color w:themeColor="text1" w:val="000000"/>
          <w:vertAlign w:val="superscript"/>
        </w:rPr>
        <w:t>-1</w:t>
      </w:r>
      <w:r>
        <w:rPr>
          <w:color w:themeColor="text1" w:val="000000"/>
        </w:rPr>
        <w:t xml:space="preserve"> was considered optimal. In contrast, increasing the rate of DOP efflux from the soil (k</w:t>
      </w:r>
      <w:r>
        <w:rPr>
          <w:color w:themeColor="text1" w:val="000000"/>
          <w:vertAlign w:val="subscript"/>
        </w:rPr>
        <w:t>DOPSWX</w:t>
      </w:r>
      <w:r>
        <w:rPr>
          <w:color w:themeColor="text1" w:val="000000"/>
        </w:rPr>
        <w:t>) from 0.002-0.1 d</w:t>
      </w:r>
      <w:r>
        <w:rPr>
          <w:color w:themeColor="text1" w:val="000000"/>
          <w:vertAlign w:val="superscript"/>
        </w:rPr>
        <w:t>-1</w:t>
      </w:r>
      <w:r>
        <w:rPr>
          <w:color w:themeColor="text1" w:val="000000"/>
        </w:rPr>
        <w:t xml:space="preserve"> led to decreased DOP</w:t>
      </w:r>
      <w:r>
        <w:rPr>
          <w:color w:themeColor="text1" w:val="000000"/>
          <w:vertAlign w:val="subscript"/>
        </w:rPr>
        <w:t>S</w:t>
      </w:r>
      <w:r>
        <w:rPr>
          <w:color w:themeColor="text1" w:val="000000"/>
        </w:rPr>
        <w:t xml:space="preserve"> and greatly increased DOP</w:t>
      </w:r>
      <w:r>
        <w:rPr>
          <w:color w:themeColor="text1" w:val="000000"/>
          <w:vertAlign w:val="subscript"/>
        </w:rPr>
        <w:t>W</w:t>
      </w:r>
      <w:r>
        <w:rPr>
          <w:color w:themeColor="text1" w:val="000000"/>
        </w:rPr>
        <w:t xml:space="preserve"> (Figure 2-16D and 18E). Increasing k</w:t>
      </w:r>
      <w:r>
        <w:rPr>
          <w:color w:themeColor="text1" w:val="000000"/>
          <w:vertAlign w:val="subscript"/>
        </w:rPr>
        <w:t>DOPSWX</w:t>
      </w:r>
      <w:r>
        <w:rPr>
          <w:color w:themeColor="text1" w:val="000000"/>
        </w:rPr>
        <w:t xml:space="preserve"> from 0.01 d</w:t>
      </w:r>
      <w:r>
        <w:rPr>
          <w:color w:themeColor="text1" w:val="000000"/>
          <w:vertAlign w:val="superscript"/>
        </w:rPr>
        <w:t>-1</w:t>
      </w:r>
      <w:r>
        <w:rPr>
          <w:color w:themeColor="text1" w:val="000000"/>
        </w:rPr>
        <w:t xml:space="preserve"> to 0.05 d</w:t>
      </w:r>
      <w:r>
        <w:rPr>
          <w:color w:themeColor="text1" w:val="000000"/>
          <w:vertAlign w:val="superscript"/>
        </w:rPr>
        <w:t>-1</w:t>
      </w:r>
      <w:r>
        <w:rPr>
          <w:color w:themeColor="text1" w:val="000000"/>
        </w:rPr>
        <w:t xml:space="preserve"> decreased DOP</w:t>
      </w:r>
      <w:r>
        <w:rPr>
          <w:color w:themeColor="text1" w:val="000000"/>
          <w:vertAlign w:val="subscript"/>
        </w:rPr>
        <w:t>S</w:t>
      </w:r>
      <w:r>
        <w:rPr>
          <w:color w:themeColor="text1" w:val="000000"/>
        </w:rPr>
        <w:t xml:space="preserve"> by two-thirds and doubled DOPW. The changes were reflected in the model TPW concentrations (Figure 2-16F). In this case, 0.005 d</w:t>
      </w:r>
      <w:r>
        <w:rPr>
          <w:color w:themeColor="text1" w:val="000000"/>
          <w:vertAlign w:val="superscript"/>
        </w:rPr>
        <w:t>-1</w:t>
      </w:r>
      <w:r>
        <w:rPr>
          <w:color w:themeColor="text1" w:val="000000"/>
        </w:rPr>
        <w:t xml:space="preserve"> was considered optimal. Varying the rate of PIP</w:t>
      </w:r>
      <w:r>
        <w:rPr>
          <w:color w:themeColor="text1" w:val="000000"/>
          <w:vertAlign w:val="subscript"/>
        </w:rPr>
        <w:t>W</w:t>
      </w:r>
      <w:r>
        <w:rPr>
          <w:color w:themeColor="text1" w:val="000000"/>
        </w:rPr>
        <w:t xml:space="preserve"> sinking from the water (k</w:t>
      </w:r>
      <w:r>
        <w:rPr>
          <w:color w:themeColor="text1" w:val="000000"/>
          <w:vertAlign w:val="subscript"/>
        </w:rPr>
        <w:t>PIPWS</w:t>
      </w:r>
      <w:r>
        <w:rPr>
          <w:color w:themeColor="text1" w:val="000000"/>
        </w:rPr>
        <w:t>) from 0.05-1.0 m d</w:t>
      </w:r>
      <w:r>
        <w:rPr>
          <w:color w:themeColor="text1" w:val="000000"/>
          <w:vertAlign w:val="superscript"/>
        </w:rPr>
        <w:t>-1</w:t>
      </w:r>
      <w:r>
        <w:rPr>
          <w:color w:themeColor="text1" w:val="000000"/>
        </w:rPr>
        <w:t xml:space="preserve"> did not affect the concentration of PIP in the soil (Figure 2-16G). However, there was an exponential decline in the PIP</w:t>
      </w:r>
      <w:r>
        <w:rPr>
          <w:color w:themeColor="text1" w:val="000000"/>
          <w:vertAlign w:val="subscript"/>
        </w:rPr>
        <w:t>W</w:t>
      </w:r>
      <w:r>
        <w:rPr>
          <w:color w:themeColor="text1" w:val="000000"/>
        </w:rPr>
        <w:t xml:space="preserve"> concentration and associated decreased TP</w:t>
      </w:r>
      <w:r>
        <w:rPr>
          <w:color w:themeColor="text1" w:val="000000"/>
          <w:vertAlign w:val="subscript"/>
        </w:rPr>
        <w:t>W</w:t>
      </w:r>
      <w:r>
        <w:rPr>
          <w:color w:themeColor="text1" w:val="000000"/>
        </w:rPr>
        <w:t xml:space="preserve"> (Figure 2-16H and 2-16I). Finally, increasing the rate of PIP</w:t>
      </w:r>
      <w:r>
        <w:rPr>
          <w:color w:themeColor="text1" w:val="000000"/>
          <w:vertAlign w:val="subscript"/>
        </w:rPr>
        <w:t>S</w:t>
      </w:r>
      <w:r>
        <w:rPr>
          <w:color w:themeColor="text1" w:val="000000"/>
        </w:rPr>
        <w:t xml:space="preserve"> deposition from 0.01-0.2 d</w:t>
      </w:r>
      <w:r>
        <w:rPr>
          <w:color w:themeColor="text1" w:val="000000"/>
          <w:vertAlign w:val="superscript"/>
        </w:rPr>
        <w:t>-1</w:t>
      </w:r>
      <w:r>
        <w:rPr>
          <w:color w:themeColor="text1" w:val="000000"/>
        </w:rPr>
        <w:t xml:space="preserve"> led to a rapid decline in PIP</w:t>
      </w:r>
      <w:r>
        <w:rPr>
          <w:color w:themeColor="text1" w:val="000000"/>
          <w:vertAlign w:val="subscript"/>
        </w:rPr>
        <w:t>S</w:t>
      </w:r>
      <w:r>
        <w:rPr>
          <w:color w:themeColor="text1" w:val="000000"/>
        </w:rPr>
        <w:t xml:space="preserve"> from 7.9 g P m</w:t>
      </w:r>
      <w:r>
        <w:rPr>
          <w:color w:themeColor="text1" w:val="000000"/>
          <w:vertAlign w:val="superscript"/>
        </w:rPr>
        <w:t>-2</w:t>
      </w:r>
      <w:r>
        <w:rPr>
          <w:color w:themeColor="text1" w:val="000000"/>
        </w:rPr>
        <w:t xml:space="preserve"> to 0.11 g P m</w:t>
      </w:r>
      <w:r>
        <w:rPr>
          <w:color w:themeColor="text1" w:val="000000"/>
          <w:vertAlign w:val="superscript"/>
        </w:rPr>
        <w:t>-2</w:t>
      </w:r>
      <w:r>
        <w:rPr>
          <w:color w:themeColor="text1" w:val="000000"/>
        </w:rPr>
        <w:t xml:space="preserve"> but did not affect TP</w:t>
      </w:r>
      <w:r>
        <w:rPr>
          <w:color w:themeColor="text1" w:val="000000"/>
          <w:vertAlign w:val="subscript"/>
        </w:rPr>
        <w:t>W</w:t>
      </w:r>
      <w:r>
        <w:rPr>
          <w:color w:themeColor="text1" w:val="000000"/>
        </w:rPr>
        <w:t xml:space="preserve"> (Figure 2-16J and 2-16K).  </w:t>
      </w:r>
    </w:p>
    <w:p>
      <w:pPr>
        <w:pStyle w:val="Normal"/>
        <w:rPr>
          <w:color w:themeColor="text1" w:val="000000"/>
        </w:rPr>
      </w:pPr>
      <w:r>
        <w:rPr>
          <w:color w:themeColor="text1" w:val="000000"/>
        </w:rPr>
        <w:t>The adjustments to the parameters which modulate DIP and PIP led to an evaluation of the function to simulate the co-precipitation of DIP</w:t>
      </w:r>
      <w:r>
        <w:rPr>
          <w:color w:themeColor="text1" w:val="000000"/>
          <w:vertAlign w:val="subscript"/>
        </w:rPr>
        <w:t>W</w:t>
      </w:r>
      <w:r>
        <w:rPr>
          <w:color w:themeColor="text1" w:val="000000"/>
        </w:rPr>
        <w:t xml:space="preserve"> (DIP</w:t>
      </w:r>
      <w:r>
        <w:rPr>
          <w:color w:themeColor="text1" w:val="000000"/>
          <w:vertAlign w:val="subscript"/>
        </w:rPr>
        <w:t>WPRC</w:t>
      </w:r>
      <w:r>
        <w:rPr>
          <w:color w:themeColor="text1" w:val="000000"/>
        </w:rPr>
        <w:t>; g P m</w:t>
      </w:r>
      <w:r>
        <w:rPr>
          <w:color w:themeColor="text1" w:val="000000"/>
          <w:vertAlign w:val="superscript"/>
        </w:rPr>
        <w:t>-3</w:t>
      </w:r>
      <w:r>
        <w:rPr>
          <w:color w:themeColor="text1" w:val="000000"/>
        </w:rPr>
        <w:t xml:space="preserve"> d</w:t>
      </w:r>
      <w:r>
        <w:rPr>
          <w:color w:themeColor="text1" w:val="000000"/>
          <w:vertAlign w:val="superscript"/>
        </w:rPr>
        <w:t>-1</w:t>
      </w:r>
      <w:r>
        <w:rPr>
          <w:color w:themeColor="text1" w:val="000000"/>
        </w:rPr>
        <w:t>) with increased total gross primary production (G</w:t>
      </w:r>
      <w:r>
        <w:rPr>
          <w:color w:themeColor="text1" w:val="000000"/>
          <w:vertAlign w:val="subscript"/>
        </w:rPr>
        <w:t>TOTAL</w:t>
      </w:r>
      <w:r>
        <w:rPr>
          <w:color w:themeColor="text1" w:val="000000"/>
        </w:rPr>
        <w:t xml:space="preserve"> = G</w:t>
      </w:r>
      <w:r>
        <w:rPr>
          <w:color w:themeColor="text1" w:val="000000"/>
          <w:vertAlign w:val="subscript"/>
        </w:rPr>
        <w:t>PHYTO</w:t>
      </w:r>
      <w:r>
        <w:rPr>
          <w:color w:themeColor="text1" w:val="000000"/>
        </w:rPr>
        <w:t xml:space="preserve"> + G</w:t>
      </w:r>
      <w:r>
        <w:rPr>
          <w:color w:themeColor="text1" w:val="000000"/>
          <w:vertAlign w:val="subscript"/>
        </w:rPr>
        <w:t>PERI</w:t>
      </w:r>
      <w:r>
        <w:rPr>
          <w:color w:themeColor="text1" w:val="000000"/>
        </w:rPr>
        <w:t xml:space="preserve"> + G</w:t>
      </w:r>
      <w:r>
        <w:rPr>
          <w:color w:themeColor="text1" w:val="000000"/>
          <w:vertAlign w:val="subscript"/>
        </w:rPr>
        <w:t>SAV</w:t>
      </w:r>
      <w:r>
        <w:rPr>
          <w:color w:themeColor="text1" w:val="000000"/>
        </w:rPr>
        <w:t>; g C m</w:t>
      </w:r>
      <w:r>
        <w:rPr>
          <w:color w:themeColor="text1" w:val="000000"/>
          <w:vertAlign w:val="superscript"/>
        </w:rPr>
        <w:t>-2</w:t>
      </w:r>
      <w:r>
        <w:rPr>
          <w:color w:themeColor="text1" w:val="000000"/>
        </w:rPr>
        <w:t xml:space="preserve"> d</w:t>
      </w:r>
      <w:r>
        <w:rPr>
          <w:color w:themeColor="text1" w:val="000000"/>
          <w:vertAlign w:val="superscript"/>
        </w:rPr>
        <w:t>-1</w:t>
      </w:r>
      <w:r>
        <w:rPr>
          <w:color w:themeColor="text1" w:val="000000"/>
        </w:rPr>
        <w:t>; Figure 2-17A). A calibration series was performed to test the effects of varying the slope of the linear relationship (a</w:t>
      </w:r>
      <w:r>
        <w:rPr>
          <w:color w:themeColor="text1" w:val="000000"/>
          <w:vertAlign w:val="subscript"/>
        </w:rPr>
        <w:t>PRC</w:t>
      </w:r>
      <w:r>
        <w:rPr>
          <w:color w:themeColor="text1" w:val="000000"/>
        </w:rPr>
        <w:t>) between G</w:t>
      </w:r>
      <w:r>
        <w:rPr>
          <w:color w:themeColor="text1" w:val="000000"/>
          <w:vertAlign w:val="subscript"/>
        </w:rPr>
        <w:t>TOTAL</w:t>
      </w:r>
      <w:r>
        <w:rPr>
          <w:color w:themeColor="text1" w:val="000000"/>
        </w:rPr>
        <w:t xml:space="preserve"> and DIP</w:t>
      </w:r>
      <w:r>
        <w:rPr>
          <w:color w:themeColor="text1" w:val="000000"/>
          <w:vertAlign w:val="subscript"/>
        </w:rPr>
        <w:t>WPRC</w:t>
      </w:r>
      <w:r>
        <w:rPr>
          <w:color w:themeColor="text1" w:val="000000"/>
        </w:rPr>
        <w:t xml:space="preserve"> from 0.001 to 0.01 g P g C</w:t>
      </w:r>
      <w:r>
        <w:rPr>
          <w:color w:themeColor="text1" w:val="000000"/>
          <w:vertAlign w:val="superscript"/>
        </w:rPr>
        <w:t>-1</w:t>
      </w:r>
      <w:r>
        <w:rPr>
          <w:color w:themeColor="text1" w:val="000000"/>
        </w:rPr>
        <w:t xml:space="preserve"> on D</w:t>
      </w:r>
      <w:r>
        <w:rPr>
          <w:color w:themeColor="text1" w:val="000000"/>
          <w:vertAlign w:val="subscript"/>
        </w:rPr>
        <w:t>IPW</w:t>
      </w:r>
      <w:r>
        <w:rPr>
          <w:color w:themeColor="text1" w:val="000000"/>
        </w:rPr>
        <w:t>, PIP</w:t>
      </w:r>
      <w:r>
        <w:rPr>
          <w:color w:themeColor="text1" w:val="000000"/>
          <w:vertAlign w:val="subscript"/>
        </w:rPr>
        <w:t>W</w:t>
      </w:r>
      <w:r>
        <w:rPr>
          <w:color w:themeColor="text1" w:val="000000"/>
        </w:rPr>
        <w:t>, and TP</w:t>
      </w:r>
      <w:r>
        <w:rPr>
          <w:color w:themeColor="text1" w:val="000000"/>
          <w:vertAlign w:val="subscript"/>
        </w:rPr>
        <w:t>W</w:t>
      </w:r>
      <w:r>
        <w:rPr>
          <w:color w:themeColor="text1" w:val="000000"/>
        </w:rPr>
        <w:t xml:space="preserve"> (Figure 2-17B through 2-17D).  Increasing a</w:t>
      </w:r>
      <w:r>
        <w:rPr>
          <w:color w:themeColor="text1" w:val="000000"/>
          <w:vertAlign w:val="subscript"/>
        </w:rPr>
        <w:t>PRC</w:t>
      </w:r>
      <w:r>
        <w:rPr>
          <w:color w:themeColor="text1" w:val="000000"/>
        </w:rPr>
        <w:t xml:space="preserve"> decreased model average DIP</w:t>
      </w:r>
      <w:r>
        <w:rPr>
          <w:color w:themeColor="text1" w:val="000000"/>
          <w:vertAlign w:val="subscript"/>
        </w:rPr>
        <w:t>W</w:t>
      </w:r>
      <w:r>
        <w:rPr>
          <w:color w:themeColor="text1" w:val="000000"/>
        </w:rPr>
        <w:t xml:space="preserve"> (0.0731 to 0.0439 g P m</w:t>
      </w:r>
      <w:r>
        <w:rPr>
          <w:color w:themeColor="text1" w:val="000000"/>
          <w:vertAlign w:val="superscript"/>
        </w:rPr>
        <w:t>-3</w:t>
      </w:r>
      <w:r>
        <w:rPr>
          <w:color w:themeColor="text1" w:val="000000"/>
        </w:rPr>
        <w:t>), increased model average PIP</w:t>
      </w:r>
      <w:r>
        <w:rPr>
          <w:color w:themeColor="text1" w:val="000000"/>
          <w:vertAlign w:val="subscript"/>
        </w:rPr>
        <w:t>W</w:t>
      </w:r>
      <w:r>
        <w:rPr>
          <w:color w:themeColor="text1" w:val="000000"/>
        </w:rPr>
        <w:t xml:space="preserve"> (0.079 to 0.117 g P m</w:t>
      </w:r>
      <w:r>
        <w:rPr>
          <w:color w:themeColor="text1" w:val="000000"/>
          <w:vertAlign w:val="superscript"/>
        </w:rPr>
        <w:t>-3</w:t>
      </w:r>
      <w:r>
        <w:rPr>
          <w:color w:themeColor="text1" w:val="000000"/>
        </w:rPr>
        <w:t>), and decreased model average TP</w:t>
      </w:r>
      <w:r>
        <w:rPr>
          <w:color w:themeColor="text1" w:val="000000"/>
          <w:vertAlign w:val="subscript"/>
        </w:rPr>
        <w:t>W</w:t>
      </w:r>
      <w:r>
        <w:rPr>
          <w:color w:themeColor="text1" w:val="000000"/>
        </w:rPr>
        <w:t xml:space="preserve"> (0.1249 to 0.0973 g P m</w:t>
      </w:r>
      <w:r>
        <w:rPr>
          <w:color w:themeColor="text1" w:val="000000"/>
          <w:vertAlign w:val="superscript"/>
        </w:rPr>
        <w:noBreakHyphen/>
        <w:t>3</w:t>
      </w:r>
      <w:r>
        <w:rPr>
          <w:color w:themeColor="text1" w:val="000000"/>
        </w:rPr>
        <w:t>).  This calibration exercise indicated that a value of 0.002 g P g C</w:t>
      </w:r>
      <w:r>
        <w:rPr>
          <w:color w:themeColor="text1" w:val="000000"/>
          <w:vertAlign w:val="superscript"/>
        </w:rPr>
        <w:t>-1</w:t>
      </w:r>
      <w:r>
        <w:rPr>
          <w:color w:themeColor="text1" w:val="000000"/>
        </w:rPr>
        <w:t xml:space="preserve"> might be optimal for a</w:t>
      </w:r>
      <w:r>
        <w:rPr>
          <w:color w:themeColor="text1" w:val="000000"/>
          <w:vertAlign w:val="subscript"/>
        </w:rPr>
        <w:t>PRC</w:t>
      </w:r>
      <w:r>
        <w:rPr>
          <w:color w:themeColor="text1" w:val="000000"/>
        </w:rPr>
        <w:t xml:space="preserve"> in the BGC Model (Figure 2-17B). </w:t>
      </w:r>
    </w:p>
    <w:p>
      <w:pPr>
        <w:pStyle w:val="Normal"/>
        <w:rPr>
          <w:color w:themeColor="text1" w:val="000000"/>
        </w:rPr>
      </w:pPr>
      <w:r>
        <w:rPr>
          <w:color w:themeColor="text1" w:val="000000"/>
        </w:rPr>
      </w:r>
    </w:p>
    <w:p>
      <w:pPr>
        <w:pStyle w:val="Heading3"/>
        <w:rPr>
          <w:color w:themeColor="text1" w:val="000000"/>
        </w:rPr>
      </w:pPr>
      <w:bookmarkStart w:id="90" w:name="_Toc182252506"/>
      <w:r>
        <w:rPr>
          <w:color w:themeColor="text1" w:val="000000"/>
        </w:rPr>
        <w:t>Sensitivity Analysis of the BGC Model (Task 8.5)</w:t>
      </w:r>
      <w:bookmarkEnd w:id="90"/>
    </w:p>
    <w:p>
      <w:pPr>
        <w:pStyle w:val="Normal"/>
        <w:rPr>
          <w:color w:themeColor="text1" w:val="000000"/>
        </w:rPr>
      </w:pPr>
      <w:r>
        <w:rPr>
          <w:color w:themeColor="text1" w:val="000000"/>
        </w:rPr>
        <w:t>The objective of Task 8.5 was to perform sensitivity analysis on the Biogeochemical Model of STA-2 FW1 (BGC Model) conceptualized in Phase I, developed in Phase II, and improved in Phase III.  The base BGC Model resulting from the Task 8.4 Calibration and Validation over the entire simulation period from 1/1/2005 to 12/31/2020 (5844 days) was used in this task. The consultant and the SFWMD STA modeling team identified four primary areas of emphasis for sensitivity analysis. The four were the evaluation of changes in inflow (Q0) on total phosphorus loads (QT</w:t>
      </w:r>
      <w:r>
        <w:rPr>
          <w:color w:themeColor="text1" w:val="000000"/>
          <w:vertAlign w:val="subscript"/>
        </w:rPr>
        <w:t>P</w:t>
      </w:r>
      <w:r>
        <w:rPr>
          <w:color w:themeColor="text1" w:val="000000"/>
        </w:rPr>
        <w:t>; g P m</w:t>
      </w:r>
      <w:r>
        <w:rPr>
          <w:color w:themeColor="text1" w:val="000000"/>
          <w:vertAlign w:val="superscript"/>
        </w:rPr>
        <w:t>-2</w:t>
      </w:r>
      <w:r>
        <w:rPr>
          <w:color w:themeColor="text1" w:val="000000"/>
        </w:rPr>
        <w:t xml:space="preserve"> d</w:t>
      </w:r>
      <w:r>
        <w:rPr>
          <w:color w:themeColor="text1" w:val="000000"/>
          <w:vertAlign w:val="superscript"/>
        </w:rPr>
        <w:t>-1</w:t>
      </w:r>
      <w:r>
        <w:rPr>
          <w:color w:themeColor="text1" w:val="000000"/>
        </w:rPr>
        <w:t>) and water column TP (TP</w:t>
      </w:r>
      <w:r>
        <w:rPr>
          <w:color w:themeColor="text1" w:val="000000"/>
          <w:vertAlign w:val="subscript"/>
        </w:rPr>
        <w:t>W</w:t>
      </w:r>
      <w:r>
        <w:rPr>
          <w:color w:themeColor="text1" w:val="000000"/>
        </w:rPr>
        <w:t>) in the model flow-way, the evaluation of changes in the incoming TP concentrations [TP]</w:t>
      </w:r>
      <w:r>
        <w:rPr>
          <w:color w:themeColor="text1" w:val="000000"/>
          <w:vertAlign w:val="subscript"/>
        </w:rPr>
        <w:t>IN</w:t>
      </w:r>
      <w:r>
        <w:rPr>
          <w:color w:themeColor="text1" w:val="000000"/>
        </w:rPr>
        <w:t xml:space="preserve"> on Q</w:t>
      </w:r>
      <w:r>
        <w:rPr>
          <w:color w:themeColor="text1" w:val="000000"/>
          <w:vertAlign w:val="subscript"/>
        </w:rPr>
        <w:t>TP</w:t>
      </w:r>
      <w:r>
        <w:rPr>
          <w:color w:themeColor="text1" w:val="000000"/>
        </w:rPr>
        <w:t xml:space="preserve"> and TP</w:t>
      </w:r>
      <w:r>
        <w:rPr>
          <w:color w:themeColor="text1" w:val="000000"/>
          <w:vertAlign w:val="subscript"/>
        </w:rPr>
        <w:t>W</w:t>
      </w:r>
      <w:r>
        <w:rPr>
          <w:color w:themeColor="text1" w:val="000000"/>
        </w:rPr>
        <w:t>, and additional biogeochemical calibration to test for effects of three specific parameters. Finally, the sensitivity tests were repeated to evaluate the effects on the TP concentration in the model outflow ([TP]</w:t>
      </w:r>
      <w:r>
        <w:rPr>
          <w:color w:themeColor="text1" w:val="000000"/>
          <w:vertAlign w:val="subscript"/>
        </w:rPr>
        <w:t>OUT</w:t>
      </w:r>
      <w:r>
        <w:rPr>
          <w:color w:themeColor="text1" w:val="000000"/>
        </w:rPr>
        <w:t xml:space="preserve">). </w:t>
      </w:r>
    </w:p>
    <w:p>
      <w:pPr>
        <w:pStyle w:val="Normal"/>
        <w:rPr>
          <w:color w:themeColor="text1" w:val="000000"/>
        </w:rPr>
      </w:pPr>
      <w:r>
        <w:rPr>
          <w:color w:themeColor="text1" w:val="000000"/>
        </w:rPr>
        <w:t>(Q</w:t>
      </w:r>
      <w:r>
        <w:rPr>
          <w:color w:themeColor="text1" w:val="000000"/>
          <w:vertAlign w:val="subscript"/>
        </w:rPr>
        <w:t>TP</w:t>
      </w:r>
      <w:r>
        <w:rPr>
          <w:color w:themeColor="text1" w:val="000000"/>
        </w:rPr>
        <w:t>; g P m</w:t>
      </w:r>
      <w:r>
        <w:rPr>
          <w:color w:themeColor="text1" w:val="000000"/>
          <w:vertAlign w:val="superscript"/>
        </w:rPr>
        <w:t>-2</w:t>
      </w:r>
      <w:r>
        <w:rPr>
          <w:color w:themeColor="text1" w:val="000000"/>
        </w:rPr>
        <w:t xml:space="preserve"> d</w:t>
      </w:r>
      <w:r>
        <w:rPr>
          <w:color w:themeColor="text1" w:val="000000"/>
          <w:vertAlign w:val="superscript"/>
        </w:rPr>
        <w:t>-1</w:t>
      </w:r>
      <w:r>
        <w:rPr>
          <w:color w:themeColor="text1" w:val="000000"/>
        </w:rPr>
        <w:t>) was manipulated in two different series. Changing the inflow volumes (Q</w:t>
      </w:r>
      <w:r>
        <w:rPr>
          <w:color w:themeColor="text1" w:val="000000"/>
          <w:vertAlign w:val="subscript"/>
        </w:rPr>
        <w:t>0</w:t>
      </w:r>
      <w:r>
        <w:rPr>
          <w:color w:themeColor="text1" w:val="000000"/>
        </w:rPr>
        <w:t>; m</w:t>
      </w:r>
      <w:r>
        <w:rPr>
          <w:color w:themeColor="text1" w:val="000000"/>
          <w:vertAlign w:val="superscript"/>
        </w:rPr>
        <w:t>3</w:t>
      </w:r>
      <w:r>
        <w:rPr>
          <w:color w:themeColor="text1" w:val="000000"/>
        </w:rPr>
        <w:t xml:space="preserve"> d</w:t>
      </w:r>
      <w:r>
        <w:rPr>
          <w:color w:themeColor="text1" w:val="000000"/>
          <w:vertAlign w:val="superscript"/>
        </w:rPr>
        <w:noBreakHyphen/>
        <w:t>1</w:t>
      </w:r>
      <w:r>
        <w:rPr>
          <w:color w:themeColor="text1" w:val="000000"/>
        </w:rPr>
        <w:t>) and thus Q</w:t>
      </w:r>
      <w:r>
        <w:rPr>
          <w:color w:themeColor="text1" w:val="000000"/>
          <w:vertAlign w:val="subscript"/>
        </w:rPr>
        <w:t>TP</w:t>
      </w:r>
      <w:r>
        <w:rPr>
          <w:color w:themeColor="text1" w:val="000000"/>
        </w:rPr>
        <w:t xml:space="preserve"> was evaluated in the first series by altering each of the daily inflow values from the base case in a linear array (-0.25X, -0.5X, 1.0X or base, +1.5X, +2.0X). This was accomplished by creating 4 new daily time series in addition to the base case (Q</w:t>
      </w:r>
      <w:r>
        <w:rPr>
          <w:color w:themeColor="text1" w:val="000000"/>
          <w:vertAlign w:val="subscript"/>
        </w:rPr>
        <w:t>0</w:t>
      </w:r>
      <w:r>
        <w:rPr>
          <w:color w:themeColor="text1" w:val="000000"/>
        </w:rPr>
        <w:t>). The changes in flow-way volume and depth were assessed for each of the five simulations. The resulting daily predictions for Q</w:t>
      </w:r>
      <w:r>
        <w:rPr>
          <w:color w:themeColor="text1" w:val="000000"/>
          <w:vertAlign w:val="subscript"/>
        </w:rPr>
        <w:t>TP</w:t>
      </w:r>
      <w:r>
        <w:rPr>
          <w:color w:themeColor="text1" w:val="000000"/>
        </w:rPr>
        <w:t xml:space="preserve"> and TP</w:t>
      </w:r>
      <w:r>
        <w:rPr>
          <w:color w:themeColor="text1" w:val="000000"/>
          <w:vertAlign w:val="subscript"/>
        </w:rPr>
        <w:t>W</w:t>
      </w:r>
      <w:r>
        <w:rPr>
          <w:color w:themeColor="text1" w:val="000000"/>
        </w:rPr>
        <w:t xml:space="preserve"> were used to generate monthly averages. Potential relationships between Q</w:t>
      </w:r>
      <w:r>
        <w:rPr>
          <w:color w:themeColor="text1" w:val="000000"/>
          <w:vertAlign w:val="subscript"/>
        </w:rPr>
        <w:t>TP</w:t>
      </w:r>
      <w:r>
        <w:rPr>
          <w:color w:themeColor="text1" w:val="000000"/>
        </w:rPr>
        <w:t xml:space="preserve"> (independent) and TP</w:t>
      </w:r>
      <w:r>
        <w:rPr>
          <w:color w:themeColor="text1" w:val="000000"/>
          <w:vertAlign w:val="subscript"/>
        </w:rPr>
        <w:t>W</w:t>
      </w:r>
      <w:r>
        <w:rPr>
          <w:color w:themeColor="text1" w:val="000000"/>
        </w:rPr>
        <w:t xml:space="preserve"> (dependent) for each simulation were evaluated via linear regressions using scatter plots of the average monthly values. The annual total Q</w:t>
      </w:r>
      <w:r>
        <w:rPr>
          <w:color w:themeColor="text1" w:val="000000"/>
          <w:vertAlign w:val="subscript"/>
        </w:rPr>
        <w:t>TP</w:t>
      </w:r>
      <w:r>
        <w:rPr>
          <w:color w:themeColor="text1" w:val="000000"/>
        </w:rPr>
        <w:t xml:space="preserve"> and average TPW were calculated and averaged over all water years for each simulation. </w:t>
      </w:r>
    </w:p>
    <w:p>
      <w:pPr>
        <w:sectPr>
          <w:headerReference w:type="default" r:id="rId96"/>
          <w:headerReference w:type="first" r:id="rId97"/>
          <w:footerReference w:type="default" r:id="rId98"/>
          <w:footerReference w:type="first" r:id="rId99"/>
          <w:type w:val="nextPage"/>
          <w:pgSz w:w="12240" w:h="15840"/>
          <w:pgMar w:left="1440" w:right="1440" w:gutter="0" w:header="576" w:top="1440" w:footer="576" w:bottom="1440"/>
          <w:pgNumType w:fmt="decimal"/>
          <w:formProt w:val="false"/>
          <w:titlePg/>
          <w:textDirection w:val="lrTb"/>
          <w:docGrid w:type="default" w:linePitch="299" w:charSpace="0"/>
        </w:sectPr>
        <w:pStyle w:val="Normal"/>
        <w:rPr>
          <w:color w:themeColor="text1" w:val="000000"/>
        </w:rPr>
      </w:pPr>
      <w:r>
        <w:rPr>
          <w:color w:themeColor="text1" w:val="000000"/>
        </w:rPr>
        <w:t>In the second series Q</w:t>
      </w:r>
      <w:r>
        <w:rPr>
          <w:color w:themeColor="text1" w:val="000000"/>
          <w:vertAlign w:val="subscript"/>
        </w:rPr>
        <w:t>TP</w:t>
      </w:r>
      <w:r>
        <w:rPr>
          <w:color w:themeColor="text1" w:val="000000"/>
        </w:rPr>
        <w:t xml:space="preserve"> was altered across the same linear array by creating a multiplicative factor within the model used to adjust the [TP]</w:t>
      </w:r>
      <w:r>
        <w:rPr>
          <w:color w:themeColor="text1" w:val="000000"/>
          <w:vertAlign w:val="subscript"/>
        </w:rPr>
        <w:t>IN</w:t>
      </w:r>
      <w:r>
        <w:rPr>
          <w:color w:themeColor="text1" w:val="000000"/>
        </w:rPr>
        <w:t xml:space="preserve"> by -0.25X, -0.5X, 1.0X or base, +1.5X, and +2.0X. In this series the incoming concentrations of POP</w:t>
      </w:r>
      <w:r>
        <w:rPr>
          <w:color w:themeColor="text1" w:val="000000"/>
          <w:vertAlign w:val="subscript"/>
        </w:rPr>
        <w:t>W</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and PIP</w:t>
      </w:r>
      <w:r>
        <w:rPr>
          <w:color w:themeColor="text1" w:val="000000"/>
          <w:vertAlign w:val="subscript"/>
        </w:rPr>
        <w:t>W</w:t>
      </w:r>
      <w:r>
        <w:rPr>
          <w:color w:themeColor="text1" w:val="000000"/>
        </w:rPr>
        <w:t xml:space="preserve"> were changed to alter [TP]</w:t>
      </w:r>
      <w:r>
        <w:rPr>
          <w:color w:themeColor="text1" w:val="000000"/>
          <w:vertAlign w:val="subscript"/>
        </w:rPr>
        <w:t>IN</w:t>
      </w:r>
      <w:r>
        <w:rPr>
          <w:color w:themeColor="text1" w:val="000000"/>
        </w:rPr>
        <w:t xml:space="preserve"> and thus Q</w:t>
      </w:r>
      <w:r>
        <w:rPr>
          <w:color w:themeColor="text1" w:val="000000"/>
          <w:vertAlign w:val="subscript"/>
        </w:rPr>
        <w:t>TP</w:t>
      </w:r>
      <w:r>
        <w:rPr>
          <w:color w:themeColor="text1" w:val="000000"/>
        </w:rPr>
        <w:t xml:space="preserve">. The simulations, processing of the output, calculations, and assessment for the five scenarios were identical to the inflow simulation series. </w:t>
      </w:r>
    </w:p>
    <w:p>
      <w:pPr>
        <w:pStyle w:val="Normal"/>
        <w:rPr>
          <w:color w:themeColor="text1" w:val="000000"/>
        </w:rPr>
      </w:pPr>
      <w:r>
        <w:rPr>
          <w:color w:themeColor="text1" w:val="000000"/>
        </w:rPr>
        <mc:AlternateContent>
          <mc:Choice Requires="wps">
            <w:drawing>
              <wp:anchor behindDoc="0" distT="40640" distB="67310" distL="109220" distR="131445" simplePos="0" locked="0" layoutInCell="0" allowOverlap="1" relativeHeight="92" wp14:anchorId="27D203C8">
                <wp:simplePos x="0" y="0"/>
                <wp:positionH relativeFrom="margin">
                  <wp:posOffset>-15240</wp:posOffset>
                </wp:positionH>
                <wp:positionV relativeFrom="paragraph">
                  <wp:posOffset>635</wp:posOffset>
                </wp:positionV>
                <wp:extent cx="9159240" cy="6355080"/>
                <wp:effectExtent l="5080" t="5080" r="5080" b="5080"/>
                <wp:wrapSquare wrapText="bothSides"/>
                <wp:docPr id="96" name="Text Box 2"/>
                <a:graphic xmlns:a="http://schemas.openxmlformats.org/drawingml/2006/main">
                  <a:graphicData uri="http://schemas.microsoft.com/office/word/2010/wordprocessingShape">
                    <wps:wsp>
                      <wps:cNvSpPr/>
                      <wps:spPr>
                        <a:xfrm>
                          <a:off x="0" y="0"/>
                          <a:ext cx="9159120" cy="6355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8503920" cy="5927090"/>
                                  <wp:effectExtent l="0" t="0" r="0" b="0"/>
                                  <wp:docPr id="9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7" descr=""/>
                                          <pic:cNvPicPr>
                                            <a:picLocks noChangeAspect="1" noChangeArrowheads="1"/>
                                          </pic:cNvPicPr>
                                        </pic:nvPicPr>
                                        <pic:blipFill>
                                          <a:blip r:embed="rId100"/>
                                          <a:stretch>
                                            <a:fillRect/>
                                          </a:stretch>
                                        </pic:blipFill>
                                        <pic:spPr bwMode="auto">
                                          <a:xfrm>
                                            <a:off x="0" y="0"/>
                                            <a:ext cx="8503920" cy="5927090"/>
                                          </a:xfrm>
                                          <a:prstGeom prst="rect">
                                            <a:avLst/>
                                          </a:prstGeom>
                                        </pic:spPr>
                                      </pic:pic>
                                    </a:graphicData>
                                  </a:graphic>
                                </wp:inline>
                              </w:drawing>
                            </w:r>
                          </w:p>
                          <w:p>
                            <w:pPr>
                              <w:pStyle w:val="Caption"/>
                              <w:widowControl/>
                              <w:bidi w:val="0"/>
                              <w:spacing w:lineRule="auto" w:line="276" w:before="0" w:after="60"/>
                              <w:jc w:val="center"/>
                              <w:rPr/>
                            </w:pPr>
                            <w:bookmarkStart w:id="91" w:name="_Toc181802658"/>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18</w:t>
                            </w:r>
                            <w:r>
                              <w:rPr/>
                              <w:fldChar w:fldCharType="end"/>
                            </w:r>
                            <w:r>
                              <w:rPr/>
                              <w:t>. Calibration results.  (A-E) k</w:t>
                            </w:r>
                            <w:r>
                              <w:rPr>
                                <w:vertAlign w:val="subscript"/>
                              </w:rPr>
                              <w:t>DOPSWX</w:t>
                            </w:r>
                            <w:r>
                              <w:rPr/>
                              <w:t xml:space="preserve"> (m</w:t>
                            </w:r>
                            <w:r>
                              <w:rPr>
                                <w:vertAlign w:val="superscript"/>
                              </w:rPr>
                              <w:t>-1</w:t>
                            </w:r>
                            <w:r>
                              <w:rPr/>
                              <w:t>).  (F-J).  k</w:t>
                            </w:r>
                            <w:r>
                              <w:rPr>
                                <w:vertAlign w:val="subscript"/>
                              </w:rPr>
                              <w:t>DIPSWX</w:t>
                            </w:r>
                            <w:r>
                              <w:rPr/>
                              <w:t xml:space="preserve"> (m</w:t>
                            </w:r>
                            <w:r>
                              <w:rPr>
                                <w:vertAlign w:val="superscript"/>
                              </w:rPr>
                              <w:t>-1</w:t>
                            </w:r>
                            <w:r>
                              <w:rPr/>
                              <w:t>).  (K-N) a</w:t>
                            </w:r>
                            <w:r>
                              <w:rPr>
                                <w:vertAlign w:val="subscript"/>
                              </w:rPr>
                              <w:t>PRC</w:t>
                            </w:r>
                            <w:r>
                              <w:rPr/>
                              <w:t xml:space="preserve"> (g P g C</w:t>
                            </w:r>
                            <w:r>
                              <w:rPr>
                                <w:vertAlign w:val="superscript"/>
                              </w:rPr>
                              <w:t>-1</w:t>
                            </w:r>
                            <w:r>
                              <w:rPr/>
                              <w:t>).</w:t>
                            </w:r>
                            <w:bookmarkEnd w:id="91"/>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2pt;margin-top:0pt;width:721.15pt;height:500.35pt;mso-wrap-style:square;v-text-anchor:top;mso-position-horizontal-relative:margin" wp14:anchorId="27D203C8">
                <v:fill o:detectmouseclick="t" type="solid" color2="black"/>
                <v:stroke color="black" weight="9360" joinstyle="miter" endcap="flat"/>
                <v:textbox>
                  <w:txbxContent>
                    <w:p>
                      <w:pPr>
                        <w:pStyle w:val="FrameContents"/>
                        <w:jc w:val="center"/>
                        <w:rPr/>
                      </w:pPr>
                      <w:r>
                        <w:rPr/>
                        <w:drawing>
                          <wp:inline distT="0" distB="0" distL="0" distR="0">
                            <wp:extent cx="8503920" cy="5927090"/>
                            <wp:effectExtent l="0" t="0" r="0" b="0"/>
                            <wp:docPr id="9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17" descr=""/>
                                    <pic:cNvPicPr>
                                      <a:picLocks noChangeAspect="1" noChangeArrowheads="1"/>
                                    </pic:cNvPicPr>
                                  </pic:nvPicPr>
                                  <pic:blipFill>
                                    <a:blip r:embed="rId101"/>
                                    <a:stretch>
                                      <a:fillRect/>
                                    </a:stretch>
                                  </pic:blipFill>
                                  <pic:spPr bwMode="auto">
                                    <a:xfrm>
                                      <a:off x="0" y="0"/>
                                      <a:ext cx="8503920" cy="5927090"/>
                                    </a:xfrm>
                                    <a:prstGeom prst="rect">
                                      <a:avLst/>
                                    </a:prstGeom>
                                  </pic:spPr>
                                </pic:pic>
                              </a:graphicData>
                            </a:graphic>
                          </wp:inline>
                        </w:drawing>
                      </w:r>
                    </w:p>
                    <w:p>
                      <w:pPr>
                        <w:pStyle w:val="Caption"/>
                        <w:widowControl/>
                        <w:bidi w:val="0"/>
                        <w:spacing w:lineRule="auto" w:line="276" w:before="0" w:after="60"/>
                        <w:jc w:val="center"/>
                        <w:rPr/>
                      </w:pPr>
                      <w:bookmarkStart w:id="92" w:name="_Toc181802658"/>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18</w:t>
                      </w:r>
                      <w:r>
                        <w:rPr/>
                        <w:fldChar w:fldCharType="end"/>
                      </w:r>
                      <w:r>
                        <w:rPr/>
                        <w:t>. Calibration results.  (A-E) k</w:t>
                      </w:r>
                      <w:r>
                        <w:rPr>
                          <w:vertAlign w:val="subscript"/>
                        </w:rPr>
                        <w:t>DOPSWX</w:t>
                      </w:r>
                      <w:r>
                        <w:rPr/>
                        <w:t xml:space="preserve"> (m</w:t>
                      </w:r>
                      <w:r>
                        <w:rPr>
                          <w:vertAlign w:val="superscript"/>
                        </w:rPr>
                        <w:t>-1</w:t>
                      </w:r>
                      <w:r>
                        <w:rPr/>
                        <w:t>).  (F-J).  k</w:t>
                      </w:r>
                      <w:r>
                        <w:rPr>
                          <w:vertAlign w:val="subscript"/>
                        </w:rPr>
                        <w:t>DIPSWX</w:t>
                      </w:r>
                      <w:r>
                        <w:rPr/>
                        <w:t xml:space="preserve"> (m</w:t>
                      </w:r>
                      <w:r>
                        <w:rPr>
                          <w:vertAlign w:val="superscript"/>
                        </w:rPr>
                        <w:t>-1</w:t>
                      </w:r>
                      <w:r>
                        <w:rPr/>
                        <w:t>).  (K-N) a</w:t>
                      </w:r>
                      <w:r>
                        <w:rPr>
                          <w:vertAlign w:val="subscript"/>
                        </w:rPr>
                        <w:t>PRC</w:t>
                      </w:r>
                      <w:r>
                        <w:rPr/>
                        <w:t xml:space="preserve"> (g P g C</w:t>
                      </w:r>
                      <w:r>
                        <w:rPr>
                          <w:vertAlign w:val="superscript"/>
                        </w:rPr>
                        <w:t>-1</w:t>
                      </w:r>
                      <w:r>
                        <w:rPr/>
                        <w:t>).</w:t>
                      </w:r>
                      <w:bookmarkEnd w:id="92"/>
                    </w:p>
                  </w:txbxContent>
                </v:textbox>
                <w10:wrap type="square"/>
              </v:rect>
            </w:pict>
          </mc:Fallback>
        </mc:AlternateContent>
      </w:r>
    </w:p>
    <w:p>
      <w:pPr>
        <w:pStyle w:val="Normal"/>
        <w:rPr>
          <w:color w:themeColor="text1" w:val="000000"/>
        </w:rPr>
      </w:pPr>
      <w:r>
        <w:rPr>
          <w:color w:themeColor="text1" w:val="000000"/>
        </w:rPr>
        <mc:AlternateContent>
          <mc:Choice Requires="wps">
            <w:drawing>
              <wp:anchor behindDoc="0" distT="40640" distB="55880" distL="109220" distR="128270" simplePos="0" locked="0" layoutInCell="0" allowOverlap="1" relativeHeight="35" wp14:anchorId="61600588">
                <wp:simplePos x="0" y="0"/>
                <wp:positionH relativeFrom="margin">
                  <wp:posOffset>0</wp:posOffset>
                </wp:positionH>
                <wp:positionV relativeFrom="paragraph">
                  <wp:posOffset>175260</wp:posOffset>
                </wp:positionV>
                <wp:extent cx="9144000" cy="6156960"/>
                <wp:effectExtent l="5080" t="5080" r="5080" b="5080"/>
                <wp:wrapSquare wrapText="bothSides"/>
                <wp:docPr id="97" name="Text Box 2"/>
                <a:graphic xmlns:a="http://schemas.openxmlformats.org/drawingml/2006/main">
                  <a:graphicData uri="http://schemas.microsoft.com/office/word/2010/wordprocessingShape">
                    <wps:wsp>
                      <wps:cNvSpPr/>
                      <wps:spPr>
                        <a:xfrm>
                          <a:off x="0" y="0"/>
                          <a:ext cx="9144000" cy="6157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8837295" cy="5189220"/>
                                  <wp:effectExtent l="0" t="0" r="0" b="0"/>
                                  <wp:docPr id="9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18" descr=""/>
                                          <pic:cNvPicPr>
                                            <a:picLocks noChangeAspect="1" noChangeArrowheads="1"/>
                                          </pic:cNvPicPr>
                                        </pic:nvPicPr>
                                        <pic:blipFill>
                                          <a:blip r:embed="rId102"/>
                                          <a:stretch>
                                            <a:fillRect/>
                                          </a:stretch>
                                        </pic:blipFill>
                                        <pic:spPr bwMode="auto">
                                          <a:xfrm>
                                            <a:off x="0" y="0"/>
                                            <a:ext cx="8837295" cy="5189220"/>
                                          </a:xfrm>
                                          <a:prstGeom prst="rect">
                                            <a:avLst/>
                                          </a:prstGeom>
                                        </pic:spPr>
                                      </pic:pic>
                                    </a:graphicData>
                                  </a:graphic>
                                </wp:inline>
                              </w:drawing>
                            </w:r>
                          </w:p>
                          <w:p>
                            <w:pPr>
                              <w:pStyle w:val="Caption"/>
                              <w:widowControl/>
                              <w:bidi w:val="0"/>
                              <w:spacing w:lineRule="auto" w:line="276" w:before="0" w:after="60"/>
                              <w:jc w:val="center"/>
                              <w:rPr/>
                            </w:pPr>
                            <w:bookmarkStart w:id="93" w:name="_Toc181802659"/>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19</w:t>
                            </w:r>
                            <w:r>
                              <w:rPr/>
                              <w:fldChar w:fldCharType="end"/>
                            </w:r>
                            <w:r>
                              <w:rPr/>
                              <w:t>.  (A) Linear relationship to model effect of total gross production (g C m</w:t>
                            </w:r>
                            <w:r>
                              <w:rPr>
                                <w:vertAlign w:val="superscript"/>
                              </w:rPr>
                              <w:t>-3</w:t>
                            </w:r>
                            <w:r>
                              <w:rPr/>
                              <w:t xml:space="preserve"> d</w:t>
                            </w:r>
                            <w:r>
                              <w:rPr>
                                <w:vertAlign w:val="superscript"/>
                              </w:rPr>
                              <w:t>-1</w:t>
                            </w:r>
                            <w:r>
                              <w:rPr/>
                              <w:t>) on DIP</w:t>
                            </w:r>
                            <w:r>
                              <w:rPr>
                                <w:vertAlign w:val="subscript"/>
                              </w:rPr>
                              <w:t>W</w:t>
                            </w:r>
                            <w:r>
                              <w:rPr/>
                              <w:t xml:space="preserve"> co-precipitation (g P m</w:t>
                            </w:r>
                            <w:r>
                              <w:rPr>
                                <w:vertAlign w:val="superscript"/>
                              </w:rPr>
                              <w:t>-3</w:t>
                            </w:r>
                            <w:r>
                              <w:rPr/>
                              <w:t xml:space="preserve"> d</w:t>
                            </w:r>
                            <w:r>
                              <w:rPr>
                                <w:vertAlign w:val="superscript"/>
                              </w:rPr>
                              <w:t>-1</w:t>
                            </w:r>
                            <w:r>
                              <w:rPr/>
                              <w:t>).  (B-D) Comparative bar charts for calibration of the updated Biogeochemical Model.  The red line on each plot denotes the model target.</w:t>
                            </w:r>
                            <w:bookmarkEnd w:id="93"/>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13.8pt;width:719.95pt;height:484.75pt;mso-wrap-style:square;v-text-anchor:top;mso-position-horizontal-relative:margin" wp14:anchorId="61600588">
                <v:fill o:detectmouseclick="t" type="solid" color2="black"/>
                <v:stroke color="black" weight="9360" joinstyle="miter" endcap="flat"/>
                <v:textbox>
                  <w:txbxContent>
                    <w:p>
                      <w:pPr>
                        <w:pStyle w:val="FrameContents"/>
                        <w:jc w:val="center"/>
                        <w:rPr/>
                      </w:pPr>
                      <w:r>
                        <w:rPr/>
                        <w:drawing>
                          <wp:inline distT="0" distB="0" distL="0" distR="0">
                            <wp:extent cx="8837295" cy="5189220"/>
                            <wp:effectExtent l="0" t="0" r="0" b="0"/>
                            <wp:docPr id="10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8" descr=""/>
                                    <pic:cNvPicPr>
                                      <a:picLocks noChangeAspect="1" noChangeArrowheads="1"/>
                                    </pic:cNvPicPr>
                                  </pic:nvPicPr>
                                  <pic:blipFill>
                                    <a:blip r:embed="rId103"/>
                                    <a:stretch>
                                      <a:fillRect/>
                                    </a:stretch>
                                  </pic:blipFill>
                                  <pic:spPr bwMode="auto">
                                    <a:xfrm>
                                      <a:off x="0" y="0"/>
                                      <a:ext cx="8837295" cy="5189220"/>
                                    </a:xfrm>
                                    <a:prstGeom prst="rect">
                                      <a:avLst/>
                                    </a:prstGeom>
                                  </pic:spPr>
                                </pic:pic>
                              </a:graphicData>
                            </a:graphic>
                          </wp:inline>
                        </w:drawing>
                      </w:r>
                    </w:p>
                    <w:p>
                      <w:pPr>
                        <w:pStyle w:val="Caption"/>
                        <w:widowControl/>
                        <w:bidi w:val="0"/>
                        <w:spacing w:lineRule="auto" w:line="276" w:before="0" w:after="60"/>
                        <w:jc w:val="center"/>
                        <w:rPr/>
                      </w:pPr>
                      <w:bookmarkStart w:id="94" w:name="_Toc181802659"/>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19</w:t>
                      </w:r>
                      <w:r>
                        <w:rPr/>
                        <w:fldChar w:fldCharType="end"/>
                      </w:r>
                      <w:r>
                        <w:rPr/>
                        <w:t>.  (A) Linear relationship to model effect of total gross production (g C m</w:t>
                      </w:r>
                      <w:r>
                        <w:rPr>
                          <w:vertAlign w:val="superscript"/>
                        </w:rPr>
                        <w:t>-3</w:t>
                      </w:r>
                      <w:r>
                        <w:rPr/>
                        <w:t xml:space="preserve"> d</w:t>
                      </w:r>
                      <w:r>
                        <w:rPr>
                          <w:vertAlign w:val="superscript"/>
                        </w:rPr>
                        <w:t>-1</w:t>
                      </w:r>
                      <w:r>
                        <w:rPr/>
                        <w:t>) on DIP</w:t>
                      </w:r>
                      <w:r>
                        <w:rPr>
                          <w:vertAlign w:val="subscript"/>
                        </w:rPr>
                        <w:t>W</w:t>
                      </w:r>
                      <w:r>
                        <w:rPr/>
                        <w:t xml:space="preserve"> co-precipitation (g P m</w:t>
                      </w:r>
                      <w:r>
                        <w:rPr>
                          <w:vertAlign w:val="superscript"/>
                        </w:rPr>
                        <w:t>-3</w:t>
                      </w:r>
                      <w:r>
                        <w:rPr/>
                        <w:t xml:space="preserve"> d</w:t>
                      </w:r>
                      <w:r>
                        <w:rPr>
                          <w:vertAlign w:val="superscript"/>
                        </w:rPr>
                        <w:t>-1</w:t>
                      </w:r>
                      <w:r>
                        <w:rPr/>
                        <w:t>).  (B-D) Comparative bar charts for calibration of the updated Biogeochemical Model.  The red line on each plot denotes the model target.</w:t>
                      </w:r>
                      <w:bookmarkEnd w:id="94"/>
                    </w:p>
                  </w:txbxContent>
                </v:textbox>
                <w10:wrap type="square"/>
              </v:rect>
            </w:pict>
          </mc:Fallback>
        </mc:AlternateContent>
      </w:r>
    </w:p>
    <w:p>
      <w:pPr>
        <w:sectPr>
          <w:headerReference w:type="default" r:id="rId106"/>
          <w:headerReference w:type="first" r:id="rId107"/>
          <w:footerReference w:type="default" r:id="rId108"/>
          <w:footerReference w:type="first" r:id="rId109"/>
          <w:type w:val="nextPage"/>
          <w:pgSz w:orient="landscape" w:w="15840" w:h="12240"/>
          <w:pgMar w:left="720" w:right="720" w:gutter="0" w:header="576" w:top="720" w:footer="576" w:bottom="720"/>
          <w:pgNumType w:fmt="decimal"/>
          <w:formProt w:val="false"/>
          <w:titlePg/>
          <w:textDirection w:val="lrTb"/>
          <w:docGrid w:type="default" w:linePitch="299" w:charSpace="0"/>
        </w:sectPr>
        <w:pStyle w:val="Normal"/>
        <w:rPr>
          <w:color w:themeColor="text1" w:val="000000"/>
        </w:rPr>
      </w:pPr>
      <w:r>
        <w:rPr>
          <w:color w:themeColor="text1" w:val="000000"/>
        </w:rPr>
        <mc:AlternateContent>
          <mc:Choice Requires="wps">
            <w:drawing>
              <wp:anchor behindDoc="0" distT="40640" distB="55880" distL="109220" distR="128270" simplePos="0" locked="0" layoutInCell="0" allowOverlap="1" relativeHeight="94" wp14:anchorId="7B4CB889">
                <wp:simplePos x="0" y="0"/>
                <wp:positionH relativeFrom="margin">
                  <wp:posOffset>0</wp:posOffset>
                </wp:positionH>
                <wp:positionV relativeFrom="paragraph">
                  <wp:posOffset>175260</wp:posOffset>
                </wp:positionV>
                <wp:extent cx="9144000" cy="6156960"/>
                <wp:effectExtent l="5080" t="5080" r="5080" b="5080"/>
                <wp:wrapSquare wrapText="bothSides"/>
                <wp:docPr id="98" name="Text Box 2"/>
                <a:graphic xmlns:a="http://schemas.openxmlformats.org/drawingml/2006/main">
                  <a:graphicData uri="http://schemas.microsoft.com/office/word/2010/wordprocessingShape">
                    <wps:wsp>
                      <wps:cNvSpPr/>
                      <wps:spPr>
                        <a:xfrm>
                          <a:off x="0" y="0"/>
                          <a:ext cx="9144000" cy="6157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8970645" cy="5623560"/>
                                  <wp:effectExtent l="0" t="0" r="0" b="0"/>
                                  <wp:docPr id="10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9" descr=""/>
                                          <pic:cNvPicPr>
                                            <a:picLocks noChangeAspect="1" noChangeArrowheads="1"/>
                                          </pic:cNvPicPr>
                                        </pic:nvPicPr>
                                        <pic:blipFill>
                                          <a:blip r:embed="rId104"/>
                                          <a:stretch>
                                            <a:fillRect/>
                                          </a:stretch>
                                        </pic:blipFill>
                                        <pic:spPr bwMode="auto">
                                          <a:xfrm>
                                            <a:off x="0" y="0"/>
                                            <a:ext cx="8970645" cy="5623560"/>
                                          </a:xfrm>
                                          <a:prstGeom prst="rect">
                                            <a:avLst/>
                                          </a:prstGeom>
                                        </pic:spPr>
                                      </pic:pic>
                                    </a:graphicData>
                                  </a:graphic>
                                </wp:inline>
                              </w:drawing>
                            </w:r>
                          </w:p>
                          <w:p>
                            <w:pPr>
                              <w:pStyle w:val="Caption"/>
                              <w:widowControl/>
                              <w:bidi w:val="0"/>
                              <w:spacing w:lineRule="auto" w:line="276" w:before="0" w:after="60"/>
                              <w:jc w:val="center"/>
                              <w:rPr/>
                            </w:pPr>
                            <w:bookmarkStart w:id="95" w:name="_Toc181802660"/>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20</w:t>
                            </w:r>
                            <w:r>
                              <w:rPr/>
                              <w:fldChar w:fldCharType="end"/>
                            </w:r>
                            <w:r>
                              <w:rPr/>
                              <w:t>. Calibration results.  (A-E) k</w:t>
                            </w:r>
                            <w:r>
                              <w:rPr>
                                <w:vertAlign w:val="subscript"/>
                              </w:rPr>
                              <w:t>DOPSWX</w:t>
                            </w:r>
                            <w:r>
                              <w:rPr/>
                              <w:t xml:space="preserve"> (m</w:t>
                            </w:r>
                            <w:r>
                              <w:rPr>
                                <w:vertAlign w:val="superscript"/>
                              </w:rPr>
                              <w:t>-1</w:t>
                            </w:r>
                            <w:r>
                              <w:rPr/>
                              <w:t>).  (F-J).  k</w:t>
                            </w:r>
                            <w:r>
                              <w:rPr>
                                <w:vertAlign w:val="subscript"/>
                              </w:rPr>
                              <w:t>DIPSWX</w:t>
                            </w:r>
                            <w:r>
                              <w:rPr/>
                              <w:t xml:space="preserve"> (m</w:t>
                            </w:r>
                            <w:r>
                              <w:rPr>
                                <w:vertAlign w:val="superscript"/>
                              </w:rPr>
                              <w:t>-1</w:t>
                            </w:r>
                            <w:r>
                              <w:rPr/>
                              <w:t>).  (K-N) a</w:t>
                            </w:r>
                            <w:r>
                              <w:rPr>
                                <w:vertAlign w:val="subscript"/>
                              </w:rPr>
                              <w:t>PRC</w:t>
                            </w:r>
                            <w:r>
                              <w:rPr/>
                              <w:t xml:space="preserve"> (g P g C</w:t>
                            </w:r>
                            <w:r>
                              <w:rPr>
                                <w:vertAlign w:val="superscript"/>
                              </w:rPr>
                              <w:t>-1</w:t>
                            </w:r>
                            <w:r>
                              <w:rPr/>
                              <w:t>).</w:t>
                            </w:r>
                            <w:bookmarkEnd w:id="95"/>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13.8pt;width:719.95pt;height:484.75pt;mso-wrap-style:square;v-text-anchor:top;mso-position-horizontal-relative:margin" wp14:anchorId="7B4CB889">
                <v:fill o:detectmouseclick="t" type="solid" color2="black"/>
                <v:stroke color="black" weight="9360" joinstyle="miter" endcap="flat"/>
                <v:textbox>
                  <w:txbxContent>
                    <w:p>
                      <w:pPr>
                        <w:pStyle w:val="FrameContents"/>
                        <w:jc w:val="center"/>
                        <w:rPr/>
                      </w:pPr>
                      <w:r>
                        <w:rPr/>
                        <w:drawing>
                          <wp:inline distT="0" distB="0" distL="0" distR="0">
                            <wp:extent cx="8970645" cy="5623560"/>
                            <wp:effectExtent l="0" t="0" r="0" b="0"/>
                            <wp:docPr id="101"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9" descr=""/>
                                    <pic:cNvPicPr>
                                      <a:picLocks noChangeAspect="1" noChangeArrowheads="1"/>
                                    </pic:cNvPicPr>
                                  </pic:nvPicPr>
                                  <pic:blipFill>
                                    <a:blip r:embed="rId105"/>
                                    <a:stretch>
                                      <a:fillRect/>
                                    </a:stretch>
                                  </pic:blipFill>
                                  <pic:spPr bwMode="auto">
                                    <a:xfrm>
                                      <a:off x="0" y="0"/>
                                      <a:ext cx="8970645" cy="5623560"/>
                                    </a:xfrm>
                                    <a:prstGeom prst="rect">
                                      <a:avLst/>
                                    </a:prstGeom>
                                  </pic:spPr>
                                </pic:pic>
                              </a:graphicData>
                            </a:graphic>
                          </wp:inline>
                        </w:drawing>
                      </w:r>
                    </w:p>
                    <w:p>
                      <w:pPr>
                        <w:pStyle w:val="Caption"/>
                        <w:widowControl/>
                        <w:bidi w:val="0"/>
                        <w:spacing w:lineRule="auto" w:line="276" w:before="0" w:after="60"/>
                        <w:jc w:val="center"/>
                        <w:rPr/>
                      </w:pPr>
                      <w:bookmarkStart w:id="96" w:name="_Toc181802660"/>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20</w:t>
                      </w:r>
                      <w:r>
                        <w:rPr/>
                        <w:fldChar w:fldCharType="end"/>
                      </w:r>
                      <w:r>
                        <w:rPr/>
                        <w:t>. Calibration results.  (A-E) k</w:t>
                      </w:r>
                      <w:r>
                        <w:rPr>
                          <w:vertAlign w:val="subscript"/>
                        </w:rPr>
                        <w:t>DOPSWX</w:t>
                      </w:r>
                      <w:r>
                        <w:rPr/>
                        <w:t xml:space="preserve"> (m</w:t>
                      </w:r>
                      <w:r>
                        <w:rPr>
                          <w:vertAlign w:val="superscript"/>
                        </w:rPr>
                        <w:t>-1</w:t>
                      </w:r>
                      <w:r>
                        <w:rPr/>
                        <w:t>).  (F-J).  k</w:t>
                      </w:r>
                      <w:r>
                        <w:rPr>
                          <w:vertAlign w:val="subscript"/>
                        </w:rPr>
                        <w:t>DIPSWX</w:t>
                      </w:r>
                      <w:r>
                        <w:rPr/>
                        <w:t xml:space="preserve"> (m</w:t>
                      </w:r>
                      <w:r>
                        <w:rPr>
                          <w:vertAlign w:val="superscript"/>
                        </w:rPr>
                        <w:t>-1</w:t>
                      </w:r>
                      <w:r>
                        <w:rPr/>
                        <w:t>).  (K-N) a</w:t>
                      </w:r>
                      <w:r>
                        <w:rPr>
                          <w:vertAlign w:val="subscript"/>
                        </w:rPr>
                        <w:t>PRC</w:t>
                      </w:r>
                      <w:r>
                        <w:rPr/>
                        <w:t xml:space="preserve"> (g P g C</w:t>
                      </w:r>
                      <w:r>
                        <w:rPr>
                          <w:vertAlign w:val="superscript"/>
                        </w:rPr>
                        <w:t>-1</w:t>
                      </w:r>
                      <w:r>
                        <w:rPr/>
                        <w:t>).</w:t>
                      </w:r>
                      <w:bookmarkEnd w:id="96"/>
                    </w:p>
                  </w:txbxContent>
                </v:textbox>
                <w10:wrap type="square"/>
              </v:rect>
            </w:pict>
          </mc:Fallback>
        </mc:AlternateContent>
      </w:r>
    </w:p>
    <w:p>
      <w:pPr>
        <w:pStyle w:val="Normal"/>
        <w:rPr>
          <w:color w:themeColor="text1" w:val="000000"/>
        </w:rPr>
      </w:pPr>
      <w:r>
        <w:rPr>
          <w:color w:themeColor="text1" w:val="000000"/>
        </w:rPr>
        <w:t>The BGC Model required further calibration to fine tune three important parameters. k</w:t>
      </w:r>
      <w:r>
        <w:rPr>
          <w:color w:themeColor="text1" w:val="000000"/>
          <w:vertAlign w:val="subscript"/>
        </w:rPr>
        <w:t>DOPSWX</w:t>
      </w:r>
      <w:r>
        <w:rPr>
          <w:color w:themeColor="text1" w:val="000000"/>
        </w:rPr>
        <w:t>, k</w:t>
      </w:r>
      <w:r>
        <w:rPr>
          <w:color w:themeColor="text1" w:val="000000"/>
          <w:vertAlign w:val="subscript"/>
        </w:rPr>
        <w:t>DIPSWX</w:t>
      </w:r>
      <w:r>
        <w:rPr>
          <w:color w:themeColor="text1" w:val="000000"/>
        </w:rPr>
        <w:t>, and a</w:t>
      </w:r>
      <w:r>
        <w:rPr>
          <w:color w:themeColor="text1" w:val="000000"/>
          <w:vertAlign w:val="subscript"/>
        </w:rPr>
        <w:t>PRC</w:t>
      </w:r>
      <w:r>
        <w:rPr>
          <w:color w:themeColor="text1" w:val="000000"/>
        </w:rPr>
        <w:t xml:space="preserve"> (Table 2-15). Five different values of each were applied across 15 separate simulations for the entire model simulation period (1/1/2005 to 12/31/2020; Table 2-15). The average and standard deviations for the concentrations of DOP</w:t>
      </w:r>
      <w:r>
        <w:rPr>
          <w:color w:themeColor="text1" w:val="000000"/>
          <w:vertAlign w:val="subscript"/>
        </w:rPr>
        <w:t>S</w:t>
      </w:r>
      <w:r>
        <w:rPr>
          <w:color w:themeColor="text1" w:val="000000"/>
        </w:rPr>
        <w:t xml:space="preserve"> (g P m</w:t>
      </w:r>
      <w:r>
        <w:rPr>
          <w:color w:themeColor="text1" w:val="000000"/>
          <w:vertAlign w:val="superscript"/>
        </w:rPr>
        <w:t>-2</w:t>
      </w:r>
      <w:r>
        <w:rPr>
          <w:color w:themeColor="text1" w:val="000000"/>
        </w:rPr>
        <w:t>), DIP</w:t>
      </w:r>
      <w:r>
        <w:rPr>
          <w:color w:themeColor="text1" w:val="000000"/>
          <w:vertAlign w:val="subscript"/>
        </w:rPr>
        <w:t>S</w:t>
      </w:r>
      <w:r>
        <w:rPr>
          <w:color w:themeColor="text1" w:val="000000"/>
        </w:rPr>
        <w:t xml:space="preserve"> (g P m</w:t>
      </w:r>
      <w:r>
        <w:rPr>
          <w:color w:themeColor="text1" w:val="000000"/>
          <w:vertAlign w:val="superscript"/>
        </w:rPr>
        <w:t>-2</w:t>
      </w:r>
      <w:r>
        <w:rPr>
          <w:color w:themeColor="text1" w:val="000000"/>
        </w:rPr>
        <w:t>), DOP</w:t>
      </w:r>
      <w:r>
        <w:rPr>
          <w:color w:themeColor="text1" w:val="000000"/>
          <w:vertAlign w:val="subscript"/>
        </w:rPr>
        <w:t>W</w:t>
      </w:r>
      <w:r>
        <w:rPr>
          <w:color w:themeColor="text1" w:val="000000"/>
        </w:rPr>
        <w:t xml:space="preserve"> (g P m</w:t>
      </w:r>
      <w:r>
        <w:rPr>
          <w:color w:themeColor="text1" w:val="000000"/>
          <w:vertAlign w:val="superscript"/>
        </w:rPr>
        <w:t>-3</w:t>
      </w:r>
      <w:r>
        <w:rPr>
          <w:color w:themeColor="text1" w:val="000000"/>
        </w:rPr>
        <w:t>), DIP</w:t>
      </w:r>
      <w:r>
        <w:rPr>
          <w:color w:themeColor="text1" w:val="000000"/>
          <w:vertAlign w:val="subscript"/>
        </w:rPr>
        <w:t>W</w:t>
      </w:r>
      <w:r>
        <w:rPr>
          <w:color w:themeColor="text1" w:val="000000"/>
        </w:rPr>
        <w:t xml:space="preserve"> (g P m</w:t>
      </w:r>
      <w:r>
        <w:rPr>
          <w:color w:themeColor="text1" w:val="000000"/>
          <w:vertAlign w:val="superscript"/>
        </w:rPr>
        <w:t>-3</w:t>
      </w:r>
      <w:r>
        <w:rPr>
          <w:color w:themeColor="text1" w:val="000000"/>
        </w:rPr>
        <w:t>), and TP</w:t>
      </w:r>
      <w:r>
        <w:rPr>
          <w:color w:themeColor="text1" w:val="000000"/>
          <w:vertAlign w:val="subscript"/>
        </w:rPr>
        <w:t>W</w:t>
      </w:r>
      <w:r>
        <w:rPr>
          <w:color w:themeColor="text1" w:val="000000"/>
        </w:rPr>
        <w:t xml:space="preserve"> (g P m</w:t>
      </w:r>
      <w:r>
        <w:rPr>
          <w:color w:themeColor="text1" w:val="000000"/>
          <w:vertAlign w:val="superscript"/>
        </w:rPr>
        <w:t>-3</w:t>
      </w:r>
      <w:r>
        <w:rPr>
          <w:color w:themeColor="text1" w:val="000000"/>
        </w:rPr>
        <w:t>) were calculated for each simulation. Finally, the five different sensitivity test series (k</w:t>
      </w:r>
      <w:r>
        <w:rPr>
          <w:color w:themeColor="text1" w:val="000000"/>
          <w:vertAlign w:val="subscript"/>
        </w:rPr>
        <w:t>DOPSWX</w:t>
      </w:r>
      <w:r>
        <w:rPr>
          <w:color w:themeColor="text1" w:val="000000"/>
        </w:rPr>
        <w:t>, k</w:t>
      </w:r>
      <w:r>
        <w:rPr>
          <w:color w:themeColor="text1" w:val="000000"/>
          <w:vertAlign w:val="subscript"/>
        </w:rPr>
        <w:t>DIPSWX</w:t>
      </w:r>
      <w:r>
        <w:rPr>
          <w:color w:themeColor="text1" w:val="000000"/>
        </w:rPr>
        <w:t>, a</w:t>
      </w:r>
      <w:r>
        <w:rPr>
          <w:color w:themeColor="text1" w:val="000000"/>
          <w:vertAlign w:val="subscript"/>
        </w:rPr>
        <w:t>PRC</w:t>
      </w:r>
      <w:r>
        <w:rPr>
          <w:color w:themeColor="text1" w:val="000000"/>
        </w:rPr>
        <w:t>, Q</w:t>
      </w:r>
      <w:r>
        <w:rPr>
          <w:color w:themeColor="text1" w:val="000000"/>
          <w:vertAlign w:val="subscript"/>
        </w:rPr>
        <w:t>0</w:t>
      </w:r>
      <w:r>
        <w:rPr>
          <w:color w:themeColor="text1" w:val="000000"/>
        </w:rPr>
        <w:t>, [TP]</w:t>
      </w:r>
      <w:r>
        <w:rPr>
          <w:color w:themeColor="text1" w:val="000000"/>
          <w:vertAlign w:val="subscript"/>
        </w:rPr>
        <w:t>IN</w:t>
      </w:r>
      <w:r>
        <w:rPr>
          <w:color w:themeColor="text1" w:val="000000"/>
        </w:rPr>
        <w:t>) were repeated to evaluate the effects on [TP]</w:t>
      </w:r>
      <w:r>
        <w:rPr>
          <w:color w:themeColor="text1" w:val="000000"/>
          <w:vertAlign w:val="subscript"/>
        </w:rPr>
        <w:t>OUT</w:t>
      </w:r>
      <w:r>
        <w:rPr>
          <w:color w:themeColor="text1" w:val="000000"/>
        </w:rPr>
        <w:t xml:space="preserve">. </w:t>
      </w:r>
    </w:p>
    <w:p>
      <w:pPr>
        <w:pStyle w:val="Normal"/>
        <w:rPr>
          <w:color w:themeColor="text1" w:val="000000"/>
        </w:rPr>
      </w:pPr>
      <w:r>
        <w:rPr>
          <w:color w:themeColor="text1" w:val="000000"/>
        </w:rPr>
        <w:t>Increasing k</w:t>
      </w:r>
      <w:r>
        <w:rPr>
          <w:color w:themeColor="text1" w:val="000000"/>
          <w:vertAlign w:val="subscript"/>
        </w:rPr>
        <w:t>DOPSWX</w:t>
      </w:r>
      <w:r>
        <w:rPr>
          <w:color w:themeColor="text1" w:val="000000"/>
        </w:rPr>
        <w:t xml:space="preserve"> from 0.001 to 0.02 d</w:t>
      </w:r>
      <w:r>
        <w:rPr>
          <w:color w:themeColor="text1" w:val="000000"/>
          <w:vertAlign w:val="superscript"/>
        </w:rPr>
        <w:t>-1</w:t>
      </w:r>
      <w:r>
        <w:rPr>
          <w:color w:themeColor="text1" w:val="000000"/>
        </w:rPr>
        <w:t xml:space="preserve"> led to reductions in the average soil concentrations of DOP and DIP (Figure 2-18A and 2-18B). Not surprisingly the water column concentrations of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and TP</w:t>
      </w:r>
      <w:r>
        <w:rPr>
          <w:color w:themeColor="text1" w:val="000000"/>
          <w:vertAlign w:val="subscript"/>
        </w:rPr>
        <w:t>W</w:t>
      </w:r>
      <w:r>
        <w:rPr>
          <w:color w:themeColor="text1" w:val="000000"/>
        </w:rPr>
        <w:t xml:space="preserve"> increased as more DOP released from the soil with increased k</w:t>
      </w:r>
      <w:r>
        <w:rPr>
          <w:color w:themeColor="text1" w:val="000000"/>
          <w:vertAlign w:val="subscript"/>
        </w:rPr>
        <w:t>DOPSWX</w:t>
      </w:r>
      <w:r>
        <w:rPr>
          <w:color w:themeColor="text1" w:val="000000"/>
        </w:rPr>
        <w:t xml:space="preserve"> (Figure 2-18C to 2-18E). In contrast, adjusting k</w:t>
      </w:r>
      <w:r>
        <w:rPr>
          <w:color w:themeColor="text1" w:val="000000"/>
          <w:vertAlign w:val="subscript"/>
        </w:rPr>
        <w:t>DIPSWX</w:t>
      </w:r>
      <w:r>
        <w:rPr>
          <w:color w:themeColor="text1" w:val="000000"/>
        </w:rPr>
        <w:t xml:space="preserve"> upward did not significantly affect DIPS, DOP</w:t>
      </w:r>
      <w:r>
        <w:rPr>
          <w:color w:themeColor="text1" w:val="000000"/>
          <w:vertAlign w:val="subscript"/>
        </w:rPr>
        <w:t>S</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or TP</w:t>
      </w:r>
      <w:r>
        <w:rPr>
          <w:color w:themeColor="text1" w:val="000000"/>
          <w:vertAlign w:val="subscript"/>
        </w:rPr>
        <w:t>W</w:t>
      </w:r>
      <w:r>
        <w:rPr>
          <w:color w:themeColor="text1" w:val="000000"/>
        </w:rPr>
        <w:t xml:space="preserve"> (Figure 2-18F to 2-18J). Increasing a</w:t>
      </w:r>
      <w:r>
        <w:rPr>
          <w:color w:themeColor="text1" w:val="000000"/>
          <w:vertAlign w:val="subscript"/>
        </w:rPr>
        <w:t>PRC</w:t>
      </w:r>
      <w:r>
        <w:rPr>
          <w:color w:themeColor="text1" w:val="000000"/>
        </w:rPr>
        <w:t xml:space="preserve"> from 0.001 to 0.005 g C g P</w:t>
      </w:r>
      <w:r>
        <w:rPr>
          <w:color w:themeColor="text1" w:val="000000"/>
          <w:vertAlign w:val="superscript"/>
        </w:rPr>
        <w:t>-1</w:t>
      </w:r>
      <w:r>
        <w:rPr>
          <w:color w:themeColor="text1" w:val="000000"/>
        </w:rPr>
        <w:t xml:space="preserve"> led to slightly increased PIP</w:t>
      </w:r>
      <w:r>
        <w:rPr>
          <w:color w:themeColor="text1" w:val="000000"/>
          <w:vertAlign w:val="subscript"/>
        </w:rPr>
        <w:t>S</w:t>
      </w:r>
      <w:r>
        <w:rPr>
          <w:color w:themeColor="text1" w:val="000000"/>
        </w:rPr>
        <w:t xml:space="preserve"> and PIP</w:t>
      </w:r>
      <w:r>
        <w:rPr>
          <w:color w:themeColor="text1" w:val="000000"/>
          <w:vertAlign w:val="subscript"/>
        </w:rPr>
        <w:t>W</w:t>
      </w:r>
      <w:r>
        <w:rPr>
          <w:color w:themeColor="text1" w:val="000000"/>
        </w:rPr>
        <w:t xml:space="preserve"> but did not affect TP</w:t>
      </w:r>
      <w:r>
        <w:rPr>
          <w:color w:themeColor="text1" w:val="000000"/>
          <w:vertAlign w:val="subscript"/>
        </w:rPr>
        <w:t>W</w:t>
      </w:r>
      <w:r>
        <w:rPr>
          <w:color w:themeColor="text1" w:val="000000"/>
        </w:rPr>
        <w:t xml:space="preserve"> (Figure 2-18K to 2-18N). The resulting base values for k</w:t>
      </w:r>
      <w:r>
        <w:rPr>
          <w:color w:themeColor="text1" w:val="000000"/>
          <w:vertAlign w:val="subscript"/>
        </w:rPr>
        <w:t>DOPSWX</w:t>
      </w:r>
      <w:r>
        <w:rPr>
          <w:color w:themeColor="text1" w:val="000000"/>
        </w:rPr>
        <w:t xml:space="preserve"> (0.005 d</w:t>
      </w:r>
      <w:r>
        <w:rPr>
          <w:color w:themeColor="text1" w:val="000000"/>
          <w:vertAlign w:val="superscript"/>
        </w:rPr>
        <w:t>-1</w:t>
      </w:r>
      <w:r>
        <w:rPr>
          <w:color w:themeColor="text1" w:val="000000"/>
        </w:rPr>
        <w:t>), k</w:t>
      </w:r>
      <w:r>
        <w:rPr>
          <w:color w:themeColor="text1" w:val="000000"/>
          <w:vertAlign w:val="subscript"/>
        </w:rPr>
        <w:t>DIPSWX</w:t>
      </w:r>
      <w:r>
        <w:rPr>
          <w:color w:themeColor="text1" w:val="000000"/>
        </w:rPr>
        <w:t xml:space="preserve"> (0.01 d</w:t>
      </w:r>
      <w:r>
        <w:rPr>
          <w:color w:themeColor="text1" w:val="000000"/>
          <w:vertAlign w:val="superscript"/>
        </w:rPr>
        <w:t>-1</w:t>
      </w:r>
      <w:r>
        <w:rPr>
          <w:color w:themeColor="text1" w:val="000000"/>
        </w:rPr>
        <w:t>), and a</w:t>
      </w:r>
      <w:r>
        <w:rPr>
          <w:color w:themeColor="text1" w:val="000000"/>
          <w:vertAlign w:val="subscript"/>
        </w:rPr>
        <w:t>PRC</w:t>
      </w:r>
      <w:r>
        <w:rPr>
          <w:color w:themeColor="text1" w:val="000000"/>
        </w:rPr>
        <w:t xml:space="preserve"> (0.001 g P g C</w:t>
      </w:r>
      <w:r>
        <w:rPr>
          <w:color w:themeColor="text1" w:val="000000"/>
          <w:vertAlign w:val="superscript"/>
        </w:rPr>
        <w:t>-1</w:t>
      </w:r>
      <w:r>
        <w:rPr>
          <w:color w:themeColor="text1" w:val="000000"/>
        </w:rPr>
        <w:t xml:space="preserve">) were the same as the previous calibration values (Task 8.4). </w:t>
      </w:r>
    </w:p>
    <w:p>
      <w:pPr>
        <w:pStyle w:val="Caption"/>
        <w:spacing w:lineRule="auto" w:line="240"/>
        <w:rPr>
          <w:color w:themeColor="text1" w:val="000000"/>
        </w:rPr>
      </w:pPr>
      <w:bookmarkStart w:id="97" w:name="_Hlk170404773"/>
      <w:bookmarkStart w:id="98" w:name="_Toc182250925"/>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16</w:t>
      </w:r>
      <w:r>
        <w:rPr>
          <w:color w:themeColor="text1" w:val="000000"/>
        </w:rPr>
        <w:fldChar w:fldCharType="end"/>
      </w:r>
      <w:r>
        <w:rPr>
          <w:color w:themeColor="text1" w:val="000000"/>
        </w:rPr>
        <w:t>. Summary of sensitivity tests for the Biogeochemical Model of STA-2 FW1. Provided are the test description, parameter, units, and range of test values for each parameter.</w:t>
      </w:r>
      <w:bookmarkEnd w:id="97"/>
      <w:bookmarkEnd w:id="98"/>
    </w:p>
    <w:p>
      <w:pPr>
        <w:pStyle w:val="Normal"/>
        <w:jc w:val="center"/>
        <w:rPr>
          <w:color w:themeColor="text1" w:val="000000"/>
        </w:rPr>
      </w:pPr>
      <w:r>
        <w:rPr/>
        <w:drawing>
          <wp:inline distT="0" distB="0" distL="0" distR="0">
            <wp:extent cx="5485765" cy="2329815"/>
            <wp:effectExtent l="0" t="0" r="0" b="0"/>
            <wp:docPr id="107"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20" descr=""/>
                    <pic:cNvPicPr>
                      <a:picLocks noChangeAspect="1" noChangeArrowheads="1"/>
                    </pic:cNvPicPr>
                  </pic:nvPicPr>
                  <pic:blipFill>
                    <a:blip r:embed="rId110"/>
                    <a:stretch>
                      <a:fillRect/>
                    </a:stretch>
                  </pic:blipFill>
                  <pic:spPr bwMode="auto">
                    <a:xfrm>
                      <a:off x="0" y="0"/>
                      <a:ext cx="5485765" cy="2329815"/>
                    </a:xfrm>
                    <a:prstGeom prst="rect">
                      <a:avLst/>
                    </a:prstGeom>
                  </pic:spPr>
                </pic:pic>
              </a:graphicData>
            </a:graphic>
          </wp:inline>
        </w:drawing>
      </w:r>
    </w:p>
    <w:p>
      <w:pPr>
        <w:pStyle w:val="Normal"/>
        <w:rPr>
          <w:color w:themeColor="text1" w:val="000000"/>
        </w:rPr>
      </w:pPr>
      <w:r>
        <w:rPr>
          <w:color w:themeColor="text1" w:val="000000"/>
        </w:rPr>
      </w:r>
    </w:p>
    <w:p>
      <w:pPr>
        <w:pStyle w:val="Normal"/>
        <w:rPr>
          <w:color w:themeColor="text1" w:val="000000"/>
        </w:rPr>
      </w:pPr>
      <w:r>
        <w:rPr>
          <w:color w:themeColor="text1" w:val="000000"/>
        </w:rPr>
        <w:t>The Q</w:t>
      </w:r>
      <w:r>
        <w:rPr>
          <w:color w:themeColor="text1" w:val="000000"/>
          <w:vertAlign w:val="subscript"/>
        </w:rPr>
        <w:t>0</w:t>
      </w:r>
      <w:r>
        <w:rPr>
          <w:color w:themeColor="text1" w:val="000000"/>
        </w:rPr>
        <w:t xml:space="preserve"> simulation series to alter Q</w:t>
      </w:r>
      <w:r>
        <w:rPr>
          <w:color w:themeColor="text1" w:val="000000"/>
          <w:vertAlign w:val="subscript"/>
        </w:rPr>
        <w:t>TP</w:t>
      </w:r>
      <w:r>
        <w:rPr>
          <w:color w:themeColor="text1" w:val="000000"/>
        </w:rPr>
        <w:t xml:space="preserve"> resulted in a range of flow-way model volumes (V</w:t>
      </w:r>
      <w:r>
        <w:rPr>
          <w:color w:themeColor="text1" w:val="000000"/>
          <w:vertAlign w:val="subscript"/>
        </w:rPr>
        <w:t>MOD</w:t>
      </w:r>
      <w:r>
        <w:rPr>
          <w:color w:themeColor="text1" w:val="000000"/>
        </w:rPr>
        <w:t>) from 0.001-0.006 km3 (Figure 2-19). V</w:t>
      </w:r>
      <w:r>
        <w:rPr>
          <w:color w:themeColor="text1" w:val="000000"/>
          <w:vertAlign w:val="subscript"/>
        </w:rPr>
        <w:t>MOD</w:t>
      </w:r>
      <w:r>
        <w:rPr>
          <w:color w:themeColor="text1" w:val="000000"/>
        </w:rPr>
        <w:t xml:space="preserve"> averaged 0.0024 km3, 0.0028 km3, 0.0032 km3, 0.0035 km3, and 0.0037 km3 among the five simulations (Table 2-16). Similarly, average h</w:t>
      </w:r>
      <w:r>
        <w:rPr>
          <w:color w:themeColor="text1" w:val="000000"/>
          <w:vertAlign w:val="subscript"/>
        </w:rPr>
        <w:t>MOD</w:t>
      </w:r>
      <w:r>
        <w:rPr>
          <w:color w:themeColor="text1" w:val="000000"/>
        </w:rPr>
        <w:t xml:space="preserve"> varied with volume ranging from 0.324 m to 0.492 m with adjustments to model Q</w:t>
      </w:r>
      <w:r>
        <w:rPr>
          <w:color w:themeColor="text1" w:val="000000"/>
          <w:vertAlign w:val="subscript"/>
        </w:rPr>
        <w:t>0</w:t>
      </w:r>
      <w:r>
        <w:rPr>
          <w:color w:themeColor="text1" w:val="000000"/>
        </w:rPr>
        <w:t xml:space="preserve"> (Table 2-16). </w:t>
      </w:r>
    </w:p>
    <w:p>
      <w:pPr>
        <w:pStyle w:val="Normal"/>
        <w:rPr>
          <w:color w:themeColor="text1" w:val="000000"/>
        </w:rPr>
      </w:pPr>
      <w:r>
        <w:rPr>
          <w:color w:themeColor="text1" w:val="000000"/>
        </w:rPr>
        <w:t>There were obvious differences between the volume and depth of the model flow-way between the Calibration (1/1/2005-12/31/2012) and Validation (1/1/2013-12/31/2020) periods (Table 2-8; Figure 2-20). Q</w:t>
      </w:r>
      <w:r>
        <w:rPr>
          <w:color w:themeColor="text1" w:val="000000"/>
          <w:vertAlign w:val="subscript"/>
        </w:rPr>
        <w:t>0</w:t>
      </w:r>
      <w:r>
        <w:rPr>
          <w:color w:themeColor="text1" w:val="000000"/>
        </w:rPr>
        <w:t xml:space="preserve"> and Q</w:t>
      </w:r>
      <w:r>
        <w:rPr>
          <w:color w:themeColor="text1" w:val="000000"/>
          <w:vertAlign w:val="subscript"/>
        </w:rPr>
        <w:t>TP</w:t>
      </w:r>
      <w:r>
        <w:rPr>
          <w:color w:themeColor="text1" w:val="000000"/>
        </w:rPr>
        <w:t xml:space="preserve"> were more variable from WY2005-WY2012 than WY2013-WY2020. Inflow was generally reduced and less variable during the second half of the BGC Model time series (Figure 2-20). </w:t>
      </w:r>
    </w:p>
    <w:p>
      <w:pPr>
        <w:pStyle w:val="Normal"/>
        <w:rPr>
          <w:color w:themeColor="text1" w:val="000000"/>
        </w:rPr>
      </w:pPr>
      <w:r>
        <w:rPr>
          <w:color w:themeColor="text1" w:val="000000"/>
        </w:rPr>
        <w:t>Average annual Q</w:t>
      </w:r>
      <w:r>
        <w:rPr>
          <w:color w:themeColor="text1" w:val="000000"/>
          <w:vertAlign w:val="subscript"/>
        </w:rPr>
        <w:t>TP</w:t>
      </w:r>
      <w:r>
        <w:rPr>
          <w:color w:themeColor="text1" w:val="000000"/>
        </w:rPr>
        <w:t xml:space="preserve"> was greatest in WY2007, WY2009, WY2012, WY2017 ranging from 0.03 g P m</w:t>
      </w:r>
      <w:r>
        <w:rPr>
          <w:color w:themeColor="text1" w:val="000000"/>
          <w:vertAlign w:val="superscript"/>
        </w:rPr>
        <w:noBreakHyphen/>
        <w:t>2</w:t>
      </w:r>
      <w:r>
        <w:rPr>
          <w:color w:themeColor="text1" w:val="000000"/>
        </w:rPr>
        <w:t xml:space="preserve"> d</w:t>
      </w:r>
      <w:r>
        <w:rPr>
          <w:color w:themeColor="text1" w:val="000000"/>
          <w:vertAlign w:val="superscript"/>
        </w:rPr>
        <w:t>-1</w:t>
      </w:r>
      <w:r>
        <w:rPr>
          <w:color w:themeColor="text1" w:val="000000"/>
        </w:rPr>
        <w:t xml:space="preserve"> to &gt; 0.1 g P m</w:t>
      </w:r>
      <w:r>
        <w:rPr>
          <w:color w:themeColor="text1" w:val="000000"/>
          <w:vertAlign w:val="superscript"/>
        </w:rPr>
        <w:t>-2</w:t>
      </w:r>
      <w:r>
        <w:rPr>
          <w:color w:themeColor="text1" w:val="000000"/>
        </w:rPr>
        <w:t xml:space="preserve"> d</w:t>
      </w:r>
      <w:r>
        <w:rPr>
          <w:color w:themeColor="text1" w:val="000000"/>
          <w:vertAlign w:val="superscript"/>
        </w:rPr>
        <w:noBreakHyphen/>
        <w:t>1</w:t>
      </w:r>
      <w:r>
        <w:rPr>
          <w:color w:themeColor="text1" w:val="000000"/>
        </w:rPr>
        <w:t xml:space="preserve"> among the five Q</w:t>
      </w:r>
      <w:r>
        <w:rPr>
          <w:color w:themeColor="text1" w:val="000000"/>
          <w:vertAlign w:val="subscript"/>
        </w:rPr>
        <w:t>0</w:t>
      </w:r>
      <w:r>
        <w:rPr>
          <w:color w:themeColor="text1" w:val="000000"/>
        </w:rPr>
        <w:t xml:space="preserve"> series simulations (Figure 2-21). The TP</w:t>
      </w:r>
      <w:r>
        <w:rPr>
          <w:color w:themeColor="text1" w:val="000000"/>
          <w:vertAlign w:val="subscript"/>
        </w:rPr>
        <w:t>W</w:t>
      </w:r>
      <w:r>
        <w:rPr>
          <w:color w:themeColor="text1" w:val="000000"/>
        </w:rPr>
        <w:t xml:space="preserve"> concentrations exhibited minimal responses to increases or decreases in external TP loading except when inflow to the model flow-way was doubled (Figure 2-21A to 2-21E). There was no grand effect of altering inflow on TP loads and water column TP in the flow-way over all five simulations (Figure 2-21F).</w:t>
      </w:r>
    </w:p>
    <w:p>
      <w:pPr>
        <w:pStyle w:val="Normal"/>
        <w:rPr>
          <w:color w:themeColor="text1" w:val="000000"/>
        </w:rPr>
      </w:pPr>
      <w:r>
        <w:rPr>
          <w:color w:themeColor="text1" w:val="000000"/>
        </w:rPr>
      </w:r>
    </w:p>
    <w:p>
      <w:pPr>
        <w:pStyle w:val="Caption"/>
        <w:spacing w:lineRule="auto" w:line="240"/>
        <w:rPr>
          <w:color w:themeColor="text1" w:val="000000"/>
        </w:rPr>
      </w:pPr>
      <w:bookmarkStart w:id="99" w:name="_Hlk170405767"/>
      <w:bookmarkStart w:id="100" w:name="_Toc182250926"/>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17</w:t>
      </w:r>
      <w:r>
        <w:rPr>
          <w:color w:themeColor="text1" w:val="000000"/>
        </w:rPr>
        <w:fldChar w:fldCharType="end"/>
      </w:r>
      <w:r>
        <w:rPr>
          <w:color w:themeColor="text1" w:val="000000"/>
        </w:rPr>
        <w:t>. Summary of average model flow-way volume (V</w:t>
      </w:r>
      <w:r>
        <w:rPr>
          <w:color w:themeColor="text1" w:val="000000"/>
          <w:vertAlign w:val="subscript"/>
        </w:rPr>
        <w:t>MOD</w:t>
      </w:r>
      <w:r>
        <w:rPr>
          <w:color w:themeColor="text1" w:val="000000"/>
        </w:rPr>
        <w:t>; km</w:t>
      </w:r>
      <w:r>
        <w:rPr>
          <w:color w:themeColor="text1" w:val="000000"/>
          <w:vertAlign w:val="superscript"/>
        </w:rPr>
        <w:t>3</w:t>
      </w:r>
      <w:r>
        <w:rPr>
          <w:color w:themeColor="text1" w:val="000000"/>
        </w:rPr>
        <w:t>) and depth (h</w:t>
      </w:r>
      <w:r>
        <w:rPr>
          <w:color w:themeColor="text1" w:val="000000"/>
          <w:vertAlign w:val="subscript"/>
        </w:rPr>
        <w:t>MOD</w:t>
      </w:r>
      <w:r>
        <w:rPr>
          <w:color w:themeColor="text1" w:val="000000"/>
        </w:rPr>
        <w:t>; m</w:t>
      </w:r>
      <w:r>
        <w:rPr>
          <w:color w:themeColor="text1" w:val="000000"/>
          <w:vertAlign w:val="superscript"/>
        </w:rPr>
        <w:t>3</w:t>
      </w:r>
      <w:r>
        <w:rPr>
          <w:color w:themeColor="text1" w:val="000000"/>
        </w:rPr>
        <w:t>) for each of the five simulations to vary inflow (Q</w:t>
      </w:r>
      <w:r>
        <w:rPr>
          <w:color w:themeColor="text1" w:val="000000"/>
          <w:vertAlign w:val="subscript"/>
        </w:rPr>
        <w:t>0</w:t>
      </w:r>
      <w:r>
        <w:rPr>
          <w:color w:themeColor="text1" w:val="000000"/>
        </w:rPr>
        <w:t>).</w:t>
      </w:r>
      <w:bookmarkEnd w:id="99"/>
      <w:bookmarkEnd w:id="100"/>
    </w:p>
    <w:p>
      <w:pPr>
        <w:pStyle w:val="Normal"/>
        <w:jc w:val="center"/>
        <w:rPr>
          <w:color w:themeColor="text1" w:val="000000"/>
        </w:rPr>
      </w:pPr>
      <w:r>
        <w:rPr/>
        <w:drawing>
          <wp:inline distT="0" distB="0" distL="0" distR="0">
            <wp:extent cx="3298190" cy="1981200"/>
            <wp:effectExtent l="0" t="0" r="0" b="0"/>
            <wp:docPr id="108"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6" descr=""/>
                    <pic:cNvPicPr>
                      <a:picLocks noChangeAspect="1" noChangeArrowheads="1"/>
                    </pic:cNvPicPr>
                  </pic:nvPicPr>
                  <pic:blipFill>
                    <a:blip r:embed="rId111"/>
                    <a:stretch>
                      <a:fillRect/>
                    </a:stretch>
                  </pic:blipFill>
                  <pic:spPr bwMode="auto">
                    <a:xfrm>
                      <a:off x="0" y="0"/>
                      <a:ext cx="3298190" cy="1981200"/>
                    </a:xfrm>
                    <a:prstGeom prst="rect">
                      <a:avLst/>
                    </a:prstGeom>
                  </pic:spPr>
                </pic:pic>
              </a:graphicData>
            </a:graphic>
          </wp:inline>
        </w:drawing>
      </w:r>
    </w:p>
    <w:p>
      <w:pPr>
        <w:pStyle w:val="Normal"/>
        <w:rPr>
          <w:color w:themeColor="text1" w:val="000000"/>
        </w:rPr>
      </w:pPr>
      <w:r>
        <w:rPr>
          <w:color w:themeColor="text1" w:val="000000"/>
        </w:rPr>
        <mc:AlternateContent>
          <mc:Choice Requires="wps">
            <w:drawing>
              <wp:anchor behindDoc="0" distT="40005" distB="55880" distL="109220" distR="128270" simplePos="0" locked="0" layoutInCell="0" allowOverlap="1" relativeHeight="70" wp14:anchorId="44AF0E56">
                <wp:simplePos x="0" y="0"/>
                <wp:positionH relativeFrom="margin">
                  <wp:posOffset>0</wp:posOffset>
                </wp:positionH>
                <wp:positionV relativeFrom="paragraph">
                  <wp:posOffset>334645</wp:posOffset>
                </wp:positionV>
                <wp:extent cx="5943600" cy="2880360"/>
                <wp:effectExtent l="5080" t="5080" r="5080" b="5080"/>
                <wp:wrapSquare wrapText="bothSides"/>
                <wp:docPr id="109" name="Text Box 2"/>
                <a:graphic xmlns:a="http://schemas.openxmlformats.org/drawingml/2006/main">
                  <a:graphicData uri="http://schemas.microsoft.com/office/word/2010/wordprocessingShape">
                    <wps:wsp>
                      <wps:cNvSpPr/>
                      <wps:spPr>
                        <a:xfrm>
                          <a:off x="0" y="0"/>
                          <a:ext cx="5943600" cy="28803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645150" cy="2034540"/>
                                  <wp:effectExtent l="0" t="0" r="0" b="0"/>
                                  <wp:docPr id="11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21" descr=""/>
                                          <pic:cNvPicPr>
                                            <a:picLocks noChangeAspect="1" noChangeArrowheads="1"/>
                                          </pic:cNvPicPr>
                                        </pic:nvPicPr>
                                        <pic:blipFill>
                                          <a:blip r:embed="rId112"/>
                                          <a:stretch>
                                            <a:fillRect/>
                                          </a:stretch>
                                        </pic:blipFill>
                                        <pic:spPr bwMode="auto">
                                          <a:xfrm>
                                            <a:off x="0" y="0"/>
                                            <a:ext cx="5645150" cy="2034540"/>
                                          </a:xfrm>
                                          <a:prstGeom prst="rect">
                                            <a:avLst/>
                                          </a:prstGeom>
                                        </pic:spPr>
                                      </pic:pic>
                                    </a:graphicData>
                                  </a:graphic>
                                </wp:inline>
                              </w:drawing>
                            </w:r>
                          </w:p>
                          <w:p>
                            <w:pPr>
                              <w:pStyle w:val="Caption"/>
                              <w:widowControl/>
                              <w:bidi w:val="0"/>
                              <w:spacing w:lineRule="auto" w:line="276" w:before="0" w:after="60"/>
                              <w:jc w:val="center"/>
                              <w:rPr/>
                            </w:pPr>
                            <w:bookmarkStart w:id="101" w:name="_Toc181802661"/>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21</w:t>
                            </w:r>
                            <w:r>
                              <w:rPr/>
                              <w:fldChar w:fldCharType="end"/>
                            </w:r>
                            <w:r>
                              <w:rPr/>
                              <w:t>.  Time series of average monthly flow-way volumes (km</w:t>
                            </w:r>
                            <w:r>
                              <w:rPr>
                                <w:vertAlign w:val="superscript"/>
                              </w:rPr>
                              <w:t>3</w:t>
                            </w:r>
                            <w:r>
                              <w:rPr/>
                              <w:t>) predicted by the hydrologic component of the Biogeochemical Model of STA-2 FW1 for five different inflow (Q</w:t>
                            </w:r>
                            <w:r>
                              <w:rPr>
                                <w:vertAlign w:val="subscript"/>
                              </w:rPr>
                              <w:t>0</w:t>
                            </w:r>
                            <w:r>
                              <w:rPr/>
                              <w:t>) simulations.  The Q</w:t>
                            </w:r>
                            <w:r>
                              <w:rPr>
                                <w:vertAlign w:val="subscript"/>
                              </w:rPr>
                              <w:t>0</w:t>
                            </w:r>
                            <w:r>
                              <w:rPr/>
                              <w:t xml:space="preserve"> series tested inflows that were -0.25X, -0.50X, base model, +1.5X, and +2.0.</w:t>
                            </w:r>
                            <w:bookmarkEnd w:id="101"/>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26.35pt;width:467.95pt;height:226.75pt;mso-wrap-style:square;v-text-anchor:top;mso-position-horizontal-relative:margin" wp14:anchorId="44AF0E56">
                <v:fill o:detectmouseclick="t" type="solid" color2="black"/>
                <v:stroke color="black" weight="9360" joinstyle="miter" endcap="flat"/>
                <v:textbox>
                  <w:txbxContent>
                    <w:p>
                      <w:pPr>
                        <w:pStyle w:val="FrameContents"/>
                        <w:jc w:val="center"/>
                        <w:rPr/>
                      </w:pPr>
                      <w:r>
                        <w:rPr/>
                        <w:drawing>
                          <wp:inline distT="0" distB="0" distL="0" distR="0">
                            <wp:extent cx="5645150" cy="2034540"/>
                            <wp:effectExtent l="0" t="0" r="0" b="0"/>
                            <wp:docPr id="11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1" descr=""/>
                                    <pic:cNvPicPr>
                                      <a:picLocks noChangeAspect="1" noChangeArrowheads="1"/>
                                    </pic:cNvPicPr>
                                  </pic:nvPicPr>
                                  <pic:blipFill>
                                    <a:blip r:embed="rId113"/>
                                    <a:stretch>
                                      <a:fillRect/>
                                    </a:stretch>
                                  </pic:blipFill>
                                  <pic:spPr bwMode="auto">
                                    <a:xfrm>
                                      <a:off x="0" y="0"/>
                                      <a:ext cx="5645150" cy="2034540"/>
                                    </a:xfrm>
                                    <a:prstGeom prst="rect">
                                      <a:avLst/>
                                    </a:prstGeom>
                                  </pic:spPr>
                                </pic:pic>
                              </a:graphicData>
                            </a:graphic>
                          </wp:inline>
                        </w:drawing>
                      </w:r>
                    </w:p>
                    <w:p>
                      <w:pPr>
                        <w:pStyle w:val="Caption"/>
                        <w:widowControl/>
                        <w:bidi w:val="0"/>
                        <w:spacing w:lineRule="auto" w:line="276" w:before="0" w:after="60"/>
                        <w:jc w:val="center"/>
                        <w:rPr/>
                      </w:pPr>
                      <w:bookmarkStart w:id="102" w:name="_Toc181802661"/>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21</w:t>
                      </w:r>
                      <w:r>
                        <w:rPr/>
                        <w:fldChar w:fldCharType="end"/>
                      </w:r>
                      <w:r>
                        <w:rPr/>
                        <w:t>.  Time series of average monthly flow-way volumes (km</w:t>
                      </w:r>
                      <w:r>
                        <w:rPr>
                          <w:vertAlign w:val="superscript"/>
                        </w:rPr>
                        <w:t>3</w:t>
                      </w:r>
                      <w:r>
                        <w:rPr/>
                        <w:t>) predicted by the hydrologic component of the Biogeochemical Model of STA-2 FW1 for five different inflow (Q</w:t>
                      </w:r>
                      <w:r>
                        <w:rPr>
                          <w:vertAlign w:val="subscript"/>
                        </w:rPr>
                        <w:t>0</w:t>
                      </w:r>
                      <w:r>
                        <w:rPr/>
                        <w:t>) simulations.  The Q</w:t>
                      </w:r>
                      <w:r>
                        <w:rPr>
                          <w:vertAlign w:val="subscript"/>
                        </w:rPr>
                        <w:t>0</w:t>
                      </w:r>
                      <w:r>
                        <w:rPr/>
                        <w:t xml:space="preserve"> series tested inflows that were -0.25X, -0.50X, base model, +1.5X, and +2.0.</w:t>
                      </w:r>
                      <w:bookmarkEnd w:id="102"/>
                    </w:p>
                  </w:txbxContent>
                </v:textbox>
                <w10:wrap type="square"/>
              </v:rect>
            </w:pict>
          </mc:Fallback>
        </mc:AlternateContent>
      </w:r>
    </w:p>
    <w:p>
      <w:pPr>
        <w:pStyle w:val="Normal"/>
        <w:rPr>
          <w:color w:themeColor="text1" w:val="000000"/>
        </w:rPr>
      </w:pPr>
      <w:r>
        <w:rPr>
          <w:color w:themeColor="text1" w:val="000000"/>
        </w:rPr>
      </w:r>
    </w:p>
    <w:p>
      <w:pPr>
        <w:pStyle w:val="Normal"/>
        <w:rPr>
          <w:color w:themeColor="text1" w:val="000000"/>
        </w:rPr>
      </w:pPr>
      <w:r>
        <w:rPr>
          <w:color w:themeColor="text1" w:val="000000"/>
        </w:rPr>
        <mc:AlternateContent>
          <mc:Choice Requires="wps">
            <w:drawing>
              <wp:anchor behindDoc="0" distT="40640" distB="55880" distL="109220" distR="128270" simplePos="0" locked="0" layoutInCell="0" allowOverlap="1" relativeHeight="74" wp14:anchorId="611D4B5C">
                <wp:simplePos x="0" y="0"/>
                <wp:positionH relativeFrom="margin">
                  <wp:posOffset>144780</wp:posOffset>
                </wp:positionH>
                <wp:positionV relativeFrom="paragraph">
                  <wp:posOffset>61595</wp:posOffset>
                </wp:positionV>
                <wp:extent cx="5943600" cy="5699760"/>
                <wp:effectExtent l="5080" t="5080" r="5080" b="5080"/>
                <wp:wrapSquare wrapText="bothSides"/>
                <wp:docPr id="110" name="Text Box 2"/>
                <a:graphic xmlns:a="http://schemas.openxmlformats.org/drawingml/2006/main">
                  <a:graphicData uri="http://schemas.microsoft.com/office/word/2010/wordprocessingShape">
                    <wps:wsp>
                      <wps:cNvSpPr/>
                      <wps:spPr>
                        <a:xfrm>
                          <a:off x="0" y="0"/>
                          <a:ext cx="5943600" cy="5699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636895" cy="4541520"/>
                                  <wp:effectExtent l="0" t="0" r="0" b="0"/>
                                  <wp:docPr id="11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2" descr=""/>
                                          <pic:cNvPicPr>
                                            <a:picLocks noChangeAspect="1" noChangeArrowheads="1"/>
                                          </pic:cNvPicPr>
                                        </pic:nvPicPr>
                                        <pic:blipFill>
                                          <a:blip r:embed="rId114"/>
                                          <a:stretch>
                                            <a:fillRect/>
                                          </a:stretch>
                                        </pic:blipFill>
                                        <pic:spPr bwMode="auto">
                                          <a:xfrm>
                                            <a:off x="0" y="0"/>
                                            <a:ext cx="5636895" cy="4541520"/>
                                          </a:xfrm>
                                          <a:prstGeom prst="rect">
                                            <a:avLst/>
                                          </a:prstGeom>
                                        </pic:spPr>
                                      </pic:pic>
                                    </a:graphicData>
                                  </a:graphic>
                                </wp:inline>
                              </w:drawing>
                            </w:r>
                          </w:p>
                          <w:p>
                            <w:pPr>
                              <w:pStyle w:val="Caption"/>
                              <w:widowControl/>
                              <w:bidi w:val="0"/>
                              <w:spacing w:lineRule="auto" w:line="276" w:before="0" w:after="60"/>
                              <w:jc w:val="center"/>
                              <w:rPr/>
                            </w:pPr>
                            <w:bookmarkStart w:id="103" w:name="_Toc181802662"/>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22</w:t>
                            </w:r>
                            <w:r>
                              <w:rPr/>
                              <w:fldChar w:fldCharType="end"/>
                            </w:r>
                            <w:r>
                              <w:rPr/>
                              <w:t>.  Daily total phosphorus loads (Q</w:t>
                            </w:r>
                            <w:r>
                              <w:rPr>
                                <w:vertAlign w:val="subscript"/>
                              </w:rPr>
                              <w:t>TP</w:t>
                            </w:r>
                            <w:r>
                              <w:rPr/>
                              <w:t>; g P m</w:t>
                            </w:r>
                            <w:r>
                              <w:rPr>
                                <w:vertAlign w:val="superscript"/>
                              </w:rPr>
                              <w:t>-2</w:t>
                            </w:r>
                            <w:r>
                              <w:rPr/>
                              <w:t xml:space="preserve"> d</w:t>
                            </w:r>
                            <w:r>
                              <w:rPr>
                                <w:vertAlign w:val="superscript"/>
                              </w:rPr>
                              <w:t>-1</w:t>
                            </w:r>
                            <w:r>
                              <w:rPr/>
                              <w:t>; black; left axis) and water column TP (TP</w:t>
                            </w:r>
                            <w:r>
                              <w:rPr>
                                <w:vertAlign w:val="subscript"/>
                              </w:rPr>
                              <w:t>W</w:t>
                            </w:r>
                            <w:r>
                              <w:rPr/>
                              <w:t>; g P m</w:t>
                            </w:r>
                            <w:r>
                              <w:rPr>
                                <w:vertAlign w:val="superscript"/>
                              </w:rPr>
                              <w:t>-3</w:t>
                            </w:r>
                            <w:r>
                              <w:rPr/>
                              <w:t>; red; right axis) from the series to test the effects of variable inflow (Q</w:t>
                            </w:r>
                            <w:r>
                              <w:rPr>
                                <w:vertAlign w:val="subscript"/>
                              </w:rPr>
                              <w:t>0</w:t>
                            </w:r>
                            <w:r>
                              <w:rPr/>
                              <w:t>) on the Biogeochemical Model of STA2 FW1.  (A) -0.25X base model Q</w:t>
                            </w:r>
                            <w:r>
                              <w:rPr>
                                <w:vertAlign w:val="subscript"/>
                              </w:rPr>
                              <w:t>0</w:t>
                            </w:r>
                            <w:r>
                              <w:rPr/>
                              <w:t>.  (B) -0.50X base model Q</w:t>
                            </w:r>
                            <w:r>
                              <w:rPr>
                                <w:vertAlign w:val="subscript"/>
                              </w:rPr>
                              <w:t>0</w:t>
                            </w:r>
                            <w:r>
                              <w:rPr/>
                              <w:t>.  (C) Base model Q</w:t>
                            </w:r>
                            <w:r>
                              <w:rPr>
                                <w:vertAlign w:val="subscript"/>
                              </w:rPr>
                              <w:t>0</w:t>
                            </w:r>
                            <w:r>
                              <w:rPr/>
                              <w:t>.  (D) +1.5X base model Q</w:t>
                            </w:r>
                            <w:r>
                              <w:rPr>
                                <w:vertAlign w:val="subscript"/>
                              </w:rPr>
                              <w:t>0</w:t>
                            </w:r>
                            <w:r>
                              <w:rPr/>
                              <w:t>.  (E) +2.0X base model Q</w:t>
                            </w:r>
                            <w:r>
                              <w:rPr>
                                <w:vertAlign w:val="subscript"/>
                              </w:rPr>
                              <w:t>0</w:t>
                            </w:r>
                            <w:r>
                              <w:rPr/>
                              <w:t>.  Note increase in y-axis range in D and E.</w:t>
                            </w:r>
                            <w:bookmarkEnd w:id="103"/>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1.4pt;margin-top:4.85pt;width:467.95pt;height:448.75pt;mso-wrap-style:square;v-text-anchor:top;mso-position-horizontal-relative:margin" wp14:anchorId="611D4B5C">
                <v:fill o:detectmouseclick="t" type="solid" color2="black"/>
                <v:stroke color="black" weight="9360" joinstyle="miter" endcap="flat"/>
                <v:textbox>
                  <w:txbxContent>
                    <w:p>
                      <w:pPr>
                        <w:pStyle w:val="FrameContents"/>
                        <w:jc w:val="center"/>
                        <w:rPr/>
                      </w:pPr>
                      <w:r>
                        <w:rPr/>
                        <w:drawing>
                          <wp:inline distT="0" distB="0" distL="0" distR="0">
                            <wp:extent cx="5636895" cy="4541520"/>
                            <wp:effectExtent l="0" t="0" r="0" b="0"/>
                            <wp:docPr id="113"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2" descr=""/>
                                    <pic:cNvPicPr>
                                      <a:picLocks noChangeAspect="1" noChangeArrowheads="1"/>
                                    </pic:cNvPicPr>
                                  </pic:nvPicPr>
                                  <pic:blipFill>
                                    <a:blip r:embed="rId115"/>
                                    <a:stretch>
                                      <a:fillRect/>
                                    </a:stretch>
                                  </pic:blipFill>
                                  <pic:spPr bwMode="auto">
                                    <a:xfrm>
                                      <a:off x="0" y="0"/>
                                      <a:ext cx="5636895" cy="4541520"/>
                                    </a:xfrm>
                                    <a:prstGeom prst="rect">
                                      <a:avLst/>
                                    </a:prstGeom>
                                  </pic:spPr>
                                </pic:pic>
                              </a:graphicData>
                            </a:graphic>
                          </wp:inline>
                        </w:drawing>
                      </w:r>
                    </w:p>
                    <w:p>
                      <w:pPr>
                        <w:pStyle w:val="Caption"/>
                        <w:widowControl/>
                        <w:bidi w:val="0"/>
                        <w:spacing w:lineRule="auto" w:line="276" w:before="0" w:after="60"/>
                        <w:jc w:val="center"/>
                        <w:rPr/>
                      </w:pPr>
                      <w:bookmarkStart w:id="104" w:name="_Toc181802662"/>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22</w:t>
                      </w:r>
                      <w:r>
                        <w:rPr/>
                        <w:fldChar w:fldCharType="end"/>
                      </w:r>
                      <w:r>
                        <w:rPr/>
                        <w:t>.  Daily total phosphorus loads (Q</w:t>
                      </w:r>
                      <w:r>
                        <w:rPr>
                          <w:vertAlign w:val="subscript"/>
                        </w:rPr>
                        <w:t>TP</w:t>
                      </w:r>
                      <w:r>
                        <w:rPr/>
                        <w:t>; g P m</w:t>
                      </w:r>
                      <w:r>
                        <w:rPr>
                          <w:vertAlign w:val="superscript"/>
                        </w:rPr>
                        <w:t>-2</w:t>
                      </w:r>
                      <w:r>
                        <w:rPr/>
                        <w:t xml:space="preserve"> d</w:t>
                      </w:r>
                      <w:r>
                        <w:rPr>
                          <w:vertAlign w:val="superscript"/>
                        </w:rPr>
                        <w:t>-1</w:t>
                      </w:r>
                      <w:r>
                        <w:rPr/>
                        <w:t>; black; left axis) and water column TP (TP</w:t>
                      </w:r>
                      <w:r>
                        <w:rPr>
                          <w:vertAlign w:val="subscript"/>
                        </w:rPr>
                        <w:t>W</w:t>
                      </w:r>
                      <w:r>
                        <w:rPr/>
                        <w:t>; g P m</w:t>
                      </w:r>
                      <w:r>
                        <w:rPr>
                          <w:vertAlign w:val="superscript"/>
                        </w:rPr>
                        <w:t>-3</w:t>
                      </w:r>
                      <w:r>
                        <w:rPr/>
                        <w:t>; red; right axis) from the series to test the effects of variable inflow (Q</w:t>
                      </w:r>
                      <w:r>
                        <w:rPr>
                          <w:vertAlign w:val="subscript"/>
                        </w:rPr>
                        <w:t>0</w:t>
                      </w:r>
                      <w:r>
                        <w:rPr/>
                        <w:t>) on the Biogeochemical Model of STA2 FW1.  (A) -0.25X base model Q</w:t>
                      </w:r>
                      <w:r>
                        <w:rPr>
                          <w:vertAlign w:val="subscript"/>
                        </w:rPr>
                        <w:t>0</w:t>
                      </w:r>
                      <w:r>
                        <w:rPr/>
                        <w:t>.  (B) -0.50X base model Q</w:t>
                      </w:r>
                      <w:r>
                        <w:rPr>
                          <w:vertAlign w:val="subscript"/>
                        </w:rPr>
                        <w:t>0</w:t>
                      </w:r>
                      <w:r>
                        <w:rPr/>
                        <w:t>.  (C) Base model Q</w:t>
                      </w:r>
                      <w:r>
                        <w:rPr>
                          <w:vertAlign w:val="subscript"/>
                        </w:rPr>
                        <w:t>0</w:t>
                      </w:r>
                      <w:r>
                        <w:rPr/>
                        <w:t>.  (D) +1.5X base model Q</w:t>
                      </w:r>
                      <w:r>
                        <w:rPr>
                          <w:vertAlign w:val="subscript"/>
                        </w:rPr>
                        <w:t>0</w:t>
                      </w:r>
                      <w:r>
                        <w:rPr/>
                        <w:t>.  (E) +2.0X base model Q</w:t>
                      </w:r>
                      <w:r>
                        <w:rPr>
                          <w:vertAlign w:val="subscript"/>
                        </w:rPr>
                        <w:t>0</w:t>
                      </w:r>
                      <w:r>
                        <w:rPr/>
                        <w:t>.  Note increase in y-axis range in D and E.</w:t>
                      </w:r>
                      <w:bookmarkEnd w:id="104"/>
                    </w:p>
                  </w:txbxContent>
                </v:textbox>
                <w10:wrap type="square"/>
              </v:rect>
            </w:pict>
          </mc:Fallback>
        </mc:AlternateContent>
      </w:r>
    </w:p>
    <w:p>
      <w:pPr>
        <w:pStyle w:val="Normal"/>
        <w:rPr>
          <w:color w:themeColor="text1" w:val="000000"/>
        </w:rPr>
      </w:pPr>
      <w:r>
        <w:rPr>
          <w:color w:themeColor="text1" w:val="000000"/>
        </w:rPr>
        <w:t>While altering Q</w:t>
      </w:r>
      <w:r>
        <w:rPr>
          <w:color w:themeColor="text1" w:val="000000"/>
          <w:vertAlign w:val="subscript"/>
        </w:rPr>
        <w:t>0</w:t>
      </w:r>
      <w:r>
        <w:rPr>
          <w:color w:themeColor="text1" w:val="000000"/>
        </w:rPr>
        <w:t xml:space="preserve"> affected flow-way loading, volume, and depth, alterations to [TP]</w:t>
      </w:r>
      <w:r>
        <w:rPr>
          <w:color w:themeColor="text1" w:val="000000"/>
          <w:vertAlign w:val="subscript"/>
        </w:rPr>
        <w:t>IN</w:t>
      </w:r>
      <w:r>
        <w:rPr>
          <w:color w:themeColor="text1" w:val="000000"/>
        </w:rPr>
        <w:t xml:space="preserve"> only changed the daily TP loads. While the temporal patterns in Q</w:t>
      </w:r>
      <w:r>
        <w:rPr>
          <w:color w:themeColor="text1" w:val="000000"/>
          <w:vertAlign w:val="subscript"/>
        </w:rPr>
        <w:t>TP</w:t>
      </w:r>
      <w:r>
        <w:rPr>
          <w:color w:themeColor="text1" w:val="000000"/>
        </w:rPr>
        <w:t xml:space="preserve"> resulting from changing [TP]</w:t>
      </w:r>
      <w:r>
        <w:rPr>
          <w:color w:themeColor="text1" w:val="000000"/>
          <w:vertAlign w:val="subscript"/>
        </w:rPr>
        <w:t>IN</w:t>
      </w:r>
      <w:r>
        <w:rPr>
          <w:color w:themeColor="text1" w:val="000000"/>
        </w:rPr>
        <w:t xml:space="preserve"> were very similar to those resulting from the Q0 series, the magnitude of both the TP loads and TP</w:t>
      </w:r>
      <w:r>
        <w:rPr>
          <w:color w:themeColor="text1" w:val="000000"/>
          <w:vertAlign w:val="subscript"/>
        </w:rPr>
        <w:t>W</w:t>
      </w:r>
      <w:r>
        <w:rPr>
          <w:color w:themeColor="text1" w:val="000000"/>
        </w:rPr>
        <w:t xml:space="preserve"> were more variable (Figure 2-22). The decreases and increases in average Q</w:t>
      </w:r>
      <w:r>
        <w:rPr>
          <w:color w:themeColor="text1" w:val="000000"/>
          <w:vertAlign w:val="subscript"/>
        </w:rPr>
        <w:t>TP</w:t>
      </w:r>
      <w:r>
        <w:rPr>
          <w:color w:themeColor="text1" w:val="000000"/>
        </w:rPr>
        <w:t xml:space="preserve"> and TP</w:t>
      </w:r>
      <w:r>
        <w:rPr>
          <w:color w:themeColor="text1" w:val="000000"/>
          <w:vertAlign w:val="subscript"/>
        </w:rPr>
        <w:t>W</w:t>
      </w:r>
      <w:r>
        <w:rPr>
          <w:color w:themeColor="text1" w:val="000000"/>
        </w:rPr>
        <w:t xml:space="preserve"> when [TP]</w:t>
      </w:r>
      <w:r>
        <w:rPr>
          <w:color w:themeColor="text1" w:val="000000"/>
          <w:vertAlign w:val="subscript"/>
        </w:rPr>
        <w:t>IN</w:t>
      </w:r>
      <w:r>
        <w:rPr>
          <w:color w:themeColor="text1" w:val="000000"/>
        </w:rPr>
        <w:t xml:space="preserve"> was reduced or increased were greater than in the Q</w:t>
      </w:r>
      <w:r>
        <w:rPr>
          <w:color w:themeColor="text1" w:val="000000"/>
          <w:vertAlign w:val="subscript"/>
        </w:rPr>
        <w:t>0</w:t>
      </w:r>
      <w:r>
        <w:rPr>
          <w:color w:themeColor="text1" w:val="000000"/>
        </w:rPr>
        <w:t xml:space="preserve"> series (Figure 2-22). Similar to the Q</w:t>
      </w:r>
      <w:r>
        <w:rPr>
          <w:color w:themeColor="text1" w:val="000000"/>
          <w:vertAlign w:val="subscript"/>
        </w:rPr>
        <w:t>0</w:t>
      </w:r>
      <w:r>
        <w:rPr>
          <w:color w:themeColor="text1" w:val="000000"/>
        </w:rPr>
        <w:t xml:space="preserve"> series there were no apparent associations in most of the scatter plots (Figure 2-24A to 2-24D). However, TP</w:t>
      </w:r>
      <w:r>
        <w:rPr>
          <w:color w:themeColor="text1" w:val="000000"/>
          <w:vertAlign w:val="subscript"/>
        </w:rPr>
        <w:t>W</w:t>
      </w:r>
      <w:r>
        <w:rPr>
          <w:color w:themeColor="text1" w:val="000000"/>
        </w:rPr>
        <w:t xml:space="preserve"> increased significantly with elevated QT</w:t>
      </w:r>
      <w:r>
        <w:rPr>
          <w:color w:themeColor="text1" w:val="000000"/>
          <w:vertAlign w:val="subscript"/>
        </w:rPr>
        <w:t>P</w:t>
      </w:r>
      <w:r>
        <w:rPr>
          <w:color w:themeColor="text1" w:val="000000"/>
        </w:rPr>
        <w:t xml:space="preserve"> due to a doubling of [TP]</w:t>
      </w:r>
      <w:r>
        <w:rPr>
          <w:color w:themeColor="text1" w:val="000000"/>
          <w:vertAlign w:val="subscript"/>
        </w:rPr>
        <w:t>IN</w:t>
      </w:r>
      <w:r>
        <w:rPr>
          <w:color w:themeColor="text1" w:val="000000"/>
        </w:rPr>
        <w:t xml:space="preserve"> (Figure 2-24E). There was an overall robust relationship between external TP loading and internal water column TP concentrations when Q</w:t>
      </w:r>
      <w:r>
        <w:rPr>
          <w:color w:themeColor="text1" w:val="000000"/>
          <w:vertAlign w:val="subscript"/>
        </w:rPr>
        <w:t>TP</w:t>
      </w:r>
      <w:r>
        <w:rPr>
          <w:color w:themeColor="text1" w:val="000000"/>
        </w:rPr>
        <w:t xml:space="preserve"> was altered using the inflow concentrations (Figure 2-24F). </w:t>
      </w:r>
    </w:p>
    <w:p>
      <w:pPr>
        <w:pStyle w:val="Normal"/>
        <w:rPr>
          <w:color w:themeColor="text1" w:val="000000"/>
        </w:rPr>
      </w:pPr>
      <w:r>
        <w:rPr>
          <w:color w:themeColor="text1" w:val="000000"/>
        </w:rPr>
      </w:r>
      <w:r>
        <w:br w:type="page"/>
      </w:r>
    </w:p>
    <w:p>
      <w:pPr>
        <w:pStyle w:val="Normal"/>
        <w:rPr/>
      </w:pPr>
      <w:r>
        <w:rPr/>
        <mc:AlternateContent>
          <mc:Choice Requires="wps">
            <w:drawing>
              <wp:anchor behindDoc="0" distT="40640" distB="67310" distL="109220" distR="128270" simplePos="0" locked="0" layoutInCell="0" allowOverlap="1" relativeHeight="51" wp14:anchorId="42261E88">
                <wp:simplePos x="0" y="0"/>
                <wp:positionH relativeFrom="margin">
                  <wp:posOffset>106680</wp:posOffset>
                </wp:positionH>
                <wp:positionV relativeFrom="paragraph">
                  <wp:posOffset>46355</wp:posOffset>
                </wp:positionV>
                <wp:extent cx="5943600" cy="5707380"/>
                <wp:effectExtent l="5080" t="5080" r="5080" b="5080"/>
                <wp:wrapSquare wrapText="bothSides"/>
                <wp:docPr id="111" name="Text Box 2"/>
                <a:graphic xmlns:a="http://schemas.openxmlformats.org/drawingml/2006/main">
                  <a:graphicData uri="http://schemas.microsoft.com/office/word/2010/wordprocessingShape">
                    <wps:wsp>
                      <wps:cNvSpPr/>
                      <wps:spPr>
                        <a:xfrm>
                          <a:off x="0" y="0"/>
                          <a:ext cx="5943600" cy="5707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546090" cy="4691380"/>
                                  <wp:effectExtent l="0" t="0" r="0" b="0"/>
                                  <wp:docPr id="11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3" descr=""/>
                                          <pic:cNvPicPr>
                                            <a:picLocks noChangeAspect="1" noChangeArrowheads="1"/>
                                          </pic:cNvPicPr>
                                        </pic:nvPicPr>
                                        <pic:blipFill>
                                          <a:blip r:embed="rId116"/>
                                          <a:stretch>
                                            <a:fillRect/>
                                          </a:stretch>
                                        </pic:blipFill>
                                        <pic:spPr bwMode="auto">
                                          <a:xfrm>
                                            <a:off x="0" y="0"/>
                                            <a:ext cx="5546090" cy="4691380"/>
                                          </a:xfrm>
                                          <a:prstGeom prst="rect">
                                            <a:avLst/>
                                          </a:prstGeom>
                                        </pic:spPr>
                                      </pic:pic>
                                    </a:graphicData>
                                  </a:graphic>
                                </wp:inline>
                              </w:drawing>
                            </w:r>
                          </w:p>
                          <w:p>
                            <w:pPr>
                              <w:pStyle w:val="Caption"/>
                              <w:widowControl/>
                              <w:bidi w:val="0"/>
                              <w:spacing w:lineRule="auto" w:line="276" w:before="0" w:after="60"/>
                              <w:jc w:val="center"/>
                              <w:rPr/>
                            </w:pPr>
                            <w:bookmarkStart w:id="105" w:name="_Toc181802663"/>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23</w:t>
                            </w:r>
                            <w:r>
                              <w:rPr/>
                              <w:fldChar w:fldCharType="end"/>
                            </w:r>
                            <w:r>
                              <w:rPr/>
                              <w:t>.  Scatter plots of annual TP loading (Q</w:t>
                            </w:r>
                            <w:r>
                              <w:rPr>
                                <w:vertAlign w:val="subscript"/>
                              </w:rPr>
                              <w:t>TP</w:t>
                            </w:r>
                            <w:r>
                              <w:rPr/>
                              <w:t>; g P m</w:t>
                            </w:r>
                            <w:r>
                              <w:rPr>
                                <w:vertAlign w:val="superscript"/>
                              </w:rPr>
                              <w:t>-2</w:t>
                            </w:r>
                            <w:r>
                              <w:rPr/>
                              <w:t xml:space="preserve"> y</w:t>
                            </w:r>
                            <w:r>
                              <w:rPr>
                                <w:vertAlign w:val="superscript"/>
                              </w:rPr>
                              <w:t>-1</w:t>
                            </w:r>
                            <w:r>
                              <w:rPr/>
                              <w:t>) vs average water column TP concentration (TP</w:t>
                            </w:r>
                            <w:r>
                              <w:rPr>
                                <w:vertAlign w:val="subscript"/>
                              </w:rPr>
                              <w:t>W</w:t>
                            </w:r>
                            <w:r>
                              <w:rPr/>
                              <w:t>; g P m</w:t>
                            </w:r>
                            <w:r>
                              <w:rPr>
                                <w:vertAlign w:val="superscript"/>
                              </w:rPr>
                              <w:t>-3</w:t>
                            </w:r>
                            <w:r>
                              <w:rPr/>
                              <w:t>) resulting from the Q</w:t>
                            </w:r>
                            <w:r>
                              <w:rPr>
                                <w:vertAlign w:val="subscript"/>
                              </w:rPr>
                              <w:t>0</w:t>
                            </w:r>
                            <w:r>
                              <w:rPr/>
                              <w:t xml:space="preserve"> series to alter TP loading to the model flow-way.  (A) -0.25X.  (B) -0.50X.  (C) Base model.  (D) +1.5X.  (E) +2.0X. (F) Q</w:t>
                            </w:r>
                            <w:r>
                              <w:rPr>
                                <w:vertAlign w:val="subscript"/>
                              </w:rPr>
                              <w:t>TP</w:t>
                            </w:r>
                            <w:r>
                              <w:rPr/>
                              <w:t xml:space="preserve"> vs TP</w:t>
                            </w:r>
                            <w:r>
                              <w:rPr>
                                <w:vertAlign w:val="subscript"/>
                              </w:rPr>
                              <w:t>W</w:t>
                            </w:r>
                            <w:r>
                              <w:rPr/>
                              <w:t xml:space="preserve"> averages over all water years for each Q</w:t>
                            </w:r>
                            <w:r>
                              <w:rPr>
                                <w:vertAlign w:val="subscript"/>
                              </w:rPr>
                              <w:t>0</w:t>
                            </w:r>
                            <w:r>
                              <w:rPr/>
                              <w:t xml:space="preserve"> simulation.</w:t>
                            </w:r>
                            <w:bookmarkEnd w:id="105"/>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8.4pt;margin-top:3.65pt;width:467.95pt;height:449.35pt;mso-wrap-style:square;v-text-anchor:top;mso-position-horizontal-relative:margin" wp14:anchorId="42261E88">
                <v:fill o:detectmouseclick="t" type="solid" color2="black"/>
                <v:stroke color="black" weight="9360" joinstyle="miter" endcap="flat"/>
                <v:textbox>
                  <w:txbxContent>
                    <w:p>
                      <w:pPr>
                        <w:pStyle w:val="FrameContents"/>
                        <w:jc w:val="center"/>
                        <w:rPr/>
                      </w:pPr>
                      <w:r>
                        <w:rPr/>
                        <w:drawing>
                          <wp:inline distT="0" distB="0" distL="0" distR="0">
                            <wp:extent cx="5546090" cy="4691380"/>
                            <wp:effectExtent l="0" t="0" r="0" b="0"/>
                            <wp:docPr id="114"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23" descr=""/>
                                    <pic:cNvPicPr>
                                      <a:picLocks noChangeAspect="1" noChangeArrowheads="1"/>
                                    </pic:cNvPicPr>
                                  </pic:nvPicPr>
                                  <pic:blipFill>
                                    <a:blip r:embed="rId117"/>
                                    <a:stretch>
                                      <a:fillRect/>
                                    </a:stretch>
                                  </pic:blipFill>
                                  <pic:spPr bwMode="auto">
                                    <a:xfrm>
                                      <a:off x="0" y="0"/>
                                      <a:ext cx="5546090" cy="4691380"/>
                                    </a:xfrm>
                                    <a:prstGeom prst="rect">
                                      <a:avLst/>
                                    </a:prstGeom>
                                  </pic:spPr>
                                </pic:pic>
                              </a:graphicData>
                            </a:graphic>
                          </wp:inline>
                        </w:drawing>
                      </w:r>
                    </w:p>
                    <w:p>
                      <w:pPr>
                        <w:pStyle w:val="Caption"/>
                        <w:widowControl/>
                        <w:bidi w:val="0"/>
                        <w:spacing w:lineRule="auto" w:line="276" w:before="0" w:after="60"/>
                        <w:jc w:val="center"/>
                        <w:rPr/>
                      </w:pPr>
                      <w:bookmarkStart w:id="106" w:name="_Toc181802663"/>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23</w:t>
                      </w:r>
                      <w:r>
                        <w:rPr/>
                        <w:fldChar w:fldCharType="end"/>
                      </w:r>
                      <w:r>
                        <w:rPr/>
                        <w:t>.  Scatter plots of annual TP loading (Q</w:t>
                      </w:r>
                      <w:r>
                        <w:rPr>
                          <w:vertAlign w:val="subscript"/>
                        </w:rPr>
                        <w:t>TP</w:t>
                      </w:r>
                      <w:r>
                        <w:rPr/>
                        <w:t>; g P m</w:t>
                      </w:r>
                      <w:r>
                        <w:rPr>
                          <w:vertAlign w:val="superscript"/>
                        </w:rPr>
                        <w:t>-2</w:t>
                      </w:r>
                      <w:r>
                        <w:rPr/>
                        <w:t xml:space="preserve"> y</w:t>
                      </w:r>
                      <w:r>
                        <w:rPr>
                          <w:vertAlign w:val="superscript"/>
                        </w:rPr>
                        <w:t>-1</w:t>
                      </w:r>
                      <w:r>
                        <w:rPr/>
                        <w:t>) vs average water column TP concentration (TP</w:t>
                      </w:r>
                      <w:r>
                        <w:rPr>
                          <w:vertAlign w:val="subscript"/>
                        </w:rPr>
                        <w:t>W</w:t>
                      </w:r>
                      <w:r>
                        <w:rPr/>
                        <w:t>; g P m</w:t>
                      </w:r>
                      <w:r>
                        <w:rPr>
                          <w:vertAlign w:val="superscript"/>
                        </w:rPr>
                        <w:t>-3</w:t>
                      </w:r>
                      <w:r>
                        <w:rPr/>
                        <w:t>) resulting from the Q</w:t>
                      </w:r>
                      <w:r>
                        <w:rPr>
                          <w:vertAlign w:val="subscript"/>
                        </w:rPr>
                        <w:t>0</w:t>
                      </w:r>
                      <w:r>
                        <w:rPr/>
                        <w:t xml:space="preserve"> series to alter TP loading to the model flow-way.  (A) -0.25X.  (B) -0.50X.  (C) Base model.  (D) +1.5X.  (E) +2.0X. (F) Q</w:t>
                      </w:r>
                      <w:r>
                        <w:rPr>
                          <w:vertAlign w:val="subscript"/>
                        </w:rPr>
                        <w:t>TP</w:t>
                      </w:r>
                      <w:r>
                        <w:rPr/>
                        <w:t xml:space="preserve"> vs TP</w:t>
                      </w:r>
                      <w:r>
                        <w:rPr>
                          <w:vertAlign w:val="subscript"/>
                        </w:rPr>
                        <w:t>W</w:t>
                      </w:r>
                      <w:r>
                        <w:rPr/>
                        <w:t xml:space="preserve"> averages over all water years for each Q</w:t>
                      </w:r>
                      <w:r>
                        <w:rPr>
                          <w:vertAlign w:val="subscript"/>
                        </w:rPr>
                        <w:t>0</w:t>
                      </w:r>
                      <w:r>
                        <w:rPr/>
                        <w:t xml:space="preserve"> simulation.</w:t>
                      </w:r>
                      <w:bookmarkEnd w:id="106"/>
                    </w:p>
                  </w:txbxContent>
                </v:textbox>
                <w10:wrap type="square"/>
              </v:rect>
            </w:pict>
          </mc:Fallback>
        </mc:AlternateContent>
      </w:r>
    </w:p>
    <w:p>
      <w:pPr>
        <w:pStyle w:val="Caption"/>
        <w:spacing w:lineRule="auto" w:line="240"/>
        <w:rPr>
          <w:color w:themeColor="text1" w:val="000000"/>
        </w:rPr>
      </w:pPr>
      <w:bookmarkStart w:id="107" w:name="_Hlk170412150"/>
      <w:r>
        <w:rPr>
          <w:color w:themeColor="text1" w:val="000000"/>
        </w:rPr>
        <w:t xml:space="preserve">Figure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t>22. Results from TP load simulation series.  (A) Average annual TP loading Q</w:t>
      </w:r>
      <w:r>
        <w:rPr>
          <w:color w:themeColor="text1" w:val="000000"/>
          <w:vertAlign w:val="subscript"/>
        </w:rPr>
        <w:t>TP</w:t>
      </w:r>
      <w:r>
        <w:rPr>
          <w:color w:themeColor="text1" w:val="000000"/>
        </w:rPr>
        <w:t xml:space="preserve"> (gP m</w:t>
      </w:r>
      <w:r>
        <w:rPr>
          <w:color w:themeColor="text1" w:val="000000"/>
          <w:vertAlign w:val="superscript"/>
        </w:rPr>
        <w:t>-2</w:t>
      </w:r>
      <w:r>
        <w:rPr>
          <w:color w:themeColor="text1" w:val="000000"/>
        </w:rPr>
        <w:t xml:space="preserve"> d</w:t>
      </w:r>
      <w:r>
        <w:rPr>
          <w:color w:themeColor="text1" w:val="000000"/>
          <w:vertAlign w:val="superscript"/>
        </w:rPr>
        <w:t>-1</w:t>
      </w:r>
      <w:r>
        <w:rPr>
          <w:color w:themeColor="text1" w:val="000000"/>
        </w:rPr>
        <w:t>) from the Q</w:t>
      </w:r>
      <w:r>
        <w:rPr>
          <w:color w:themeColor="text1" w:val="000000"/>
          <w:vertAlign w:val="subscript"/>
        </w:rPr>
        <w:t>0</w:t>
      </w:r>
      <w:r>
        <w:rPr>
          <w:color w:themeColor="text1" w:val="000000"/>
        </w:rPr>
        <w:t xml:space="preserve"> (open bars) and [TP]</w:t>
      </w:r>
      <w:r>
        <w:rPr>
          <w:color w:themeColor="text1" w:val="000000"/>
          <w:vertAlign w:val="subscript"/>
        </w:rPr>
        <w:t>IN</w:t>
      </w:r>
      <w:r>
        <w:rPr>
          <w:color w:themeColor="text1" w:val="000000"/>
        </w:rPr>
        <w:t xml:space="preserve"> (grey bars) for the Q</w:t>
      </w:r>
      <w:r>
        <w:rPr>
          <w:color w:themeColor="text1" w:val="000000"/>
          <w:vertAlign w:val="subscript"/>
        </w:rPr>
        <w:t xml:space="preserve">0 </w:t>
      </w:r>
      <w:r>
        <w:rPr>
          <w:color w:themeColor="text1" w:val="000000"/>
        </w:rPr>
        <w:t>series.  (B) Water column TP concentration TP</w:t>
      </w:r>
      <w:r>
        <w:rPr>
          <w:color w:themeColor="text1" w:val="000000"/>
          <w:vertAlign w:val="subscript"/>
        </w:rPr>
        <w:t>W</w:t>
      </w:r>
      <w:r>
        <w:rPr>
          <w:color w:themeColor="text1" w:val="000000"/>
        </w:rPr>
        <w:t>(g P m</w:t>
      </w:r>
      <w:r>
        <w:rPr>
          <w:color w:themeColor="text1" w:val="000000"/>
          <w:vertAlign w:val="superscript"/>
        </w:rPr>
        <w:t>-3</w:t>
      </w:r>
      <w:r>
        <w:rPr>
          <w:color w:themeColor="text1" w:val="000000"/>
        </w:rPr>
        <w:t>) for the Q</w:t>
      </w:r>
      <w:r>
        <w:rPr>
          <w:color w:themeColor="text1" w:val="000000"/>
          <w:vertAlign w:val="subscript"/>
        </w:rPr>
        <w:t>0</w:t>
      </w:r>
      <w:r>
        <w:rPr>
          <w:color w:themeColor="text1" w:val="000000"/>
        </w:rPr>
        <w:t xml:space="preserve"> (open bars) and [TP]</w:t>
      </w:r>
      <w:r>
        <w:rPr>
          <w:color w:themeColor="text1" w:val="000000"/>
          <w:vertAlign w:val="subscript"/>
        </w:rPr>
        <w:t>IN</w:t>
      </w:r>
      <w:r>
        <w:rPr>
          <w:color w:themeColor="text1" w:val="000000"/>
        </w:rPr>
        <w:t xml:space="preserve"> (grey bars)from the [TP</w:t>
      </w:r>
      <w:r>
        <w:rPr>
          <w:color w:themeColor="text1" w:val="000000"/>
          <w:vertAlign w:val="subscript"/>
        </w:rPr>
        <w:t>}IN</w:t>
      </w:r>
      <w:r>
        <w:rPr>
          <w:color w:themeColor="text1" w:val="000000"/>
        </w:rPr>
        <w:t xml:space="preserve"> </w:t>
      </w:r>
      <w:r>
        <w:rPr>
          <w:color w:themeColor="text1" w:val="000000"/>
          <w:vertAlign w:val="subscript"/>
        </w:rPr>
        <w:t xml:space="preserve"> </w:t>
      </w:r>
      <w:r>
        <w:rPr>
          <w:color w:themeColor="text1" w:val="000000"/>
        </w:rPr>
        <w:t xml:space="preserve">series.  </w:t>
      </w:r>
      <w:bookmarkEnd w:id="107"/>
    </w:p>
    <w:p>
      <w:pPr>
        <w:pStyle w:val="Caption"/>
        <w:spacing w:lineRule="auto" w:line="240"/>
        <w:rPr>
          <w:color w:themeColor="text1" w:val="000000"/>
        </w:rPr>
      </w:pPr>
      <w:r>
        <w:rPr/>
        <w:drawing>
          <wp:inline distT="0" distB="0" distL="0" distR="0">
            <wp:extent cx="5258435" cy="7315200"/>
            <wp:effectExtent l="0" t="0" r="0" b="0"/>
            <wp:docPr id="112"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4" descr=""/>
                    <pic:cNvPicPr>
                      <a:picLocks noChangeAspect="1" noChangeArrowheads="1"/>
                    </pic:cNvPicPr>
                  </pic:nvPicPr>
                  <pic:blipFill>
                    <a:blip r:embed="rId118"/>
                    <a:stretch>
                      <a:fillRect/>
                    </a:stretch>
                  </pic:blipFill>
                  <pic:spPr bwMode="auto">
                    <a:xfrm>
                      <a:off x="0" y="0"/>
                      <a:ext cx="5258435" cy="7315200"/>
                    </a:xfrm>
                    <a:prstGeom prst="rect">
                      <a:avLst/>
                    </a:prstGeom>
                  </pic:spPr>
                </pic:pic>
              </a:graphicData>
            </a:graphic>
          </wp:inline>
        </w:drawing>
      </w:r>
      <w:r>
        <w:br w:type="page"/>
      </w:r>
    </w:p>
    <w:p>
      <w:pPr>
        <w:pStyle w:val="Normal"/>
        <w:spacing w:before="0" w:after="120"/>
        <w:rPr>
          <w:color w:themeColor="text1" w:val="000000"/>
        </w:rPr>
      </w:pPr>
      <w:r>
        <w:rPr>
          <w:color w:themeColor="text1" w:val="000000"/>
        </w:rPr>
      </w:r>
    </w:p>
    <w:p>
      <w:pPr>
        <w:pStyle w:val="Normal"/>
        <w:rPr>
          <w:color w:themeColor="text1" w:val="000000"/>
        </w:rPr>
      </w:pPr>
      <w:r>
        <mc:AlternateContent>
          <mc:Choice Requires="wps">
            <w:drawing>
              <wp:anchor behindDoc="0" distT="40640" distB="67310" distL="0" distR="128270" simplePos="0" locked="0" layoutInCell="0" allowOverlap="1" relativeHeight="86" wp14:anchorId="129EBFE6">
                <wp:simplePos x="0" y="0"/>
                <wp:positionH relativeFrom="margin">
                  <wp:align>left</wp:align>
                </wp:positionH>
                <wp:positionV relativeFrom="paragraph">
                  <wp:posOffset>30480</wp:posOffset>
                </wp:positionV>
                <wp:extent cx="5943600" cy="5707380"/>
                <wp:effectExtent l="0" t="5080" r="5080" b="5080"/>
                <wp:wrapSquare wrapText="bothSides"/>
                <wp:docPr id="113" name="Text Box 2"/>
                <a:graphic xmlns:a="http://schemas.openxmlformats.org/drawingml/2006/main">
                  <a:graphicData uri="http://schemas.microsoft.com/office/word/2010/wordprocessingShape">
                    <wps:wsp>
                      <wps:cNvSpPr/>
                      <wps:spPr>
                        <a:xfrm>
                          <a:off x="0" y="0"/>
                          <a:ext cx="5943600" cy="5707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661660" cy="4528185"/>
                                  <wp:effectExtent l="0" t="0" r="0" b="0"/>
                                  <wp:docPr id="11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25" descr=""/>
                                          <pic:cNvPicPr>
                                            <a:picLocks noChangeAspect="1" noChangeArrowheads="1"/>
                                          </pic:cNvPicPr>
                                        </pic:nvPicPr>
                                        <pic:blipFill>
                                          <a:blip r:embed="rId119"/>
                                          <a:stretch>
                                            <a:fillRect/>
                                          </a:stretch>
                                        </pic:blipFill>
                                        <pic:spPr bwMode="auto">
                                          <a:xfrm>
                                            <a:off x="0" y="0"/>
                                            <a:ext cx="5661660" cy="4528185"/>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23.  Daily total phosphorus loads (Q</w:t>
                            </w:r>
                            <w:r>
                              <w:rPr>
                                <w:vertAlign w:val="subscript"/>
                              </w:rPr>
                              <w:t>TP</w:t>
                            </w:r>
                            <w:r>
                              <w:rPr/>
                              <w:t>; g P m</w:t>
                            </w:r>
                            <w:r>
                              <w:rPr>
                                <w:vertAlign w:val="superscript"/>
                              </w:rPr>
                              <w:t>-2</w:t>
                            </w:r>
                            <w:r>
                              <w:rPr/>
                              <w:t xml:space="preserve"> d</w:t>
                            </w:r>
                            <w:r>
                              <w:rPr>
                                <w:vertAlign w:val="superscript"/>
                              </w:rPr>
                              <w:t>-1</w:t>
                            </w:r>
                            <w:r>
                              <w:rPr/>
                              <w:t>; black; left axis) and water column TP (TP</w:t>
                            </w:r>
                            <w:r>
                              <w:rPr>
                                <w:vertAlign w:val="subscript"/>
                              </w:rPr>
                              <w:t>W</w:t>
                            </w:r>
                            <w:r>
                              <w:rPr/>
                              <w:t>; g P m</w:t>
                            </w:r>
                            <w:r>
                              <w:rPr>
                                <w:vertAlign w:val="superscript"/>
                              </w:rPr>
                              <w:t>-3</w:t>
                            </w:r>
                            <w:r>
                              <w:rPr/>
                              <w:t>; red; right axis) from the series to test the effects of variable inflow (Q</w:t>
                            </w:r>
                            <w:r>
                              <w:rPr>
                                <w:vertAlign w:val="subscript"/>
                              </w:rPr>
                              <w:t>0</w:t>
                            </w:r>
                            <w:r>
                              <w:rPr/>
                              <w:t>) on the Biogeochemical Model of STA2 FW1.  (A) -0.25X base model Q</w:t>
                            </w:r>
                            <w:r>
                              <w:rPr>
                                <w:vertAlign w:val="subscript"/>
                              </w:rPr>
                              <w:t>0</w:t>
                            </w:r>
                            <w:r>
                              <w:rPr/>
                              <w:t>.  (B) -0.50X base model Q</w:t>
                            </w:r>
                            <w:r>
                              <w:rPr>
                                <w:vertAlign w:val="subscript"/>
                              </w:rPr>
                              <w:t>0</w:t>
                            </w:r>
                            <w:r>
                              <w:rPr/>
                              <w:t>.  (C) Base model Q</w:t>
                            </w:r>
                            <w:r>
                              <w:rPr>
                                <w:vertAlign w:val="subscript"/>
                              </w:rPr>
                              <w:t>0</w:t>
                            </w:r>
                            <w:r>
                              <w:rPr/>
                              <w:t>.  (D) +1.5X base model Q</w:t>
                            </w:r>
                            <w:r>
                              <w:rPr>
                                <w:vertAlign w:val="subscript"/>
                              </w:rPr>
                              <w:t>0</w:t>
                            </w:r>
                            <w:r>
                              <w:rPr/>
                              <w:t>.  (E) +2.0X base model Q</w:t>
                            </w:r>
                            <w:r>
                              <w:rPr>
                                <w:vertAlign w:val="subscript"/>
                              </w:rPr>
                              <w:t>0</w:t>
                            </w:r>
                            <w:r>
                              <w:rPr/>
                              <w:t>.  Note increase in y-axis range in D and E.</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2.4pt;width:467.95pt;height:449.35pt;mso-wrap-style:square;v-text-anchor:top;mso-position-horizontal:left;mso-position-horizontal-relative:margin" wp14:anchorId="129EBFE6">
                <v:fill o:detectmouseclick="t" type="solid" color2="black"/>
                <v:stroke color="black" weight="9360" joinstyle="miter" endcap="flat"/>
                <v:textbox>
                  <w:txbxContent>
                    <w:p>
                      <w:pPr>
                        <w:pStyle w:val="FrameContents"/>
                        <w:jc w:val="center"/>
                        <w:rPr/>
                      </w:pPr>
                      <w:r>
                        <w:rPr/>
                        <w:drawing>
                          <wp:inline distT="0" distB="0" distL="0" distR="0">
                            <wp:extent cx="5661660" cy="4528185"/>
                            <wp:effectExtent l="0" t="0" r="0" b="0"/>
                            <wp:docPr id="116"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25" descr=""/>
                                    <pic:cNvPicPr>
                                      <a:picLocks noChangeAspect="1" noChangeArrowheads="1"/>
                                    </pic:cNvPicPr>
                                  </pic:nvPicPr>
                                  <pic:blipFill>
                                    <a:blip r:embed="rId120"/>
                                    <a:stretch>
                                      <a:fillRect/>
                                    </a:stretch>
                                  </pic:blipFill>
                                  <pic:spPr bwMode="auto">
                                    <a:xfrm>
                                      <a:off x="0" y="0"/>
                                      <a:ext cx="5661660" cy="4528185"/>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23.  Daily total phosphorus loads (Q</w:t>
                      </w:r>
                      <w:r>
                        <w:rPr>
                          <w:vertAlign w:val="subscript"/>
                        </w:rPr>
                        <w:t>TP</w:t>
                      </w:r>
                      <w:r>
                        <w:rPr/>
                        <w:t>; g P m</w:t>
                      </w:r>
                      <w:r>
                        <w:rPr>
                          <w:vertAlign w:val="superscript"/>
                        </w:rPr>
                        <w:t>-2</w:t>
                      </w:r>
                      <w:r>
                        <w:rPr/>
                        <w:t xml:space="preserve"> d</w:t>
                      </w:r>
                      <w:r>
                        <w:rPr>
                          <w:vertAlign w:val="superscript"/>
                        </w:rPr>
                        <w:t>-1</w:t>
                      </w:r>
                      <w:r>
                        <w:rPr/>
                        <w:t>; black; left axis) and water column TP (TP</w:t>
                      </w:r>
                      <w:r>
                        <w:rPr>
                          <w:vertAlign w:val="subscript"/>
                        </w:rPr>
                        <w:t>W</w:t>
                      </w:r>
                      <w:r>
                        <w:rPr/>
                        <w:t>; g P m</w:t>
                      </w:r>
                      <w:r>
                        <w:rPr>
                          <w:vertAlign w:val="superscript"/>
                        </w:rPr>
                        <w:t>-3</w:t>
                      </w:r>
                      <w:r>
                        <w:rPr/>
                        <w:t>; red; right axis) from the series to test the effects of variable inflow (Q</w:t>
                      </w:r>
                      <w:r>
                        <w:rPr>
                          <w:vertAlign w:val="subscript"/>
                        </w:rPr>
                        <w:t>0</w:t>
                      </w:r>
                      <w:r>
                        <w:rPr/>
                        <w:t>) on the Biogeochemical Model of STA2 FW1.  (A) -0.25X base model Q</w:t>
                      </w:r>
                      <w:r>
                        <w:rPr>
                          <w:vertAlign w:val="subscript"/>
                        </w:rPr>
                        <w:t>0</w:t>
                      </w:r>
                      <w:r>
                        <w:rPr/>
                        <w:t>.  (B) -0.50X base model Q</w:t>
                      </w:r>
                      <w:r>
                        <w:rPr>
                          <w:vertAlign w:val="subscript"/>
                        </w:rPr>
                        <w:t>0</w:t>
                      </w:r>
                      <w:r>
                        <w:rPr/>
                        <w:t>.  (C) Base model Q</w:t>
                      </w:r>
                      <w:r>
                        <w:rPr>
                          <w:vertAlign w:val="subscript"/>
                        </w:rPr>
                        <w:t>0</w:t>
                      </w:r>
                      <w:r>
                        <w:rPr/>
                        <w:t>.  (D) +1.5X base model Q</w:t>
                      </w:r>
                      <w:r>
                        <w:rPr>
                          <w:vertAlign w:val="subscript"/>
                        </w:rPr>
                        <w:t>0</w:t>
                      </w:r>
                      <w:r>
                        <w:rPr/>
                        <w:t>.  (E) +2.0X base model Q</w:t>
                      </w:r>
                      <w:r>
                        <w:rPr>
                          <w:vertAlign w:val="subscript"/>
                        </w:rPr>
                        <w:t>0</w:t>
                      </w:r>
                      <w:r>
                        <w:rPr/>
                        <w:t>.  Note increase in y-axis range in D and E.</w:t>
                      </w:r>
                    </w:p>
                  </w:txbxContent>
                </v:textbox>
                <w10:wrap type="square"/>
              </v:rect>
            </w:pict>
          </mc:Fallback>
        </mc:AlternateContent>
      </w:r>
      <w:r>
        <w:rPr>
          <w:color w:themeColor="text1" w:val="000000"/>
        </w:rPr>
        <w:t>The effects of k</w:t>
      </w:r>
      <w:r>
        <w:rPr>
          <w:color w:themeColor="text1" w:val="000000"/>
          <w:vertAlign w:val="subscript"/>
        </w:rPr>
        <w:t>DOPSWX</w:t>
      </w:r>
      <w:r>
        <w:rPr>
          <w:color w:themeColor="text1" w:val="000000"/>
        </w:rPr>
        <w:t xml:space="preserve"> on [TP]</w:t>
      </w:r>
      <w:r>
        <w:rPr>
          <w:color w:themeColor="text1" w:val="000000"/>
          <w:vertAlign w:val="subscript"/>
        </w:rPr>
        <w:t>OUT</w:t>
      </w:r>
      <w:r>
        <w:rPr>
          <w:color w:themeColor="text1" w:val="000000"/>
        </w:rPr>
        <w:t xml:space="preserve"> were much greater than those of k</w:t>
      </w:r>
      <w:r>
        <w:rPr>
          <w:color w:themeColor="text1" w:val="000000"/>
          <w:vertAlign w:val="subscript"/>
        </w:rPr>
        <w:t>DIPSWX</w:t>
      </w:r>
      <w:r>
        <w:rPr>
          <w:color w:themeColor="text1" w:val="000000"/>
        </w:rPr>
        <w:t xml:space="preserve"> (Figure 2-25A and 2-25B). [TP]</w:t>
      </w:r>
      <w:r>
        <w:rPr>
          <w:color w:themeColor="text1" w:val="000000"/>
          <w:vertAlign w:val="subscript"/>
        </w:rPr>
        <w:t>OUT</w:t>
      </w:r>
      <w:r>
        <w:rPr>
          <w:color w:themeColor="text1" w:val="000000"/>
        </w:rPr>
        <w:t xml:space="preserve"> increased from 0.106 g P m</w:t>
      </w:r>
      <w:r>
        <w:rPr>
          <w:color w:themeColor="text1" w:val="000000"/>
          <w:vertAlign w:val="superscript"/>
        </w:rPr>
        <w:t>-3</w:t>
      </w:r>
      <w:r>
        <w:rPr>
          <w:color w:themeColor="text1" w:val="000000"/>
        </w:rPr>
        <w:t xml:space="preserve"> which was 19.8% less than the base value (0.106 g P m</w:t>
      </w:r>
      <w:r>
        <w:rPr>
          <w:color w:themeColor="text1" w:val="000000"/>
          <w:vertAlign w:val="superscript"/>
        </w:rPr>
        <w:t>-3</w:t>
      </w:r>
      <w:r>
        <w:rPr>
          <w:color w:themeColor="text1" w:val="000000"/>
        </w:rPr>
        <w:t>) to a maximum of 0.304 g P m</w:t>
      </w:r>
      <w:r>
        <w:rPr>
          <w:color w:themeColor="text1" w:val="000000"/>
          <w:vertAlign w:val="superscript"/>
        </w:rPr>
        <w:t>-3</w:t>
      </w:r>
      <w:r>
        <w:rPr>
          <w:color w:themeColor="text1" w:val="000000"/>
        </w:rPr>
        <w:t xml:space="preserve"> (+185.7%) when k</w:t>
      </w:r>
      <w:r>
        <w:rPr>
          <w:color w:themeColor="text1" w:val="000000"/>
          <w:vertAlign w:val="subscript"/>
        </w:rPr>
        <w:t xml:space="preserve">DOPSWX </w:t>
      </w:r>
      <w:r>
        <w:rPr>
          <w:color w:themeColor="text1" w:val="000000"/>
        </w:rPr>
        <w:t>was 0.02 d</w:t>
      </w:r>
      <w:r>
        <w:rPr>
          <w:color w:themeColor="text1" w:val="000000"/>
          <w:vertAlign w:val="superscript"/>
        </w:rPr>
        <w:t>-1</w:t>
      </w:r>
      <w:r>
        <w:rPr>
          <w:color w:themeColor="text1" w:val="000000"/>
        </w:rPr>
        <w:t>. Similar to k</w:t>
      </w:r>
      <w:r>
        <w:rPr>
          <w:color w:themeColor="text1" w:val="000000"/>
          <w:vertAlign w:val="subscript"/>
        </w:rPr>
        <w:t>DIPSWX</w:t>
      </w:r>
      <w:r>
        <w:rPr>
          <w:color w:themeColor="text1" w:val="000000"/>
        </w:rPr>
        <w:t>, there were no discernable effects of a</w:t>
      </w:r>
      <w:r>
        <w:rPr>
          <w:color w:themeColor="text1" w:val="000000"/>
          <w:vertAlign w:val="subscript"/>
        </w:rPr>
        <w:t>PRC</w:t>
      </w:r>
      <w:r>
        <w:rPr>
          <w:color w:themeColor="text1" w:val="000000"/>
        </w:rPr>
        <w:t xml:space="preserve"> on the outflow TP concentrations (Figure 2-25C). It is important to emphasize that the base values for these three parameters were established using both soil and water column P concentrations across multiple calibrations in Task 8.4. There were differences in the [TP]</w:t>
      </w:r>
      <w:r>
        <w:rPr>
          <w:color w:themeColor="text1" w:val="000000"/>
          <w:vertAlign w:val="subscript"/>
        </w:rPr>
        <w:t>OUT</w:t>
      </w:r>
      <w:r>
        <w:rPr>
          <w:color w:themeColor="text1" w:val="000000"/>
        </w:rPr>
        <w:t xml:space="preserve"> concentrations resulting from the Q</w:t>
      </w:r>
      <w:r>
        <w:rPr>
          <w:color w:themeColor="text1" w:val="000000"/>
          <w:vertAlign w:val="subscript"/>
        </w:rPr>
        <w:t>0</w:t>
      </w:r>
      <w:r>
        <w:rPr>
          <w:color w:themeColor="text1" w:val="000000"/>
        </w:rPr>
        <w:t xml:space="preserve"> and [TP]</w:t>
      </w:r>
      <w:r>
        <w:rPr>
          <w:color w:themeColor="text1" w:val="000000"/>
          <w:vertAlign w:val="subscript"/>
        </w:rPr>
        <w:t>IN</w:t>
      </w:r>
      <w:r>
        <w:rPr>
          <w:color w:themeColor="text1" w:val="000000"/>
        </w:rPr>
        <w:t xml:space="preserve"> series (Figure 2-25D and 2-25E). [TP]</w:t>
      </w:r>
      <w:r>
        <w:rPr>
          <w:color w:themeColor="text1" w:val="000000"/>
          <w:vertAlign w:val="subscript"/>
        </w:rPr>
        <w:t>IN</w:t>
      </w:r>
      <w:r>
        <w:rPr>
          <w:color w:themeColor="text1" w:val="000000"/>
        </w:rPr>
        <w:t xml:space="preserve"> increased from 0.012 g P m</w:t>
      </w:r>
      <w:r>
        <w:rPr>
          <w:color w:themeColor="text1" w:val="000000"/>
          <w:vertAlign w:val="superscript"/>
        </w:rPr>
        <w:t>-3</w:t>
      </w:r>
      <w:r>
        <w:rPr>
          <w:color w:themeColor="text1" w:val="000000"/>
        </w:rPr>
        <w:t xml:space="preserve"> or 89.1% less than the base value (0.106 g P m</w:t>
      </w:r>
      <w:r>
        <w:rPr>
          <w:color w:themeColor="text1" w:val="000000"/>
          <w:vertAlign w:val="superscript"/>
        </w:rPr>
        <w:t>-3</w:t>
      </w:r>
      <w:r>
        <w:rPr>
          <w:color w:themeColor="text1" w:val="000000"/>
        </w:rPr>
        <w:t>) to a maximum of 0.314 g P m</w:t>
      </w:r>
      <w:r>
        <w:rPr>
          <w:color w:themeColor="text1" w:val="000000"/>
          <w:vertAlign w:val="superscript"/>
        </w:rPr>
        <w:t>-3</w:t>
      </w:r>
      <w:r>
        <w:rPr>
          <w:color w:themeColor="text1" w:val="000000"/>
        </w:rPr>
        <w:t xml:space="preserve"> when the inflow to the model flow-way was doubled. This increase was in contrast to the dilution of the internal TP (TP</w:t>
      </w:r>
      <w:r>
        <w:rPr>
          <w:color w:themeColor="text1" w:val="000000"/>
          <w:vertAlign w:val="subscript"/>
        </w:rPr>
        <w:t>W</w:t>
      </w:r>
      <w:r>
        <w:rPr>
          <w:color w:themeColor="text1" w:val="000000"/>
        </w:rPr>
        <w:t>) observed in the Q</w:t>
      </w:r>
      <w:r>
        <w:rPr>
          <w:color w:themeColor="text1" w:val="000000"/>
          <w:vertAlign w:val="subscript"/>
        </w:rPr>
        <w:t>0</w:t>
      </w:r>
      <w:r>
        <w:rPr>
          <w:color w:themeColor="text1" w:val="000000"/>
        </w:rPr>
        <w:t xml:space="preserve"> series (Figure 2-25D and 2-25E). </w:t>
      </w:r>
    </w:p>
    <w:p>
      <w:pPr>
        <w:pStyle w:val="Normal"/>
        <w:rPr>
          <w:color w:themeColor="text1" w:val="000000"/>
        </w:rPr>
      </w:pPr>
      <w:r>
        <w:rPr>
          <w:color w:themeColor="text1" w:val="000000"/>
        </w:rPr>
        <mc:AlternateContent>
          <mc:Choice Requires="wps">
            <w:drawing>
              <wp:anchor behindDoc="0" distT="40640" distB="67310" distL="0" distR="128270" simplePos="0" locked="0" layoutInCell="0" allowOverlap="1" relativeHeight="68" wp14:anchorId="4EFA31EA">
                <wp:simplePos x="0" y="0"/>
                <wp:positionH relativeFrom="margin">
                  <wp:align>left</wp:align>
                </wp:positionH>
                <wp:positionV relativeFrom="paragraph">
                  <wp:posOffset>91440</wp:posOffset>
                </wp:positionV>
                <wp:extent cx="5943600" cy="5897880"/>
                <wp:effectExtent l="0" t="5080" r="5080" b="5080"/>
                <wp:wrapSquare wrapText="bothSides"/>
                <wp:docPr id="114" name="Text Box 2"/>
                <a:graphic xmlns:a="http://schemas.openxmlformats.org/drawingml/2006/main">
                  <a:graphicData uri="http://schemas.microsoft.com/office/word/2010/wordprocessingShape">
                    <wps:wsp>
                      <wps:cNvSpPr/>
                      <wps:spPr>
                        <a:xfrm>
                          <a:off x="0" y="0"/>
                          <a:ext cx="5943600" cy="5897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669915" cy="4853940"/>
                                  <wp:effectExtent l="0" t="0" r="0" b="0"/>
                                  <wp:docPr id="11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26" descr=""/>
                                          <pic:cNvPicPr>
                                            <a:picLocks noChangeAspect="1" noChangeArrowheads="1"/>
                                          </pic:cNvPicPr>
                                        </pic:nvPicPr>
                                        <pic:blipFill>
                                          <a:blip r:embed="rId121"/>
                                          <a:stretch>
                                            <a:fillRect/>
                                          </a:stretch>
                                        </pic:blipFill>
                                        <pic:spPr bwMode="auto">
                                          <a:xfrm>
                                            <a:off x="0" y="0"/>
                                            <a:ext cx="5669915" cy="4853940"/>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24.  Scatter plots of annual TP loading (Q</w:t>
                            </w:r>
                            <w:r>
                              <w:rPr>
                                <w:vertAlign w:val="subscript"/>
                              </w:rPr>
                              <w:t>TP</w:t>
                            </w:r>
                            <w:r>
                              <w:rPr/>
                              <w:t>; g P m</w:t>
                            </w:r>
                            <w:r>
                              <w:rPr>
                                <w:vertAlign w:val="superscript"/>
                              </w:rPr>
                              <w:t>-2</w:t>
                            </w:r>
                            <w:r>
                              <w:rPr/>
                              <w:t xml:space="preserve"> y</w:t>
                            </w:r>
                            <w:r>
                              <w:rPr>
                                <w:vertAlign w:val="superscript"/>
                              </w:rPr>
                              <w:t>-1</w:t>
                            </w:r>
                            <w:r>
                              <w:rPr/>
                              <w:t>) vs average water column TP concentration (TP</w:t>
                            </w:r>
                            <w:r>
                              <w:rPr>
                                <w:vertAlign w:val="subscript"/>
                              </w:rPr>
                              <w:t>W</w:t>
                            </w:r>
                            <w:r>
                              <w:rPr/>
                              <w:t>; g P m</w:t>
                            </w:r>
                            <w:r>
                              <w:rPr>
                                <w:vertAlign w:val="superscript"/>
                              </w:rPr>
                              <w:t>-3</w:t>
                            </w:r>
                            <w:r>
                              <w:rPr/>
                              <w:t>) resulting from the Q</w:t>
                            </w:r>
                            <w:r>
                              <w:rPr>
                                <w:vertAlign w:val="subscript"/>
                              </w:rPr>
                              <w:t>0</w:t>
                            </w:r>
                            <w:r>
                              <w:rPr/>
                              <w:t xml:space="preserve"> series to alter TP loading to the model flow-way.  (A) -0.25X.  (B) -0.50X.  (C) Base model.  (D) +1.5X.  (E) +2.0X. (F) Q</w:t>
                            </w:r>
                            <w:r>
                              <w:rPr>
                                <w:vertAlign w:val="subscript"/>
                              </w:rPr>
                              <w:t>TP</w:t>
                            </w:r>
                            <w:r>
                              <w:rPr/>
                              <w:t xml:space="preserve"> vs TP</w:t>
                            </w:r>
                            <w:r>
                              <w:rPr>
                                <w:vertAlign w:val="subscript"/>
                              </w:rPr>
                              <w:t>W</w:t>
                            </w:r>
                            <w:r>
                              <w:rPr/>
                              <w:t xml:space="preserve"> averages over all water years for each Q</w:t>
                            </w:r>
                            <w:r>
                              <w:rPr>
                                <w:vertAlign w:val="subscript"/>
                              </w:rPr>
                              <w:t>0</w:t>
                            </w:r>
                            <w:r>
                              <w:rPr/>
                              <w:t xml:space="preserve"> simulation.</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7.2pt;width:467.95pt;height:464.35pt;mso-wrap-style:square;v-text-anchor:top;mso-position-horizontal:left;mso-position-horizontal-relative:margin" wp14:anchorId="4EFA31EA">
                <v:fill o:detectmouseclick="t" type="solid" color2="black"/>
                <v:stroke color="black" weight="9360" joinstyle="miter" endcap="flat"/>
                <v:textbox>
                  <w:txbxContent>
                    <w:p>
                      <w:pPr>
                        <w:pStyle w:val="FrameContents"/>
                        <w:jc w:val="center"/>
                        <w:rPr/>
                      </w:pPr>
                      <w:r>
                        <w:rPr/>
                        <w:drawing>
                          <wp:inline distT="0" distB="0" distL="0" distR="0">
                            <wp:extent cx="5669915" cy="4853940"/>
                            <wp:effectExtent l="0" t="0" r="0" b="0"/>
                            <wp:docPr id="117"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26" descr=""/>
                                    <pic:cNvPicPr>
                                      <a:picLocks noChangeAspect="1" noChangeArrowheads="1"/>
                                    </pic:cNvPicPr>
                                  </pic:nvPicPr>
                                  <pic:blipFill>
                                    <a:blip r:embed="rId122"/>
                                    <a:stretch>
                                      <a:fillRect/>
                                    </a:stretch>
                                  </pic:blipFill>
                                  <pic:spPr bwMode="auto">
                                    <a:xfrm>
                                      <a:off x="0" y="0"/>
                                      <a:ext cx="5669915" cy="4853940"/>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24.  Scatter plots of annual TP loading (Q</w:t>
                      </w:r>
                      <w:r>
                        <w:rPr>
                          <w:vertAlign w:val="subscript"/>
                        </w:rPr>
                        <w:t>TP</w:t>
                      </w:r>
                      <w:r>
                        <w:rPr/>
                        <w:t>; g P m</w:t>
                      </w:r>
                      <w:r>
                        <w:rPr>
                          <w:vertAlign w:val="superscript"/>
                        </w:rPr>
                        <w:t>-2</w:t>
                      </w:r>
                      <w:r>
                        <w:rPr/>
                        <w:t xml:space="preserve"> y</w:t>
                      </w:r>
                      <w:r>
                        <w:rPr>
                          <w:vertAlign w:val="superscript"/>
                        </w:rPr>
                        <w:t>-1</w:t>
                      </w:r>
                      <w:r>
                        <w:rPr/>
                        <w:t>) vs average water column TP concentration (TP</w:t>
                      </w:r>
                      <w:r>
                        <w:rPr>
                          <w:vertAlign w:val="subscript"/>
                        </w:rPr>
                        <w:t>W</w:t>
                      </w:r>
                      <w:r>
                        <w:rPr/>
                        <w:t>; g P m</w:t>
                      </w:r>
                      <w:r>
                        <w:rPr>
                          <w:vertAlign w:val="superscript"/>
                        </w:rPr>
                        <w:t>-3</w:t>
                      </w:r>
                      <w:r>
                        <w:rPr/>
                        <w:t>) resulting from the Q</w:t>
                      </w:r>
                      <w:r>
                        <w:rPr>
                          <w:vertAlign w:val="subscript"/>
                        </w:rPr>
                        <w:t>0</w:t>
                      </w:r>
                      <w:r>
                        <w:rPr/>
                        <w:t xml:space="preserve"> series to alter TP loading to the model flow-way.  (A) -0.25X.  (B) -0.50X.  (C) Base model.  (D) +1.5X.  (E) +2.0X. (F) Q</w:t>
                      </w:r>
                      <w:r>
                        <w:rPr>
                          <w:vertAlign w:val="subscript"/>
                        </w:rPr>
                        <w:t>TP</w:t>
                      </w:r>
                      <w:r>
                        <w:rPr/>
                        <w:t xml:space="preserve"> vs TP</w:t>
                      </w:r>
                      <w:r>
                        <w:rPr>
                          <w:vertAlign w:val="subscript"/>
                        </w:rPr>
                        <w:t>W</w:t>
                      </w:r>
                      <w:r>
                        <w:rPr/>
                        <w:t xml:space="preserve"> averages over all water years for each Q</w:t>
                      </w:r>
                      <w:r>
                        <w:rPr>
                          <w:vertAlign w:val="subscript"/>
                        </w:rPr>
                        <w:t>0</w:t>
                      </w:r>
                      <w:r>
                        <w:rPr/>
                        <w:t xml:space="preserve"> simulation.</w:t>
                      </w:r>
                    </w:p>
                  </w:txbxContent>
                </v:textbox>
                <w10:wrap type="square"/>
              </v:rect>
            </w:pict>
          </mc:Fallback>
        </mc:AlternateConten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Caption"/>
        <w:spacing w:lineRule="auto" w:line="240"/>
        <w:rPr>
          <w:color w:themeColor="text1" w:val="000000"/>
        </w:rPr>
      </w:pPr>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t>17. Results of sensitivity analysis to test effects of changes parameters and total phosphorus loading (Q</w:t>
      </w:r>
      <w:r>
        <w:rPr>
          <w:color w:themeColor="text1" w:val="000000"/>
          <w:vertAlign w:val="subscript"/>
        </w:rPr>
        <w:t>TPIN</w:t>
      </w:r>
      <w:r>
        <w:rPr>
          <w:color w:themeColor="text1" w:val="000000"/>
        </w:rPr>
        <w:t>) on the TP concentration in the model outflow [TP]</w:t>
      </w:r>
      <w:r>
        <w:rPr>
          <w:color w:themeColor="text1" w:val="000000"/>
          <w:vertAlign w:val="subscript"/>
        </w:rPr>
        <w:t>OUT</w:t>
      </w:r>
      <w:r>
        <w:rPr>
          <w:color w:themeColor="text1" w:val="000000"/>
        </w:rPr>
        <w:t>. Included are the average [TP]</w:t>
      </w:r>
      <w:r>
        <w:rPr>
          <w:color w:themeColor="text1" w:val="000000"/>
          <w:vertAlign w:val="subscript"/>
        </w:rPr>
        <w:t>OUT</w:t>
      </w:r>
      <w:r>
        <w:rPr>
          <w:color w:themeColor="text1" w:val="000000"/>
        </w:rPr>
        <w:t xml:space="preserve"> concentration from each test and the percent difference relative to the base value (shown in red). Test series included effects of a</w:t>
      </w:r>
      <w:r>
        <w:rPr>
          <w:color w:themeColor="text1" w:val="000000"/>
          <w:vertAlign w:val="subscript"/>
        </w:rPr>
        <w:t>PRC</w:t>
      </w:r>
      <w:r>
        <w:rPr>
          <w:color w:themeColor="text1" w:val="000000"/>
        </w:rPr>
        <w:t>, k</w:t>
      </w:r>
      <w:r>
        <w:rPr>
          <w:color w:themeColor="text1" w:val="000000"/>
          <w:vertAlign w:val="subscript"/>
        </w:rPr>
        <w:t>DIPSWX</w:t>
      </w:r>
      <w:r>
        <w:rPr>
          <w:color w:themeColor="text1" w:val="000000"/>
        </w:rPr>
        <w:t>, k</w:t>
      </w:r>
      <w:r>
        <w:rPr>
          <w:color w:themeColor="text1" w:val="000000"/>
          <w:vertAlign w:val="subscript"/>
        </w:rPr>
        <w:t>DOPSWX</w:t>
      </w:r>
      <w:r>
        <w:rPr>
          <w:color w:themeColor="text1" w:val="000000"/>
        </w:rPr>
        <w:t>, Q</w:t>
      </w:r>
      <w:r>
        <w:rPr>
          <w:color w:themeColor="text1" w:val="000000"/>
          <w:vertAlign w:val="subscript"/>
        </w:rPr>
        <w:t>0</w:t>
      </w:r>
      <w:r>
        <w:rPr>
          <w:color w:themeColor="text1" w:val="000000"/>
        </w:rPr>
        <w:t>, and [TP]</w:t>
      </w:r>
      <w:r>
        <w:rPr>
          <w:color w:themeColor="text1" w:val="000000"/>
          <w:vertAlign w:val="subscript"/>
        </w:rPr>
        <w:t>IN</w:t>
      </w:r>
    </w:p>
    <w:tbl>
      <w:tblPr>
        <w:tblW w:w="5395" w:type="dxa"/>
        <w:jc w:val="center"/>
        <w:tblInd w:w="0" w:type="dxa"/>
        <w:tblLayout w:type="fixed"/>
        <w:tblCellMar>
          <w:top w:w="20" w:type="dxa"/>
          <w:left w:w="20" w:type="dxa"/>
          <w:bottom w:w="72" w:type="dxa"/>
          <w:right w:w="20" w:type="dxa"/>
        </w:tblCellMar>
        <w:tblLook w:val="04a0" w:noHBand="0" w:noVBand="1" w:firstColumn="1" w:lastRow="0" w:lastColumn="0" w:firstRow="1"/>
      </w:tblPr>
      <w:tblGrid>
        <w:gridCol w:w="693"/>
        <w:gridCol w:w="1468"/>
        <w:gridCol w:w="717"/>
        <w:gridCol w:w="594"/>
        <w:gridCol w:w="1380"/>
        <w:gridCol w:w="543"/>
      </w:tblGrid>
      <w:tr>
        <w:trPr>
          <w:trHeight w:val="302"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olor w:themeColor="text1" w:val="000000"/>
                <w:sz w:val="20"/>
              </w:rPr>
            </w:pPr>
            <w:r>
              <w:rPr>
                <w:rFonts w:ascii="Times New Roman" w:hAnsi="Times New Roman"/>
                <w:color w:themeColor="text1" w:val="000000"/>
                <w:sz w:val="20"/>
              </w:rPr>
            </w:r>
          </w:p>
        </w:tc>
        <w:tc>
          <w:tcPr>
            <w:tcW w:w="1468" w:type="dxa"/>
            <w:tcBorders>
              <w:top w:val="single" w:sz="4" w:space="0" w:color="000000"/>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a</w:t>
            </w:r>
            <w:r>
              <w:rPr>
                <w:rFonts w:cs="Calibri" w:ascii="Calibri" w:hAnsi="Calibri"/>
                <w:b/>
                <w:bCs/>
                <w:color w:themeColor="text1" w:val="000000"/>
                <w:kern w:val="2"/>
                <w:position w:val="-6"/>
                <w:sz w:val="20"/>
              </w:rPr>
              <w:t>PRC</w:t>
            </w:r>
          </w:p>
        </w:tc>
        <w:tc>
          <w:tcPr>
            <w:tcW w:w="717" w:type="dxa"/>
            <w:tcBorders>
              <w:top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Arial" w:ascii="Arial" w:hAnsi="Arial"/>
                <w:color w:themeColor="text1" w:val="000000"/>
                <w:sz w:val="20"/>
              </w:rPr>
            </w:r>
          </w:p>
        </w:tc>
        <w:tc>
          <w:tcPr>
            <w:tcW w:w="1974" w:type="dxa"/>
            <w:gridSpan w:val="2"/>
            <w:tcBorders>
              <w:top w:val="single" w:sz="4" w:space="0" w:color="000000"/>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TP</w:t>
            </w:r>
            <w:r>
              <w:rPr>
                <w:rFonts w:cs="Calibri" w:ascii="Calibri" w:hAnsi="Calibri"/>
                <w:b/>
                <w:bCs/>
                <w:color w:themeColor="text1" w:val="000000"/>
                <w:kern w:val="2"/>
                <w:position w:val="-6"/>
                <w:sz w:val="20"/>
              </w:rPr>
              <w:t>COUT</w:t>
            </w:r>
          </w:p>
        </w:tc>
        <w:tc>
          <w:tcPr>
            <w:tcW w:w="543" w:type="dxa"/>
            <w:tcBorders>
              <w:top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Arial" w:ascii="Arial" w:hAnsi="Arial"/>
                <w:color w:themeColor="text1" w:val="000000"/>
                <w:sz w:val="20"/>
              </w:rPr>
            </w:r>
          </w:p>
        </w:tc>
      </w:tr>
      <w:tr>
        <w:trPr>
          <w:trHeight w:val="259"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TEST</w:t>
            </w:r>
          </w:p>
        </w:tc>
        <w:tc>
          <w:tcPr>
            <w:tcW w:w="1468" w:type="dxa"/>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VALUE</w:t>
            </w:r>
          </w:p>
        </w:tc>
        <w:tc>
          <w:tcPr>
            <w:tcW w:w="717"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%DIF</w:t>
            </w:r>
          </w:p>
        </w:tc>
        <w:tc>
          <w:tcPr>
            <w:tcW w:w="1974" w:type="dxa"/>
            <w:gridSpan w:val="2"/>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VALUE</w:t>
            </w:r>
          </w:p>
        </w:tc>
        <w:tc>
          <w:tcPr>
            <w:tcW w:w="54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%DIF</w:t>
            </w:r>
          </w:p>
        </w:tc>
      </w:tr>
      <w:tr>
        <w:trPr>
          <w:trHeight w:val="230"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1</w:t>
            </w:r>
          </w:p>
        </w:tc>
        <w:tc>
          <w:tcPr>
            <w:tcW w:w="1468" w:type="dxa"/>
            <w:tcBorders>
              <w:top w:val="single" w:sz="4" w:space="0" w:color="000000"/>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0.001</w:t>
            </w:r>
          </w:p>
        </w:tc>
        <w:tc>
          <w:tcPr>
            <w:tcW w:w="717" w:type="dxa"/>
            <w:tcBorders>
              <w:top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Arial" w:ascii="Arial" w:hAnsi="Arial"/>
                <w:color w:themeColor="text1" w:val="000000"/>
                <w:sz w:val="20"/>
              </w:rPr>
            </w:r>
          </w:p>
        </w:tc>
        <w:tc>
          <w:tcPr>
            <w:tcW w:w="1974" w:type="dxa"/>
            <w:gridSpan w:val="2"/>
            <w:tcBorders>
              <w:top w:val="single" w:sz="4" w:space="0" w:color="000000"/>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0.106</w:t>
            </w:r>
          </w:p>
        </w:tc>
        <w:tc>
          <w:tcPr>
            <w:tcW w:w="543" w:type="dxa"/>
            <w:tcBorders>
              <w:top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Arial" w:ascii="Arial" w:hAnsi="Arial"/>
                <w:color w:themeColor="text1" w:val="000000"/>
                <w:sz w:val="20"/>
              </w:rPr>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2</w:t>
            </w:r>
          </w:p>
        </w:tc>
        <w:tc>
          <w:tcPr>
            <w:tcW w:w="1468" w:type="dxa"/>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0.002</w:t>
            </w:r>
          </w:p>
        </w:tc>
        <w:tc>
          <w:tcPr>
            <w:tcW w:w="717"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100.0%</w:t>
            </w:r>
          </w:p>
        </w:tc>
        <w:tc>
          <w:tcPr>
            <w:tcW w:w="1974" w:type="dxa"/>
            <w:gridSpan w:val="2"/>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0.097</w:t>
            </w:r>
          </w:p>
        </w:tc>
        <w:tc>
          <w:tcPr>
            <w:tcW w:w="543"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-8.8%</w:t>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3</w:t>
            </w:r>
          </w:p>
        </w:tc>
        <w:tc>
          <w:tcPr>
            <w:tcW w:w="1468" w:type="dxa"/>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0.003</w:t>
            </w:r>
          </w:p>
        </w:tc>
        <w:tc>
          <w:tcPr>
            <w:tcW w:w="717"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200.0%</w:t>
            </w:r>
          </w:p>
        </w:tc>
        <w:tc>
          <w:tcPr>
            <w:tcW w:w="1974" w:type="dxa"/>
            <w:gridSpan w:val="2"/>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0.096</w:t>
            </w:r>
          </w:p>
        </w:tc>
        <w:tc>
          <w:tcPr>
            <w:tcW w:w="543"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-10.0%</w:t>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4</w:t>
            </w:r>
          </w:p>
        </w:tc>
        <w:tc>
          <w:tcPr>
            <w:tcW w:w="1468" w:type="dxa"/>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0.004</w:t>
            </w:r>
          </w:p>
        </w:tc>
        <w:tc>
          <w:tcPr>
            <w:tcW w:w="717"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300.0%</w:t>
            </w:r>
          </w:p>
        </w:tc>
        <w:tc>
          <w:tcPr>
            <w:tcW w:w="1974" w:type="dxa"/>
            <w:gridSpan w:val="2"/>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0.096</w:t>
            </w:r>
          </w:p>
        </w:tc>
        <w:tc>
          <w:tcPr>
            <w:tcW w:w="543"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-10.3%</w:t>
            </w:r>
          </w:p>
        </w:tc>
      </w:tr>
      <w:tr>
        <w:trPr>
          <w:trHeight w:val="230"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b/>
                <w:bCs/>
                <w:color w:themeColor="text1" w:val="000000"/>
                <w:kern w:val="2"/>
                <w:sz w:val="20"/>
              </w:rPr>
              <w:t>5</w:t>
            </w:r>
          </w:p>
        </w:tc>
        <w:tc>
          <w:tcPr>
            <w:tcW w:w="1468" w:type="dxa"/>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0.005</w:t>
            </w:r>
          </w:p>
        </w:tc>
        <w:tc>
          <w:tcPr>
            <w:tcW w:w="717"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400.0%</w:t>
            </w:r>
          </w:p>
        </w:tc>
        <w:tc>
          <w:tcPr>
            <w:tcW w:w="1974" w:type="dxa"/>
            <w:gridSpan w:val="2"/>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0.095</w:t>
            </w:r>
          </w:p>
        </w:tc>
        <w:tc>
          <w:tcPr>
            <w:tcW w:w="54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20"/>
              </w:rPr>
            </w:pPr>
            <w:r>
              <w:rPr>
                <w:rFonts w:cs="Calibri" w:ascii="Calibri" w:hAnsi="Calibri"/>
                <w:color w:themeColor="text1" w:val="000000"/>
                <w:kern w:val="2"/>
                <w:sz w:val="20"/>
              </w:rPr>
              <w:t>-10.4%</w:t>
            </w:r>
          </w:p>
        </w:tc>
      </w:tr>
      <w:tr>
        <w:trPr>
          <w:trHeight w:val="302"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color w:themeColor="text1" w:val="000000"/>
                <w:sz w:val="20"/>
                <w:szCs w:val="24"/>
              </w:rPr>
            </w:pPr>
            <w:r>
              <w:rPr>
                <w:rFonts w:ascii="Times New Roman" w:hAnsi="Times New Roman"/>
                <w:color w:themeColor="text1" w:val="000000"/>
                <w:sz w:val="20"/>
                <w:szCs w:val="24"/>
              </w:rPr>
            </w:r>
          </w:p>
        </w:tc>
        <w:tc>
          <w:tcPr>
            <w:tcW w:w="1468" w:type="dxa"/>
            <w:tcBorders>
              <w:top w:val="single" w:sz="4" w:space="0" w:color="000000"/>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b/>
                <w:bCs/>
                <w:color w:themeColor="text1" w:val="000000"/>
                <w:kern w:val="2"/>
                <w:sz w:val="20"/>
              </w:rPr>
              <w:t>k</w:t>
            </w:r>
            <w:r>
              <w:rPr>
                <w:rFonts w:cs="Calibri" w:ascii="Calibri" w:hAnsi="Calibri"/>
                <w:b/>
                <w:bCs/>
                <w:color w:themeColor="text1" w:val="000000"/>
                <w:kern w:val="2"/>
                <w:position w:val="-5"/>
                <w:sz w:val="20"/>
              </w:rPr>
              <w:t>DIPSWX</w:t>
            </w:r>
          </w:p>
        </w:tc>
        <w:tc>
          <w:tcPr>
            <w:tcW w:w="717" w:type="dxa"/>
            <w:tcBorders>
              <w:top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Arial" w:ascii="Arial" w:hAnsi="Arial"/>
                <w:color w:themeColor="text1" w:val="000000"/>
                <w:sz w:val="36"/>
                <w:szCs w:val="36"/>
              </w:rPr>
            </w:r>
          </w:p>
        </w:tc>
        <w:tc>
          <w:tcPr>
            <w:tcW w:w="1974" w:type="dxa"/>
            <w:gridSpan w:val="2"/>
            <w:tcBorders>
              <w:top w:val="single" w:sz="4" w:space="0" w:color="000000"/>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b/>
                <w:bCs/>
                <w:color w:themeColor="text1" w:val="000000"/>
                <w:kern w:val="2"/>
                <w:sz w:val="20"/>
              </w:rPr>
              <w:t>TP</w:t>
            </w:r>
            <w:r>
              <w:rPr>
                <w:rFonts w:cs="Calibri" w:ascii="Calibri" w:hAnsi="Calibri"/>
                <w:b/>
                <w:bCs/>
                <w:color w:themeColor="text1" w:val="000000"/>
                <w:kern w:val="2"/>
                <w:position w:val="-5"/>
                <w:sz w:val="20"/>
              </w:rPr>
              <w:t>COUT</w:t>
            </w:r>
          </w:p>
        </w:tc>
        <w:tc>
          <w:tcPr>
            <w:tcW w:w="543" w:type="dxa"/>
            <w:tcBorders>
              <w:top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Arial" w:ascii="Arial" w:hAnsi="Arial"/>
                <w:color w:themeColor="text1" w:val="000000"/>
                <w:sz w:val="36"/>
                <w:szCs w:val="36"/>
              </w:rPr>
            </w:r>
          </w:p>
        </w:tc>
      </w:tr>
      <w:tr>
        <w:trPr>
          <w:trHeight w:val="259"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b/>
                <w:bCs/>
                <w:color w:themeColor="text1" w:val="000000"/>
                <w:kern w:val="2"/>
                <w:sz w:val="20"/>
              </w:rPr>
              <w:t>TEST</w:t>
            </w:r>
          </w:p>
        </w:tc>
        <w:tc>
          <w:tcPr>
            <w:tcW w:w="1468" w:type="dxa"/>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b/>
                <w:bCs/>
                <w:color w:themeColor="text1" w:val="000000"/>
                <w:kern w:val="2"/>
                <w:sz w:val="20"/>
              </w:rPr>
              <w:t>VALUE</w:t>
            </w:r>
          </w:p>
        </w:tc>
        <w:tc>
          <w:tcPr>
            <w:tcW w:w="717"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b/>
                <w:bCs/>
                <w:color w:themeColor="text1" w:val="000000"/>
                <w:kern w:val="2"/>
                <w:sz w:val="20"/>
              </w:rPr>
              <w:t>%DIF</w:t>
            </w:r>
          </w:p>
        </w:tc>
        <w:tc>
          <w:tcPr>
            <w:tcW w:w="1974" w:type="dxa"/>
            <w:gridSpan w:val="2"/>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b/>
                <w:bCs/>
                <w:color w:themeColor="text1" w:val="000000"/>
                <w:kern w:val="2"/>
                <w:sz w:val="20"/>
              </w:rPr>
              <w:t>VALUE</w:t>
            </w:r>
          </w:p>
        </w:tc>
        <w:tc>
          <w:tcPr>
            <w:tcW w:w="54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b/>
                <w:bCs/>
                <w:color w:themeColor="text1" w:val="000000"/>
                <w:kern w:val="2"/>
                <w:sz w:val="20"/>
              </w:rPr>
              <w:t>%DIF</w:t>
            </w:r>
          </w:p>
        </w:tc>
      </w:tr>
      <w:tr>
        <w:trPr>
          <w:trHeight w:val="259"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b/>
                <w:bCs/>
                <w:color w:themeColor="text1" w:val="000000"/>
                <w:sz w:val="20"/>
              </w:rPr>
            </w:pPr>
            <w:r>
              <w:rPr>
                <w:rFonts w:cs="Calibri" w:ascii="Calibri" w:hAnsi="Calibri" w:asciiTheme="minorHAnsi" w:cstheme="minorHAnsi" w:hAnsiTheme="minorHAnsi"/>
                <w:b/>
                <w:bCs/>
                <w:color w:themeColor="text1" w:val="000000"/>
                <w:sz w:val="20"/>
              </w:rPr>
              <w:t>1</w:t>
            </w:r>
          </w:p>
        </w:tc>
        <w:tc>
          <w:tcPr>
            <w:tcW w:w="1468" w:type="dxa"/>
            <w:tcBorders>
              <w:top w:val="single" w:sz="4" w:space="0" w:color="000000"/>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0.001</w:t>
            </w:r>
          </w:p>
        </w:tc>
        <w:tc>
          <w:tcPr>
            <w:tcW w:w="717" w:type="dxa"/>
            <w:tcBorders>
              <w:top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-90.0%</w:t>
            </w:r>
          </w:p>
        </w:tc>
        <w:tc>
          <w:tcPr>
            <w:tcW w:w="1974" w:type="dxa"/>
            <w:gridSpan w:val="2"/>
            <w:tcBorders>
              <w:top w:val="single" w:sz="4" w:space="0" w:color="000000"/>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0.106</w:t>
            </w:r>
          </w:p>
        </w:tc>
        <w:tc>
          <w:tcPr>
            <w:tcW w:w="543" w:type="dxa"/>
            <w:tcBorders>
              <w:top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-0.8%</w:t>
            </w:r>
          </w:p>
        </w:tc>
      </w:tr>
      <w:tr>
        <w:trPr>
          <w:trHeight w:val="259" w:hRule="exact"/>
        </w:trPr>
        <w:tc>
          <w:tcPr>
            <w:tcW w:w="693" w:type="dxa"/>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b/>
                <w:bCs/>
                <w:color w:themeColor="text1" w:val="000000"/>
                <w:sz w:val="20"/>
              </w:rPr>
            </w:pPr>
            <w:r>
              <w:rPr>
                <w:rFonts w:cs="Calibri" w:ascii="Calibri" w:hAnsi="Calibri" w:asciiTheme="minorHAnsi" w:cstheme="minorHAnsi" w:hAnsiTheme="minorHAnsi"/>
                <w:b/>
                <w:bCs/>
                <w:color w:themeColor="text1" w:val="000000"/>
                <w:sz w:val="20"/>
              </w:rPr>
              <w:t>2</w:t>
            </w:r>
          </w:p>
        </w:tc>
        <w:tc>
          <w:tcPr>
            <w:tcW w:w="1468" w:type="dxa"/>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0.005</w:t>
            </w:r>
          </w:p>
        </w:tc>
        <w:tc>
          <w:tcPr>
            <w:tcW w:w="717"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-50.0%</w:t>
            </w:r>
          </w:p>
        </w:tc>
        <w:tc>
          <w:tcPr>
            <w:tcW w:w="1974" w:type="dxa"/>
            <w:gridSpan w:val="2"/>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0.106</w:t>
            </w:r>
          </w:p>
        </w:tc>
        <w:tc>
          <w:tcPr>
            <w:tcW w:w="543"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-0.6%</w:t>
            </w:r>
          </w:p>
        </w:tc>
      </w:tr>
      <w:tr>
        <w:trPr>
          <w:trHeight w:val="259" w:hRule="exact"/>
        </w:trPr>
        <w:tc>
          <w:tcPr>
            <w:tcW w:w="693" w:type="dxa"/>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b/>
                <w:bCs/>
                <w:color w:themeColor="text1" w:val="000000"/>
                <w:sz w:val="20"/>
              </w:rPr>
            </w:pPr>
            <w:r>
              <w:rPr>
                <w:rFonts w:cs="Calibri" w:ascii="Calibri" w:hAnsi="Calibri" w:asciiTheme="minorHAnsi" w:cstheme="minorHAnsi" w:hAnsiTheme="minorHAnsi"/>
                <w:b/>
                <w:bCs/>
                <w:color w:themeColor="text1" w:val="000000"/>
                <w:sz w:val="20"/>
              </w:rPr>
              <w:t>3</w:t>
            </w:r>
          </w:p>
        </w:tc>
        <w:tc>
          <w:tcPr>
            <w:tcW w:w="1468" w:type="dxa"/>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0.010</w:t>
            </w:r>
          </w:p>
        </w:tc>
        <w:tc>
          <w:tcPr>
            <w:tcW w:w="717"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Arial" w:ascii="Arial" w:hAnsi="Arial"/>
                <w:color w:themeColor="text1" w:val="000000"/>
                <w:sz w:val="36"/>
                <w:szCs w:val="36"/>
              </w:rPr>
            </w:r>
          </w:p>
        </w:tc>
        <w:tc>
          <w:tcPr>
            <w:tcW w:w="1974" w:type="dxa"/>
            <w:gridSpan w:val="2"/>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0.106</w:t>
            </w:r>
          </w:p>
        </w:tc>
        <w:tc>
          <w:tcPr>
            <w:tcW w:w="543"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Arial" w:ascii="Arial" w:hAnsi="Arial"/>
                <w:color w:themeColor="text1" w:val="000000"/>
                <w:sz w:val="36"/>
                <w:szCs w:val="36"/>
              </w:rPr>
            </w:r>
          </w:p>
        </w:tc>
      </w:tr>
      <w:tr>
        <w:trPr>
          <w:trHeight w:val="259" w:hRule="exact"/>
        </w:trPr>
        <w:tc>
          <w:tcPr>
            <w:tcW w:w="693" w:type="dxa"/>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b/>
                <w:bCs/>
                <w:color w:themeColor="text1" w:val="000000"/>
                <w:sz w:val="20"/>
              </w:rPr>
            </w:pPr>
            <w:r>
              <w:rPr>
                <w:rFonts w:cs="Calibri" w:ascii="Calibri" w:hAnsi="Calibri" w:asciiTheme="minorHAnsi" w:cstheme="minorHAnsi" w:hAnsiTheme="minorHAnsi"/>
                <w:b/>
                <w:bCs/>
                <w:color w:themeColor="text1" w:val="000000"/>
                <w:sz w:val="20"/>
              </w:rPr>
              <w:t>4</w:t>
            </w:r>
          </w:p>
        </w:tc>
        <w:tc>
          <w:tcPr>
            <w:tcW w:w="1468" w:type="dxa"/>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0.015</w:t>
            </w:r>
          </w:p>
        </w:tc>
        <w:tc>
          <w:tcPr>
            <w:tcW w:w="717"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50.0%</w:t>
            </w:r>
          </w:p>
        </w:tc>
        <w:tc>
          <w:tcPr>
            <w:tcW w:w="1974" w:type="dxa"/>
            <w:gridSpan w:val="2"/>
            <w:tcBorders>
              <w:lef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0.108</w:t>
            </w:r>
          </w:p>
        </w:tc>
        <w:tc>
          <w:tcPr>
            <w:tcW w:w="543" w:type="dxa"/>
            <w:tcBorders>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1.1%</w:t>
            </w:r>
          </w:p>
        </w:tc>
      </w:tr>
      <w:tr>
        <w:trPr>
          <w:trHeight w:val="259"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b/>
                <w:bCs/>
                <w:color w:themeColor="text1" w:val="000000"/>
                <w:sz w:val="20"/>
              </w:rPr>
            </w:pPr>
            <w:r>
              <w:rPr>
                <w:rFonts w:cs="Calibri" w:ascii="Calibri" w:hAnsi="Calibri" w:asciiTheme="minorHAnsi" w:cstheme="minorHAnsi" w:hAnsiTheme="minorHAnsi"/>
                <w:b/>
                <w:bCs/>
                <w:color w:themeColor="text1" w:val="000000"/>
                <w:sz w:val="20"/>
              </w:rPr>
              <w:t>5</w:t>
            </w:r>
          </w:p>
        </w:tc>
        <w:tc>
          <w:tcPr>
            <w:tcW w:w="1468" w:type="dxa"/>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0.020</w:t>
            </w:r>
          </w:p>
        </w:tc>
        <w:tc>
          <w:tcPr>
            <w:tcW w:w="717"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100.0%</w:t>
            </w:r>
          </w:p>
        </w:tc>
        <w:tc>
          <w:tcPr>
            <w:tcW w:w="1974" w:type="dxa"/>
            <w:gridSpan w:val="2"/>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0.109</w:t>
            </w:r>
          </w:p>
        </w:tc>
        <w:tc>
          <w:tcPr>
            <w:tcW w:w="54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cs="Arial"/>
                <w:color w:themeColor="text1" w:val="000000"/>
                <w:sz w:val="36"/>
                <w:szCs w:val="36"/>
              </w:rPr>
            </w:pPr>
            <w:r>
              <w:rPr>
                <w:rFonts w:cs="Calibri" w:ascii="Calibri" w:hAnsi="Calibri"/>
                <w:color w:themeColor="text1" w:val="000000"/>
                <w:kern w:val="2"/>
                <w:sz w:val="20"/>
              </w:rPr>
              <w:t>2.8%</w:t>
            </w:r>
          </w:p>
        </w:tc>
      </w:tr>
      <w:tr>
        <w:trPr>
          <w:trHeight w:val="302"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c>
          <w:tcPr>
            <w:tcW w:w="1468" w:type="dxa"/>
            <w:tcBorders>
              <w:top w:val="single" w:sz="4" w:space="0" w:color="000000"/>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k</w:t>
            </w:r>
            <w:r>
              <w:rPr>
                <w:rFonts w:cs="Calibri" w:ascii="Calibri" w:hAnsi="Calibri" w:asciiTheme="minorHAnsi" w:cstheme="minorHAnsi" w:hAnsiTheme="minorHAnsi"/>
                <w:b/>
                <w:bCs/>
                <w:color w:themeColor="text1" w:val="000000"/>
                <w:sz w:val="20"/>
                <w:vertAlign w:val="subscript"/>
              </w:rPr>
              <w:t>DOPSWX</w:t>
            </w:r>
          </w:p>
        </w:tc>
        <w:tc>
          <w:tcPr>
            <w:tcW w:w="717" w:type="dxa"/>
            <w:tcBorders>
              <w:top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c>
          <w:tcPr>
            <w:tcW w:w="1974" w:type="dxa"/>
            <w:gridSpan w:val="2"/>
            <w:tcBorders>
              <w:top w:val="single" w:sz="4" w:space="0" w:color="000000"/>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TP</w:t>
            </w:r>
            <w:r>
              <w:rPr>
                <w:rFonts w:cs="Calibri" w:ascii="Calibri" w:hAnsi="Calibri" w:asciiTheme="minorHAnsi" w:cstheme="minorHAnsi" w:hAnsiTheme="minorHAnsi"/>
                <w:b/>
                <w:bCs/>
                <w:color w:themeColor="text1" w:val="000000"/>
                <w:sz w:val="20"/>
                <w:vertAlign w:val="subscript"/>
              </w:rPr>
              <w:t>COUT</w:t>
            </w:r>
          </w:p>
        </w:tc>
        <w:tc>
          <w:tcPr>
            <w:tcW w:w="543" w:type="dxa"/>
            <w:tcBorders>
              <w:top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r>
      <w:tr>
        <w:trPr>
          <w:trHeight w:val="230"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TEST</w:t>
            </w:r>
          </w:p>
        </w:tc>
        <w:tc>
          <w:tcPr>
            <w:tcW w:w="1468" w:type="dxa"/>
            <w:tcBorders>
              <w:left w:val="single" w:sz="4" w:space="0" w:color="000000"/>
              <w:bottom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VALUE</w:t>
            </w:r>
          </w:p>
        </w:tc>
        <w:tc>
          <w:tcPr>
            <w:tcW w:w="717" w:type="dxa"/>
            <w:tcBorders>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%DIF</w:t>
            </w:r>
          </w:p>
        </w:tc>
        <w:tc>
          <w:tcPr>
            <w:tcW w:w="1974" w:type="dxa"/>
            <w:gridSpan w:val="2"/>
            <w:tcBorders>
              <w:left w:val="single" w:sz="4" w:space="0" w:color="000000"/>
              <w:bottom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VALUE</w:t>
            </w:r>
          </w:p>
        </w:tc>
        <w:tc>
          <w:tcPr>
            <w:tcW w:w="543" w:type="dxa"/>
            <w:tcBorders>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%DIF</w:t>
            </w:r>
          </w:p>
        </w:tc>
      </w:tr>
      <w:tr>
        <w:trPr>
          <w:trHeight w:val="230"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1</w:t>
            </w:r>
          </w:p>
        </w:tc>
        <w:tc>
          <w:tcPr>
            <w:tcW w:w="1468" w:type="dxa"/>
            <w:tcBorders>
              <w:top w:val="single" w:sz="4" w:space="0" w:color="000000"/>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0.001</w:t>
            </w:r>
          </w:p>
        </w:tc>
        <w:tc>
          <w:tcPr>
            <w:tcW w:w="717" w:type="dxa"/>
            <w:tcBorders>
              <w:top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-80.0%</w:t>
            </w:r>
          </w:p>
        </w:tc>
        <w:tc>
          <w:tcPr>
            <w:tcW w:w="1974" w:type="dxa"/>
            <w:gridSpan w:val="2"/>
            <w:tcBorders>
              <w:top w:val="single" w:sz="4" w:space="0" w:color="000000"/>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0.086</w:t>
            </w:r>
          </w:p>
        </w:tc>
        <w:tc>
          <w:tcPr>
            <w:tcW w:w="543" w:type="dxa"/>
            <w:tcBorders>
              <w:top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-19.6%</w:t>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2</w:t>
            </w:r>
          </w:p>
        </w:tc>
        <w:tc>
          <w:tcPr>
            <w:tcW w:w="1468" w:type="dxa"/>
            <w:tcBorders>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0.005</w:t>
            </w:r>
          </w:p>
        </w:tc>
        <w:tc>
          <w:tcPr>
            <w:tcW w:w="717" w:type="dxa"/>
            <w:tcBorders>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c>
          <w:tcPr>
            <w:tcW w:w="1974" w:type="dxa"/>
            <w:gridSpan w:val="2"/>
            <w:tcBorders>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0.106</w:t>
            </w:r>
          </w:p>
        </w:tc>
        <w:tc>
          <w:tcPr>
            <w:tcW w:w="543" w:type="dxa"/>
            <w:tcBorders>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3</w:t>
            </w:r>
          </w:p>
        </w:tc>
        <w:tc>
          <w:tcPr>
            <w:tcW w:w="1468" w:type="dxa"/>
            <w:tcBorders>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0.010</w:t>
            </w:r>
          </w:p>
        </w:tc>
        <w:tc>
          <w:tcPr>
            <w:tcW w:w="717" w:type="dxa"/>
            <w:tcBorders>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50.0%</w:t>
            </w:r>
          </w:p>
        </w:tc>
        <w:tc>
          <w:tcPr>
            <w:tcW w:w="1974" w:type="dxa"/>
            <w:gridSpan w:val="2"/>
            <w:tcBorders>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0.188</w:t>
            </w:r>
          </w:p>
        </w:tc>
        <w:tc>
          <w:tcPr>
            <w:tcW w:w="543" w:type="dxa"/>
            <w:tcBorders>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43.3%</w:t>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4</w:t>
            </w:r>
          </w:p>
        </w:tc>
        <w:tc>
          <w:tcPr>
            <w:tcW w:w="1468" w:type="dxa"/>
            <w:tcBorders>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0.015</w:t>
            </w:r>
          </w:p>
        </w:tc>
        <w:tc>
          <w:tcPr>
            <w:tcW w:w="717" w:type="dxa"/>
            <w:tcBorders>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66.7%</w:t>
            </w:r>
          </w:p>
        </w:tc>
        <w:tc>
          <w:tcPr>
            <w:tcW w:w="1974" w:type="dxa"/>
            <w:gridSpan w:val="2"/>
            <w:tcBorders>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0.262</w:t>
            </w:r>
          </w:p>
        </w:tc>
        <w:tc>
          <w:tcPr>
            <w:tcW w:w="543" w:type="dxa"/>
            <w:tcBorders>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59.4%</w:t>
            </w:r>
          </w:p>
        </w:tc>
      </w:tr>
      <w:tr>
        <w:trPr>
          <w:trHeight w:val="230"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5</w:t>
            </w:r>
          </w:p>
        </w:tc>
        <w:tc>
          <w:tcPr>
            <w:tcW w:w="1468" w:type="dxa"/>
            <w:tcBorders>
              <w:left w:val="single" w:sz="4" w:space="0" w:color="000000"/>
              <w:bottom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0.020</w:t>
            </w:r>
          </w:p>
        </w:tc>
        <w:tc>
          <w:tcPr>
            <w:tcW w:w="717" w:type="dxa"/>
            <w:tcBorders>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75.0%</w:t>
            </w:r>
          </w:p>
        </w:tc>
        <w:tc>
          <w:tcPr>
            <w:tcW w:w="1974" w:type="dxa"/>
            <w:gridSpan w:val="2"/>
            <w:tcBorders>
              <w:left w:val="single" w:sz="4" w:space="0" w:color="000000"/>
              <w:bottom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0.304</w:t>
            </w:r>
          </w:p>
        </w:tc>
        <w:tc>
          <w:tcPr>
            <w:tcW w:w="543" w:type="dxa"/>
            <w:tcBorders>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65.0%</w:t>
            </w:r>
          </w:p>
        </w:tc>
      </w:tr>
      <w:tr>
        <w:trPr>
          <w:trHeight w:val="302"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c>
          <w:tcPr>
            <w:tcW w:w="2185" w:type="dxa"/>
            <w:gridSpan w:val="2"/>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Q</w:t>
            </w:r>
            <w:r>
              <w:rPr>
                <w:rFonts w:cs="Calibri" w:ascii="Calibri" w:hAnsi="Calibri" w:asciiTheme="minorHAnsi" w:cstheme="minorHAnsi" w:hAnsiTheme="minorHAnsi"/>
                <w:b/>
                <w:bCs/>
                <w:color w:themeColor="text1" w:val="000000"/>
                <w:kern w:val="2"/>
                <w:position w:val="-5"/>
                <w:sz w:val="20"/>
              </w:rPr>
              <w:t>0</w:t>
            </w:r>
          </w:p>
        </w:tc>
        <w:tc>
          <w:tcPr>
            <w:tcW w:w="594" w:type="dxa"/>
            <w:tcBorders>
              <w:top w:val="single" w:sz="4" w:space="0" w:color="000000"/>
              <w:lef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TP</w:t>
            </w:r>
            <w:r>
              <w:rPr>
                <w:rFonts w:cs="Calibri" w:ascii="Calibri" w:hAnsi="Calibri" w:asciiTheme="minorHAnsi" w:cstheme="minorHAnsi" w:hAnsiTheme="minorHAnsi"/>
                <w:b/>
                <w:bCs/>
                <w:color w:themeColor="text1" w:val="000000"/>
                <w:kern w:val="2"/>
                <w:position w:val="-5"/>
                <w:sz w:val="20"/>
              </w:rPr>
              <w:t>COUT</w:t>
            </w:r>
          </w:p>
        </w:tc>
        <w:tc>
          <w:tcPr>
            <w:tcW w:w="1923" w:type="dxa"/>
            <w:gridSpan w:val="2"/>
            <w:tcBorders>
              <w:top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r>
      <w:tr>
        <w:trPr>
          <w:trHeight w:val="230"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TEST</w:t>
            </w:r>
          </w:p>
        </w:tc>
        <w:tc>
          <w:tcPr>
            <w:tcW w:w="2185" w:type="dxa"/>
            <w:gridSpan w:val="2"/>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%DIF</w:t>
            </w:r>
          </w:p>
        </w:tc>
        <w:tc>
          <w:tcPr>
            <w:tcW w:w="594" w:type="dxa"/>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VALUE</w:t>
            </w:r>
          </w:p>
        </w:tc>
        <w:tc>
          <w:tcPr>
            <w:tcW w:w="1923" w:type="dxa"/>
            <w:gridSpan w:val="2"/>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%DIF</w:t>
            </w:r>
          </w:p>
        </w:tc>
      </w:tr>
      <w:tr>
        <w:trPr>
          <w:trHeight w:val="230"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1</w:t>
            </w:r>
          </w:p>
        </w:tc>
        <w:tc>
          <w:tcPr>
            <w:tcW w:w="2185" w:type="dxa"/>
            <w:gridSpan w:val="2"/>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-25.0%</w:t>
            </w:r>
          </w:p>
        </w:tc>
        <w:tc>
          <w:tcPr>
            <w:tcW w:w="594" w:type="dxa"/>
            <w:tcBorders>
              <w:top w:val="single" w:sz="4" w:space="0" w:color="000000"/>
              <w:lef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0.012</w:t>
            </w:r>
          </w:p>
        </w:tc>
        <w:tc>
          <w:tcPr>
            <w:tcW w:w="1923" w:type="dxa"/>
            <w:gridSpan w:val="2"/>
            <w:tcBorders>
              <w:top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-89.1%</w:t>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2</w:t>
            </w:r>
          </w:p>
        </w:tc>
        <w:tc>
          <w:tcPr>
            <w:tcW w:w="2185" w:type="dxa"/>
            <w:gridSpan w:val="2"/>
            <w:tcBorders>
              <w:left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-50.0%</w:t>
            </w:r>
          </w:p>
        </w:tc>
        <w:tc>
          <w:tcPr>
            <w:tcW w:w="594" w:type="dxa"/>
            <w:tcBorders>
              <w:lef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0.037</w:t>
            </w:r>
          </w:p>
        </w:tc>
        <w:tc>
          <w:tcPr>
            <w:tcW w:w="1923" w:type="dxa"/>
            <w:gridSpan w:val="2"/>
            <w:tcBorders>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-64.9%</w:t>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3</w:t>
            </w:r>
          </w:p>
        </w:tc>
        <w:tc>
          <w:tcPr>
            <w:tcW w:w="2185" w:type="dxa"/>
            <w:gridSpan w:val="2"/>
            <w:tcBorders>
              <w:left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100.0%</w:t>
            </w:r>
          </w:p>
        </w:tc>
        <w:tc>
          <w:tcPr>
            <w:tcW w:w="594" w:type="dxa"/>
            <w:tcBorders>
              <w:lef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0.106</w:t>
            </w:r>
          </w:p>
        </w:tc>
        <w:tc>
          <w:tcPr>
            <w:tcW w:w="1923" w:type="dxa"/>
            <w:gridSpan w:val="2"/>
            <w:tcBorders>
              <w:right w:val="single" w:sz="4" w:space="0" w:color="000000"/>
            </w:tcBorders>
            <w:shd w:color="auto" w:fill="auto" w:val="clear"/>
            <w:vAlign w:val="center"/>
          </w:tcPr>
          <w:p>
            <w:pPr>
              <w:pStyle w:val="Normal"/>
              <w:spacing w:lineRule="auto" w:line="240" w:before="0" w:after="0"/>
              <w:jc w:val="left"/>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4</w:t>
            </w:r>
          </w:p>
        </w:tc>
        <w:tc>
          <w:tcPr>
            <w:tcW w:w="2185" w:type="dxa"/>
            <w:gridSpan w:val="2"/>
            <w:tcBorders>
              <w:left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150.0%</w:t>
            </w:r>
          </w:p>
        </w:tc>
        <w:tc>
          <w:tcPr>
            <w:tcW w:w="594" w:type="dxa"/>
            <w:tcBorders>
              <w:lef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0.201</w:t>
            </w:r>
          </w:p>
        </w:tc>
        <w:tc>
          <w:tcPr>
            <w:tcW w:w="1923" w:type="dxa"/>
            <w:gridSpan w:val="2"/>
            <w:tcBorders>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89.0%</w:t>
            </w:r>
          </w:p>
        </w:tc>
      </w:tr>
      <w:tr>
        <w:trPr>
          <w:trHeight w:val="230"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kern w:val="2"/>
                <w:sz w:val="20"/>
              </w:rPr>
              <w:t>5</w:t>
            </w:r>
          </w:p>
        </w:tc>
        <w:tc>
          <w:tcPr>
            <w:tcW w:w="2185" w:type="dxa"/>
            <w:gridSpan w:val="2"/>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200.0%</w:t>
            </w:r>
          </w:p>
        </w:tc>
        <w:tc>
          <w:tcPr>
            <w:tcW w:w="594" w:type="dxa"/>
            <w:tcBorders>
              <w:left w:val="single" w:sz="4" w:space="0" w:color="000000"/>
              <w:bottom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0.314</w:t>
            </w:r>
          </w:p>
        </w:tc>
        <w:tc>
          <w:tcPr>
            <w:tcW w:w="1923" w:type="dxa"/>
            <w:gridSpan w:val="2"/>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kern w:val="2"/>
                <w:sz w:val="20"/>
              </w:rPr>
              <w:t>194.8%</w:t>
            </w:r>
          </w:p>
        </w:tc>
      </w:tr>
      <w:tr>
        <w:trPr>
          <w:trHeight w:val="302"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c>
          <w:tcPr>
            <w:tcW w:w="2185" w:type="dxa"/>
            <w:gridSpan w:val="2"/>
            <w:tcBorders>
              <w:top w:val="single" w:sz="4" w:space="0" w:color="000000"/>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TP</w:t>
            </w:r>
            <w:r>
              <w:rPr>
                <w:rFonts w:cs="Calibri" w:ascii="Calibri" w:hAnsi="Calibri" w:asciiTheme="minorHAnsi" w:cstheme="minorHAnsi" w:hAnsiTheme="minorHAnsi"/>
                <w:b/>
                <w:bCs/>
                <w:color w:themeColor="text1" w:val="000000"/>
                <w:sz w:val="20"/>
                <w:vertAlign w:val="subscript"/>
              </w:rPr>
              <w:t>CIN</w:t>
            </w:r>
          </w:p>
        </w:tc>
        <w:tc>
          <w:tcPr>
            <w:tcW w:w="594" w:type="dxa"/>
            <w:tcBorders>
              <w:top w:val="single" w:sz="4" w:space="0" w:color="000000"/>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TP</w:t>
            </w:r>
            <w:r>
              <w:rPr>
                <w:rFonts w:cs="Calibri" w:ascii="Calibri" w:hAnsi="Calibri" w:asciiTheme="minorHAnsi" w:cstheme="minorHAnsi" w:hAnsiTheme="minorHAnsi"/>
                <w:b/>
                <w:bCs/>
                <w:color w:themeColor="text1" w:val="000000"/>
                <w:sz w:val="20"/>
                <w:vertAlign w:val="subscript"/>
              </w:rPr>
              <w:t>COUT</w:t>
            </w:r>
          </w:p>
        </w:tc>
        <w:tc>
          <w:tcPr>
            <w:tcW w:w="1923" w:type="dxa"/>
            <w:gridSpan w:val="2"/>
            <w:tcBorders>
              <w:top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r>
      <w:tr>
        <w:trPr>
          <w:trHeight w:val="230"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TEST</w:t>
            </w:r>
          </w:p>
        </w:tc>
        <w:tc>
          <w:tcPr>
            <w:tcW w:w="2185" w:type="dxa"/>
            <w:gridSpan w:val="2"/>
            <w:tcBorders>
              <w:left w:val="single" w:sz="4" w:space="0" w:color="000000"/>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%DIF</w:t>
            </w:r>
          </w:p>
        </w:tc>
        <w:tc>
          <w:tcPr>
            <w:tcW w:w="594" w:type="dxa"/>
            <w:tcBorders>
              <w:left w:val="single" w:sz="4" w:space="0" w:color="000000"/>
              <w:bottom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VALUE</w:t>
            </w:r>
          </w:p>
        </w:tc>
        <w:tc>
          <w:tcPr>
            <w:tcW w:w="1923" w:type="dxa"/>
            <w:gridSpan w:val="2"/>
            <w:tcBorders>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%DIF</w:t>
            </w:r>
          </w:p>
        </w:tc>
      </w:tr>
      <w:tr>
        <w:trPr>
          <w:trHeight w:val="230" w:hRule="exact"/>
        </w:trPr>
        <w:tc>
          <w:tcPr>
            <w:tcW w:w="693" w:type="dxa"/>
            <w:tcBorders>
              <w:top w:val="single" w:sz="4" w:space="0" w:color="000000"/>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1</w:t>
            </w:r>
          </w:p>
        </w:tc>
        <w:tc>
          <w:tcPr>
            <w:tcW w:w="2185" w:type="dxa"/>
            <w:gridSpan w:val="2"/>
            <w:tcBorders>
              <w:top w:val="single" w:sz="4" w:space="0" w:color="000000"/>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-25.0%</w:t>
            </w:r>
          </w:p>
        </w:tc>
        <w:tc>
          <w:tcPr>
            <w:tcW w:w="594" w:type="dxa"/>
            <w:tcBorders>
              <w:top w:val="single" w:sz="4" w:space="0" w:color="000000"/>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0.069</w:t>
            </w:r>
          </w:p>
        </w:tc>
        <w:tc>
          <w:tcPr>
            <w:tcW w:w="1923" w:type="dxa"/>
            <w:gridSpan w:val="2"/>
            <w:tcBorders>
              <w:top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-35.6%</w:t>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2</w:t>
            </w:r>
          </w:p>
        </w:tc>
        <w:tc>
          <w:tcPr>
            <w:tcW w:w="2185" w:type="dxa"/>
            <w:gridSpan w:val="2"/>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-50.0%</w:t>
            </w:r>
          </w:p>
        </w:tc>
        <w:tc>
          <w:tcPr>
            <w:tcW w:w="594" w:type="dxa"/>
            <w:tcBorders>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0.078</w:t>
            </w:r>
          </w:p>
        </w:tc>
        <w:tc>
          <w:tcPr>
            <w:tcW w:w="1923" w:type="dxa"/>
            <w:gridSpan w:val="2"/>
            <w:tcBorders>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-26.8%</w:t>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3</w:t>
            </w:r>
          </w:p>
        </w:tc>
        <w:tc>
          <w:tcPr>
            <w:tcW w:w="2185" w:type="dxa"/>
            <w:gridSpan w:val="2"/>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100.0%</w:t>
            </w:r>
          </w:p>
        </w:tc>
        <w:tc>
          <w:tcPr>
            <w:tcW w:w="594" w:type="dxa"/>
            <w:tcBorders>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0.106</w:t>
            </w:r>
          </w:p>
        </w:tc>
        <w:tc>
          <w:tcPr>
            <w:tcW w:w="1923" w:type="dxa"/>
            <w:gridSpan w:val="2"/>
            <w:tcBorders>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cstheme="minorHAnsi" w:ascii="Calibri" w:hAnsi="Calibri"/>
                <w:color w:themeColor="text1" w:val="000000"/>
                <w:sz w:val="20"/>
              </w:rPr>
            </w:r>
          </w:p>
        </w:tc>
      </w:tr>
      <w:tr>
        <w:trPr>
          <w:trHeight w:val="230" w:hRule="exact"/>
        </w:trPr>
        <w:tc>
          <w:tcPr>
            <w:tcW w:w="693" w:type="dxa"/>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4</w:t>
            </w:r>
          </w:p>
        </w:tc>
        <w:tc>
          <w:tcPr>
            <w:tcW w:w="2185" w:type="dxa"/>
            <w:gridSpan w:val="2"/>
            <w:tcBorders>
              <w:left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150.0%</w:t>
            </w:r>
          </w:p>
        </w:tc>
        <w:tc>
          <w:tcPr>
            <w:tcW w:w="594" w:type="dxa"/>
            <w:tcBorders>
              <w:lef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0.142</w:t>
            </w:r>
          </w:p>
        </w:tc>
        <w:tc>
          <w:tcPr>
            <w:tcW w:w="1923" w:type="dxa"/>
            <w:gridSpan w:val="2"/>
            <w:tcBorders>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33.5%</w:t>
            </w:r>
          </w:p>
        </w:tc>
      </w:tr>
      <w:tr>
        <w:trPr>
          <w:trHeight w:val="230" w:hRule="exact"/>
        </w:trPr>
        <w:tc>
          <w:tcPr>
            <w:tcW w:w="693" w:type="dxa"/>
            <w:tcBorders>
              <w:left w:val="single" w:sz="4" w:space="0" w:color="000000"/>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b/>
                <w:bCs/>
                <w:color w:themeColor="text1" w:val="000000"/>
                <w:sz w:val="20"/>
              </w:rPr>
              <w:t>5</w:t>
            </w:r>
          </w:p>
        </w:tc>
        <w:tc>
          <w:tcPr>
            <w:tcW w:w="2185" w:type="dxa"/>
            <w:gridSpan w:val="2"/>
            <w:tcBorders>
              <w:left w:val="single" w:sz="4" w:space="0" w:color="000000"/>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200.0%</w:t>
            </w:r>
          </w:p>
        </w:tc>
        <w:tc>
          <w:tcPr>
            <w:tcW w:w="594" w:type="dxa"/>
            <w:tcBorders>
              <w:left w:val="single" w:sz="4" w:space="0" w:color="000000"/>
              <w:bottom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0.185</w:t>
            </w:r>
          </w:p>
        </w:tc>
        <w:tc>
          <w:tcPr>
            <w:tcW w:w="1923" w:type="dxa"/>
            <w:gridSpan w:val="2"/>
            <w:tcBorders>
              <w:bottom w:val="single" w:sz="4" w:space="0" w:color="000000"/>
              <w:right w:val="single" w:sz="4" w:space="0" w:color="000000"/>
            </w:tcBorders>
            <w:shd w:color="auto" w:fill="auto" w:val="clear"/>
            <w:vAlign w:val="center"/>
          </w:tcPr>
          <w:p>
            <w:pPr>
              <w:pStyle w:val="Normal"/>
              <w:spacing w:before="0" w:after="120"/>
              <w:jc w:val="center"/>
              <w:rPr>
                <w:rFonts w:ascii="Calibri" w:hAnsi="Calibri" w:cs="Calibri" w:asciiTheme="minorHAnsi" w:cstheme="minorHAnsi" w:hAnsiTheme="minorHAnsi"/>
                <w:color w:themeColor="text1" w:val="000000"/>
                <w:sz w:val="20"/>
              </w:rPr>
            </w:pPr>
            <w:r>
              <w:rPr>
                <w:rFonts w:cs="Calibri" w:ascii="Calibri" w:hAnsi="Calibri" w:asciiTheme="minorHAnsi" w:cstheme="minorHAnsi" w:hAnsiTheme="minorHAnsi"/>
                <w:color w:themeColor="text1" w:val="000000"/>
                <w:sz w:val="20"/>
              </w:rPr>
              <w:t>73.6%</w:t>
            </w:r>
          </w:p>
        </w:tc>
      </w:tr>
    </w:tbl>
    <w:p>
      <w:pPr>
        <w:pStyle w:val="Normal"/>
        <w:rPr>
          <w:color w:themeColor="text1" w:val="000000"/>
        </w:rPr>
      </w:pPr>
      <w:r>
        <w:rPr>
          <w:color w:themeColor="text1" w:val="000000"/>
        </w:rPr>
      </w:r>
    </w:p>
    <w:p>
      <w:pPr>
        <w:pStyle w:val="Normal"/>
        <w:rPr>
          <w:color w:themeColor="text1" w:val="000000"/>
        </w:rPr>
      </w:pPr>
      <w:r>
        <w:rPr>
          <w:color w:themeColor="text1" w:val="000000"/>
        </w:rPr>
        <mc:AlternateContent>
          <mc:Choice Requires="wps">
            <w:drawing>
              <wp:anchor behindDoc="0" distT="40640" distB="55880" distL="109220" distR="128270" simplePos="0" locked="0" layoutInCell="0" allowOverlap="1" relativeHeight="49" wp14:anchorId="5EBE1F36">
                <wp:simplePos x="0" y="0"/>
                <wp:positionH relativeFrom="margin">
                  <wp:posOffset>0</wp:posOffset>
                </wp:positionH>
                <wp:positionV relativeFrom="margin">
                  <wp:posOffset>335280</wp:posOffset>
                </wp:positionV>
                <wp:extent cx="5943600" cy="7719060"/>
                <wp:effectExtent l="5080" t="5080" r="5080" b="5080"/>
                <wp:wrapSquare wrapText="bothSides"/>
                <wp:docPr id="115" name="Text Box 2"/>
                <a:graphic xmlns:a="http://schemas.openxmlformats.org/drawingml/2006/main">
                  <a:graphicData uri="http://schemas.microsoft.com/office/word/2010/wordprocessingShape">
                    <wps:wsp>
                      <wps:cNvSpPr/>
                      <wps:spPr>
                        <a:xfrm>
                          <a:off x="0" y="0"/>
                          <a:ext cx="5943600" cy="771912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4038600" cy="6400800"/>
                                  <wp:effectExtent l="0" t="0" r="0" b="0"/>
                                  <wp:docPr id="11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7" descr=""/>
                                          <pic:cNvPicPr>
                                            <a:picLocks noChangeAspect="1" noChangeArrowheads="1"/>
                                          </pic:cNvPicPr>
                                        </pic:nvPicPr>
                                        <pic:blipFill>
                                          <a:blip r:embed="rId123"/>
                                          <a:stretch>
                                            <a:fillRect/>
                                          </a:stretch>
                                        </pic:blipFill>
                                        <pic:spPr bwMode="auto">
                                          <a:xfrm>
                                            <a:off x="0" y="0"/>
                                            <a:ext cx="4038600" cy="6400800"/>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25.  Results of sensitivity analysis to test effects of changes parameters and total phosphorus loading (Q</w:t>
                            </w:r>
                            <w:r>
                              <w:rPr>
                                <w:vertAlign w:val="subscript"/>
                              </w:rPr>
                              <w:t>TPIN</w:t>
                            </w:r>
                            <w:r>
                              <w:rPr/>
                              <w:t>) on the TP concentration in the model outflow [TP]</w:t>
                            </w:r>
                            <w:r>
                              <w:rPr>
                                <w:vertAlign w:val="subscript"/>
                              </w:rPr>
                              <w:t>OUT</w:t>
                            </w:r>
                            <w:r>
                              <w:rPr/>
                              <w:t>.   Each bar plot provides the parameter values and percent difference from base model (x-axis) and the average [TP]</w:t>
                            </w:r>
                            <w:r>
                              <w:rPr>
                                <w:vertAlign w:val="subscript"/>
                              </w:rPr>
                              <w:t>OUT</w:t>
                            </w:r>
                            <w:r>
                              <w:rPr/>
                              <w:t xml:space="preserve"> concentrations and percent difference from base model (y-axis).  The white bar indicates the base model value.  (A) k</w:t>
                            </w:r>
                            <w:r>
                              <w:rPr>
                                <w:vertAlign w:val="subscript"/>
                              </w:rPr>
                              <w:t>DOPSWX</w:t>
                            </w:r>
                            <w:r>
                              <w:rPr/>
                              <w:t>; (B) k</w:t>
                            </w:r>
                            <w:r>
                              <w:rPr>
                                <w:vertAlign w:val="subscript"/>
                              </w:rPr>
                              <w:t>DIPSWX</w:t>
                            </w:r>
                            <w:r>
                              <w:rPr/>
                              <w:t>; (C) a</w:t>
                            </w:r>
                            <w:r>
                              <w:rPr>
                                <w:vertAlign w:val="subscript"/>
                              </w:rPr>
                              <w:t>PRC</w:t>
                            </w:r>
                            <w:r>
                              <w:rPr/>
                              <w:t>; (D) Q</w:t>
                            </w:r>
                            <w:r>
                              <w:rPr>
                                <w:vertAlign w:val="subscript"/>
                              </w:rPr>
                              <w:t>0</w:t>
                            </w:r>
                            <w:r>
                              <w:rPr/>
                              <w:t xml:space="preserve"> Series; (E) [TP]</w:t>
                            </w:r>
                            <w:r>
                              <w:rPr>
                                <w:vertAlign w:val="subscript"/>
                              </w:rPr>
                              <w:t>IN</w:t>
                            </w:r>
                            <w:r>
                              <w:rPr/>
                              <w:t xml:space="preserve"> Series.  A value of 0.005 d</w:t>
                            </w:r>
                            <w:r>
                              <w:rPr>
                                <w:vertAlign w:val="superscript"/>
                              </w:rPr>
                              <w:t>-1</w:t>
                            </w:r>
                            <w:r>
                              <w:rPr/>
                              <w:t xml:space="preserve"> was used for </w:t>
                            </w:r>
                            <w:r>
                              <w:rPr>
                                <w:vertAlign w:val="subscript"/>
                              </w:rPr>
                              <w:t>kDOPSWX</w:t>
                            </w:r>
                            <w:r>
                              <w:rPr/>
                              <w:t xml:space="preserve"> (see Summary &amp; Sythesis).</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26.4pt;width:467.95pt;height:607.75pt;mso-wrap-style:square;v-text-anchor:top;mso-position-horizontal-relative:margin;mso-position-vertical-relative:margin" wp14:anchorId="5EBE1F36">
                <v:fill o:detectmouseclick="t" type="solid" color2="black"/>
                <v:stroke color="black" weight="9360" joinstyle="miter" endcap="flat"/>
                <v:textbox>
                  <w:txbxContent>
                    <w:p>
                      <w:pPr>
                        <w:pStyle w:val="FrameContents"/>
                        <w:jc w:val="center"/>
                        <w:rPr/>
                      </w:pPr>
                      <w:r>
                        <w:rPr/>
                        <w:drawing>
                          <wp:inline distT="0" distB="0" distL="0" distR="0">
                            <wp:extent cx="4038600" cy="6400800"/>
                            <wp:effectExtent l="0" t="0" r="0" b="0"/>
                            <wp:docPr id="118"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7" descr=""/>
                                    <pic:cNvPicPr>
                                      <a:picLocks noChangeAspect="1" noChangeArrowheads="1"/>
                                    </pic:cNvPicPr>
                                  </pic:nvPicPr>
                                  <pic:blipFill>
                                    <a:blip r:embed="rId124"/>
                                    <a:stretch>
                                      <a:fillRect/>
                                    </a:stretch>
                                  </pic:blipFill>
                                  <pic:spPr bwMode="auto">
                                    <a:xfrm>
                                      <a:off x="0" y="0"/>
                                      <a:ext cx="4038600" cy="6400800"/>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25.  Results of sensitivity analysis to test effects of changes parameters and total phosphorus loading (Q</w:t>
                      </w:r>
                      <w:r>
                        <w:rPr>
                          <w:vertAlign w:val="subscript"/>
                        </w:rPr>
                        <w:t>TPIN</w:t>
                      </w:r>
                      <w:r>
                        <w:rPr/>
                        <w:t>) on the TP concentration in the model outflow [TP]</w:t>
                      </w:r>
                      <w:r>
                        <w:rPr>
                          <w:vertAlign w:val="subscript"/>
                        </w:rPr>
                        <w:t>OUT</w:t>
                      </w:r>
                      <w:r>
                        <w:rPr/>
                        <w:t>.   Each bar plot provides the parameter values and percent difference from base model (x-axis) and the average [TP]</w:t>
                      </w:r>
                      <w:r>
                        <w:rPr>
                          <w:vertAlign w:val="subscript"/>
                        </w:rPr>
                        <w:t>OUT</w:t>
                      </w:r>
                      <w:r>
                        <w:rPr/>
                        <w:t xml:space="preserve"> concentrations and percent difference from base model (y-axis).  The white bar indicates the base model value.  (A) k</w:t>
                      </w:r>
                      <w:r>
                        <w:rPr>
                          <w:vertAlign w:val="subscript"/>
                        </w:rPr>
                        <w:t>DOPSWX</w:t>
                      </w:r>
                      <w:r>
                        <w:rPr/>
                        <w:t>; (B) k</w:t>
                      </w:r>
                      <w:r>
                        <w:rPr>
                          <w:vertAlign w:val="subscript"/>
                        </w:rPr>
                        <w:t>DIPSWX</w:t>
                      </w:r>
                      <w:r>
                        <w:rPr/>
                        <w:t>; (C) a</w:t>
                      </w:r>
                      <w:r>
                        <w:rPr>
                          <w:vertAlign w:val="subscript"/>
                        </w:rPr>
                        <w:t>PRC</w:t>
                      </w:r>
                      <w:r>
                        <w:rPr/>
                        <w:t>; (D) Q</w:t>
                      </w:r>
                      <w:r>
                        <w:rPr>
                          <w:vertAlign w:val="subscript"/>
                        </w:rPr>
                        <w:t>0</w:t>
                      </w:r>
                      <w:r>
                        <w:rPr/>
                        <w:t xml:space="preserve"> Series; (E) [TP]</w:t>
                      </w:r>
                      <w:r>
                        <w:rPr>
                          <w:vertAlign w:val="subscript"/>
                        </w:rPr>
                        <w:t>IN</w:t>
                      </w:r>
                      <w:r>
                        <w:rPr/>
                        <w:t xml:space="preserve"> Series.  A value of 0.005 d</w:t>
                      </w:r>
                      <w:r>
                        <w:rPr>
                          <w:vertAlign w:val="superscript"/>
                        </w:rPr>
                        <w:t>-1</w:t>
                      </w:r>
                      <w:r>
                        <w:rPr/>
                        <w:t xml:space="preserve"> was used for </w:t>
                      </w:r>
                      <w:r>
                        <w:rPr>
                          <w:vertAlign w:val="subscript"/>
                        </w:rPr>
                        <w:t>kDOPSWX</w:t>
                      </w:r>
                      <w:r>
                        <w:rPr/>
                        <w:t xml:space="preserve"> (see Summary &amp; Sythesis).</w:t>
                      </w:r>
                    </w:p>
                  </w:txbxContent>
                </v:textbox>
                <w10:wrap type="square"/>
              </v:rect>
            </w:pict>
          </mc:Fallback>
        </mc:AlternateContent>
      </w:r>
    </w:p>
    <w:p>
      <w:pPr>
        <w:pStyle w:val="Caption"/>
        <w:spacing w:lineRule="auto" w:line="240"/>
        <w:rPr>
          <w:color w:themeColor="text1" w:val="000000"/>
        </w:rPr>
      </w:pPr>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t>18. Data target concentrations and model concentrations for 15 phosphorus pools of Biogeochemical Model of STA-2 FW1.</w:t>
      </w:r>
    </w:p>
    <w:tbl>
      <w:tblPr>
        <w:tblW w:w="8940" w:type="dxa"/>
        <w:jc w:val="left"/>
        <w:tblInd w:w="0" w:type="dxa"/>
        <w:tblLayout w:type="fixed"/>
        <w:tblCellMar>
          <w:top w:w="15" w:type="dxa"/>
          <w:left w:w="15" w:type="dxa"/>
          <w:bottom w:w="72" w:type="dxa"/>
          <w:right w:w="15" w:type="dxa"/>
        </w:tblCellMar>
        <w:tblLook w:val="04a0" w:noHBand="0" w:noVBand="1" w:firstColumn="1" w:lastRow="0" w:lastColumn="0" w:firstRow="1"/>
      </w:tblPr>
      <w:tblGrid>
        <w:gridCol w:w="2959"/>
        <w:gridCol w:w="1495"/>
        <w:gridCol w:w="1495"/>
        <w:gridCol w:w="1497"/>
        <w:gridCol w:w="1494"/>
      </w:tblGrid>
      <w:tr>
        <w:trPr>
          <w:trHeight w:val="327" w:hRule="atLeast"/>
        </w:trPr>
        <w:tc>
          <w:tcPr>
            <w:tcW w:w="29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 POOLS</w:t>
            </w:r>
          </w:p>
        </w:tc>
        <w:tc>
          <w:tcPr>
            <w:tcW w:w="1495" w:type="dxa"/>
            <w:tcBorders>
              <w:top w:val="single" w:sz="4" w:space="0" w:color="000000"/>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DATA_AVG</w:t>
            </w:r>
          </w:p>
        </w:tc>
        <w:tc>
          <w:tcPr>
            <w:tcW w:w="1495"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DATA_SD</w:t>
            </w:r>
          </w:p>
        </w:tc>
        <w:tc>
          <w:tcPr>
            <w:tcW w:w="1497" w:type="dxa"/>
            <w:tcBorders>
              <w:top w:val="single" w:sz="4" w:space="0" w:color="000000"/>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MOD_AVG</w:t>
            </w:r>
          </w:p>
        </w:tc>
        <w:tc>
          <w:tcPr>
            <w:tcW w:w="1494"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MOD_SD</w:t>
            </w:r>
          </w:p>
        </w:tc>
      </w:tr>
      <w:tr>
        <w:trPr>
          <w:trHeight w:val="327" w:hRule="atLeast"/>
        </w:trPr>
        <w:tc>
          <w:tcPr>
            <w:tcW w:w="29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w:t>
            </w:r>
            <w:r>
              <w:rPr>
                <w:rFonts w:eastAsia="Calibri" w:cs="Calibri" w:ascii="Calibri" w:hAnsi="Calibri"/>
                <w:b/>
                <w:bCs/>
                <w:color w:themeColor="text1" w:val="000000"/>
                <w:kern w:val="2"/>
                <w:position w:val="-4"/>
                <w:szCs w:val="22"/>
              </w:rPr>
              <w:t>PHYTO</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-3</w:t>
            </w:r>
            <w:r>
              <w:rPr>
                <w:rFonts w:eastAsia="Calibri" w:cs="Calibri" w:ascii="Calibri" w:hAnsi="Calibri"/>
                <w:b/>
                <w:bCs/>
                <w:color w:themeColor="text1" w:val="000000"/>
                <w:kern w:val="2"/>
                <w:szCs w:val="22"/>
              </w:rPr>
              <w:t>)</w:t>
            </w:r>
          </w:p>
        </w:tc>
        <w:tc>
          <w:tcPr>
            <w:tcW w:w="1495" w:type="dxa"/>
            <w:tcBorders>
              <w:top w:val="single" w:sz="4" w:space="0" w:color="000000"/>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0.002</w:t>
            </w:r>
          </w:p>
        </w:tc>
        <w:tc>
          <w:tcPr>
            <w:tcW w:w="1495"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0.001</w:t>
            </w:r>
          </w:p>
        </w:tc>
        <w:tc>
          <w:tcPr>
            <w:tcW w:w="1497" w:type="dxa"/>
            <w:tcBorders>
              <w:top w:val="single" w:sz="4" w:space="0" w:color="000000"/>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0.002</w:t>
            </w:r>
          </w:p>
        </w:tc>
        <w:tc>
          <w:tcPr>
            <w:tcW w:w="1494"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0.0003</w:t>
            </w:r>
          </w:p>
        </w:tc>
      </w:tr>
      <w:tr>
        <w:trPr>
          <w:trHeight w:val="327" w:hRule="atLeast"/>
        </w:trPr>
        <w:tc>
          <w:tcPr>
            <w:tcW w:w="2959" w:type="dxa"/>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w:t>
            </w:r>
            <w:r>
              <w:rPr>
                <w:rFonts w:eastAsia="Calibri" w:cs="Calibri" w:ascii="Calibri" w:hAnsi="Calibri"/>
                <w:b/>
                <w:bCs/>
                <w:color w:themeColor="text1" w:val="000000"/>
                <w:kern w:val="2"/>
                <w:position w:val="-4"/>
                <w:szCs w:val="22"/>
              </w:rPr>
              <w:t>PERI</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top w:val="single" w:sz="4" w:space="0" w:color="000000"/>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0.05</w:t>
            </w:r>
          </w:p>
        </w:tc>
        <w:tc>
          <w:tcPr>
            <w:tcW w:w="1495" w:type="dxa"/>
            <w:tcBorders>
              <w:top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0.03</w:t>
            </w:r>
          </w:p>
        </w:tc>
        <w:tc>
          <w:tcPr>
            <w:tcW w:w="1497" w:type="dxa"/>
            <w:tcBorders>
              <w:top w:val="single" w:sz="4" w:space="0" w:color="000000"/>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0.16</w:t>
            </w:r>
          </w:p>
        </w:tc>
        <w:tc>
          <w:tcPr>
            <w:tcW w:w="1494" w:type="dxa"/>
            <w:tcBorders>
              <w:top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0.012</w:t>
            </w:r>
          </w:p>
        </w:tc>
      </w:tr>
      <w:tr>
        <w:trPr>
          <w:trHeight w:val="327" w:hRule="atLeast"/>
        </w:trPr>
        <w:tc>
          <w:tcPr>
            <w:tcW w:w="2959" w:type="dxa"/>
            <w:tcBorders>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w:t>
            </w:r>
            <w:r>
              <w:rPr>
                <w:rFonts w:eastAsia="Calibri" w:cs="Calibri" w:ascii="Calibri" w:hAnsi="Calibri"/>
                <w:b/>
                <w:bCs/>
                <w:color w:themeColor="text1" w:val="000000"/>
                <w:kern w:val="2"/>
                <w:position w:val="-4"/>
                <w:szCs w:val="22"/>
              </w:rPr>
              <w:t>SHOOT</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1.95</w:t>
            </w:r>
          </w:p>
        </w:tc>
        <w:tc>
          <w:tcPr>
            <w:tcW w:w="1495"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0.87</w:t>
            </w:r>
          </w:p>
        </w:tc>
        <w:tc>
          <w:tcPr>
            <w:tcW w:w="1497"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1.94</w:t>
            </w:r>
          </w:p>
        </w:tc>
        <w:tc>
          <w:tcPr>
            <w:tcW w:w="1494"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0.10</w:t>
            </w:r>
          </w:p>
        </w:tc>
      </w:tr>
      <w:tr>
        <w:trPr>
          <w:trHeight w:val="327" w:hRule="atLeast"/>
        </w:trPr>
        <w:tc>
          <w:tcPr>
            <w:tcW w:w="2959" w:type="dxa"/>
            <w:tcBorders>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w:t>
            </w:r>
            <w:r>
              <w:rPr>
                <w:rFonts w:eastAsia="Calibri" w:cs="Calibri" w:ascii="Calibri" w:hAnsi="Calibri"/>
                <w:b/>
                <w:bCs/>
                <w:color w:themeColor="text1" w:val="000000"/>
                <w:kern w:val="2"/>
                <w:position w:val="-4"/>
                <w:szCs w:val="22"/>
              </w:rPr>
              <w:t>RR</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0.83</w:t>
            </w:r>
          </w:p>
        </w:tc>
        <w:tc>
          <w:tcPr>
            <w:tcW w:w="1495"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0.62</w:t>
            </w:r>
          </w:p>
        </w:tc>
        <w:tc>
          <w:tcPr>
            <w:tcW w:w="1497"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0.58</w:t>
            </w:r>
          </w:p>
        </w:tc>
        <w:tc>
          <w:tcPr>
            <w:tcW w:w="1494"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0.09</w:t>
            </w:r>
          </w:p>
        </w:tc>
      </w:tr>
      <w:tr>
        <w:trPr>
          <w:trHeight w:val="327" w:hRule="atLeast"/>
        </w:trPr>
        <w:tc>
          <w:tcPr>
            <w:tcW w:w="2959" w:type="dxa"/>
            <w:tcBorders>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w:t>
            </w:r>
            <w:r>
              <w:rPr>
                <w:rFonts w:eastAsia="Calibri" w:cs="Calibri" w:ascii="Calibri" w:hAnsi="Calibri"/>
                <w:b/>
                <w:bCs/>
                <w:color w:themeColor="text1" w:val="000000"/>
                <w:kern w:val="2"/>
                <w:position w:val="-4"/>
                <w:szCs w:val="22"/>
              </w:rPr>
              <w:t>LITTER</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0.70</w:t>
            </w:r>
          </w:p>
        </w:tc>
        <w:tc>
          <w:tcPr>
            <w:tcW w:w="1495"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0.32</w:t>
            </w:r>
          </w:p>
        </w:tc>
        <w:tc>
          <w:tcPr>
            <w:tcW w:w="1497"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0.82</w:t>
            </w:r>
          </w:p>
        </w:tc>
        <w:tc>
          <w:tcPr>
            <w:tcW w:w="1494"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0.09</w:t>
            </w:r>
          </w:p>
        </w:tc>
      </w:tr>
      <w:tr>
        <w:trPr>
          <w:trHeight w:val="327" w:hRule="atLeast"/>
        </w:trPr>
        <w:tc>
          <w:tcPr>
            <w:tcW w:w="2959" w:type="dxa"/>
            <w:tcBorders>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w:t>
            </w:r>
            <w:r>
              <w:rPr>
                <w:rFonts w:eastAsia="Calibri" w:cs="Calibri" w:ascii="Calibri" w:hAnsi="Calibri"/>
                <w:b/>
                <w:bCs/>
                <w:color w:themeColor="text1" w:val="000000"/>
                <w:kern w:val="2"/>
                <w:position w:val="-4"/>
                <w:szCs w:val="22"/>
              </w:rPr>
              <w:t>FLOC</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1.64</w:t>
            </w:r>
          </w:p>
        </w:tc>
        <w:tc>
          <w:tcPr>
            <w:tcW w:w="1495"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0.65</w:t>
            </w:r>
          </w:p>
        </w:tc>
        <w:tc>
          <w:tcPr>
            <w:tcW w:w="1497"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1.63</w:t>
            </w:r>
          </w:p>
        </w:tc>
        <w:tc>
          <w:tcPr>
            <w:tcW w:w="1494"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0.12</w:t>
            </w:r>
          </w:p>
        </w:tc>
      </w:tr>
      <w:tr>
        <w:trPr>
          <w:trHeight w:val="327" w:hRule="atLeast"/>
        </w:trPr>
        <w:tc>
          <w:tcPr>
            <w:tcW w:w="295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w:t>
            </w:r>
            <w:r>
              <w:rPr>
                <w:rFonts w:eastAsia="Calibri" w:cs="Calibri" w:ascii="Calibri" w:hAnsi="Calibri"/>
                <w:b/>
                <w:bCs/>
                <w:color w:themeColor="text1" w:val="000000"/>
                <w:kern w:val="2"/>
                <w:position w:val="-4"/>
                <w:szCs w:val="22"/>
              </w:rPr>
              <w:t>SAV</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0.16</w:t>
            </w:r>
          </w:p>
        </w:tc>
        <w:tc>
          <w:tcPr>
            <w:tcW w:w="1495" w:type="dxa"/>
            <w:tcBorders>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0.04</w:t>
            </w:r>
          </w:p>
        </w:tc>
        <w:tc>
          <w:tcPr>
            <w:tcW w:w="1497" w:type="dxa"/>
            <w:tcBorders>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0.11</w:t>
            </w:r>
          </w:p>
        </w:tc>
        <w:tc>
          <w:tcPr>
            <w:tcW w:w="1494" w:type="dxa"/>
            <w:tcBorders>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0.01</w:t>
            </w:r>
          </w:p>
        </w:tc>
      </w:tr>
      <w:tr>
        <w:trPr>
          <w:trHeight w:val="327" w:hRule="atLeast"/>
        </w:trPr>
        <w:tc>
          <w:tcPr>
            <w:tcW w:w="2959" w:type="dxa"/>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POP</w:t>
            </w:r>
            <w:r>
              <w:rPr>
                <w:rFonts w:eastAsia="Calibri" w:cs="Calibri" w:ascii="Calibri" w:hAnsi="Calibri"/>
                <w:b/>
                <w:bCs/>
                <w:color w:themeColor="text1" w:val="000000"/>
                <w:kern w:val="2"/>
                <w:position w:val="-4"/>
                <w:szCs w:val="22"/>
              </w:rPr>
              <w:t>s</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top w:val="single" w:sz="4" w:space="0" w:color="000000"/>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2.57</w:t>
            </w:r>
          </w:p>
        </w:tc>
        <w:tc>
          <w:tcPr>
            <w:tcW w:w="1495" w:type="dxa"/>
            <w:tcBorders>
              <w:top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2.16</w:t>
            </w:r>
          </w:p>
        </w:tc>
        <w:tc>
          <w:tcPr>
            <w:tcW w:w="1497" w:type="dxa"/>
            <w:tcBorders>
              <w:top w:val="single" w:sz="4" w:space="0" w:color="000000"/>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3.54</w:t>
            </w:r>
          </w:p>
        </w:tc>
        <w:tc>
          <w:tcPr>
            <w:tcW w:w="1494" w:type="dxa"/>
            <w:tcBorders>
              <w:top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0.16</w:t>
            </w:r>
          </w:p>
        </w:tc>
      </w:tr>
      <w:tr>
        <w:trPr>
          <w:trHeight w:val="327" w:hRule="atLeast"/>
        </w:trPr>
        <w:tc>
          <w:tcPr>
            <w:tcW w:w="2959" w:type="dxa"/>
            <w:tcBorders>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DOP</w:t>
            </w:r>
            <w:r>
              <w:rPr>
                <w:rFonts w:eastAsia="Calibri" w:cs="Calibri" w:ascii="Calibri" w:hAnsi="Calibri"/>
                <w:b/>
                <w:bCs/>
                <w:color w:themeColor="text1" w:val="000000"/>
                <w:kern w:val="2"/>
                <w:position w:val="-4"/>
                <w:szCs w:val="22"/>
              </w:rPr>
              <w:t>s</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0.15</w:t>
            </w:r>
          </w:p>
        </w:tc>
        <w:tc>
          <w:tcPr>
            <w:tcW w:w="1495"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0.12</w:t>
            </w:r>
          </w:p>
        </w:tc>
        <w:tc>
          <w:tcPr>
            <w:tcW w:w="1497"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1.15</w:t>
            </w:r>
          </w:p>
        </w:tc>
        <w:tc>
          <w:tcPr>
            <w:tcW w:w="1494"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0.09</w:t>
            </w:r>
          </w:p>
        </w:tc>
      </w:tr>
      <w:tr>
        <w:trPr>
          <w:trHeight w:val="327" w:hRule="atLeast"/>
        </w:trPr>
        <w:tc>
          <w:tcPr>
            <w:tcW w:w="2959" w:type="dxa"/>
            <w:tcBorders>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DIP</w:t>
            </w:r>
            <w:r>
              <w:rPr>
                <w:rFonts w:eastAsia="Calibri" w:cs="Calibri" w:ascii="Calibri" w:hAnsi="Calibri"/>
                <w:b/>
                <w:bCs/>
                <w:color w:themeColor="text1" w:val="000000"/>
                <w:kern w:val="2"/>
                <w:position w:val="-4"/>
                <w:szCs w:val="22"/>
              </w:rPr>
              <w:t>s</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0.10</w:t>
            </w:r>
          </w:p>
        </w:tc>
        <w:tc>
          <w:tcPr>
            <w:tcW w:w="1495"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0.08</w:t>
            </w:r>
          </w:p>
        </w:tc>
        <w:tc>
          <w:tcPr>
            <w:tcW w:w="1497"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0.32</w:t>
            </w:r>
          </w:p>
        </w:tc>
        <w:tc>
          <w:tcPr>
            <w:tcW w:w="1494"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0.12</w:t>
            </w:r>
          </w:p>
        </w:tc>
      </w:tr>
      <w:tr>
        <w:trPr>
          <w:trHeight w:val="327" w:hRule="atLeast"/>
        </w:trPr>
        <w:tc>
          <w:tcPr>
            <w:tcW w:w="295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PIP</w:t>
            </w:r>
            <w:r>
              <w:rPr>
                <w:rFonts w:eastAsia="Calibri" w:cs="Calibri" w:ascii="Calibri" w:hAnsi="Calibri"/>
                <w:b/>
                <w:bCs/>
                <w:color w:themeColor="text1" w:val="000000"/>
                <w:kern w:val="2"/>
                <w:position w:val="-4"/>
                <w:szCs w:val="22"/>
              </w:rPr>
              <w:t>s</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-2</w:t>
            </w:r>
            <w:r>
              <w:rPr>
                <w:rFonts w:eastAsia="Calibri" w:cs="Calibri" w:ascii="Calibri" w:hAnsi="Calibri"/>
                <w:b/>
                <w:bCs/>
                <w:color w:themeColor="text1" w:val="000000"/>
                <w:kern w:val="2"/>
                <w:szCs w:val="22"/>
              </w:rPr>
              <w:t>)</w:t>
            </w:r>
          </w:p>
        </w:tc>
        <w:tc>
          <w:tcPr>
            <w:tcW w:w="1495" w:type="dxa"/>
            <w:tcBorders>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0.44</w:t>
            </w:r>
          </w:p>
        </w:tc>
        <w:tc>
          <w:tcPr>
            <w:tcW w:w="1495" w:type="dxa"/>
            <w:tcBorders>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0.27</w:t>
            </w:r>
          </w:p>
        </w:tc>
        <w:tc>
          <w:tcPr>
            <w:tcW w:w="1497" w:type="dxa"/>
            <w:tcBorders>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0.64</w:t>
            </w:r>
          </w:p>
        </w:tc>
        <w:tc>
          <w:tcPr>
            <w:tcW w:w="1494" w:type="dxa"/>
            <w:tcBorders>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0.22</w:t>
            </w:r>
          </w:p>
        </w:tc>
      </w:tr>
      <w:tr>
        <w:trPr>
          <w:trHeight w:val="327" w:hRule="atLeast"/>
        </w:trPr>
        <w:tc>
          <w:tcPr>
            <w:tcW w:w="2959" w:type="dxa"/>
            <w:tcBorders>
              <w:top w:val="single" w:sz="4" w:space="0" w:color="000000"/>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POP</w:t>
            </w:r>
            <w:r>
              <w:rPr>
                <w:rFonts w:eastAsia="Calibri" w:cs="Calibri" w:ascii="Calibri" w:hAnsi="Calibri"/>
                <w:b/>
                <w:bCs/>
                <w:color w:themeColor="text1" w:val="000000"/>
                <w:kern w:val="2"/>
                <w:position w:val="-4"/>
                <w:szCs w:val="22"/>
              </w:rPr>
              <w:t>w</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-3</w:t>
            </w:r>
            <w:r>
              <w:rPr>
                <w:rFonts w:eastAsia="Calibri" w:cs="Calibri" w:ascii="Calibri" w:hAnsi="Calibri"/>
                <w:b/>
                <w:bCs/>
                <w:color w:themeColor="text1" w:val="000000"/>
                <w:kern w:val="2"/>
                <w:szCs w:val="22"/>
              </w:rPr>
              <w:t>)</w:t>
            </w:r>
          </w:p>
        </w:tc>
        <w:tc>
          <w:tcPr>
            <w:tcW w:w="1495" w:type="dxa"/>
            <w:tcBorders>
              <w:top w:val="single" w:sz="4" w:space="0" w:color="000000"/>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0.0100</w:t>
            </w:r>
          </w:p>
        </w:tc>
        <w:tc>
          <w:tcPr>
            <w:tcW w:w="1495" w:type="dxa"/>
            <w:tcBorders>
              <w:top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0.0100</w:t>
            </w:r>
          </w:p>
        </w:tc>
        <w:tc>
          <w:tcPr>
            <w:tcW w:w="1497" w:type="dxa"/>
            <w:tcBorders>
              <w:top w:val="single" w:sz="4" w:space="0" w:color="000000"/>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0.0255</w:t>
            </w:r>
          </w:p>
        </w:tc>
        <w:tc>
          <w:tcPr>
            <w:tcW w:w="1494" w:type="dxa"/>
            <w:tcBorders>
              <w:top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0.0300</w:t>
            </w:r>
          </w:p>
        </w:tc>
      </w:tr>
      <w:tr>
        <w:trPr>
          <w:trHeight w:val="327" w:hRule="atLeast"/>
        </w:trPr>
        <w:tc>
          <w:tcPr>
            <w:tcW w:w="2959" w:type="dxa"/>
            <w:tcBorders>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DOP</w:t>
            </w:r>
            <w:r>
              <w:rPr>
                <w:rFonts w:eastAsia="Calibri" w:cs="Calibri" w:ascii="Calibri" w:hAnsi="Calibri"/>
                <w:b/>
                <w:bCs/>
                <w:color w:themeColor="text1" w:val="000000"/>
                <w:kern w:val="2"/>
                <w:position w:val="-4"/>
                <w:szCs w:val="22"/>
              </w:rPr>
              <w:t>w</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-3</w:t>
            </w:r>
            <w:r>
              <w:rPr>
                <w:rFonts w:eastAsia="Calibri" w:cs="Calibri" w:ascii="Calibri" w:hAnsi="Calibri"/>
                <w:b/>
                <w:bCs/>
                <w:color w:themeColor="text1" w:val="000000"/>
                <w:kern w:val="2"/>
                <w:szCs w:val="22"/>
              </w:rPr>
              <w:t>)</w:t>
            </w:r>
          </w:p>
        </w:tc>
        <w:tc>
          <w:tcPr>
            <w:tcW w:w="1495"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0.0140</w:t>
            </w:r>
          </w:p>
        </w:tc>
        <w:tc>
          <w:tcPr>
            <w:tcW w:w="1495"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0.0074</w:t>
            </w:r>
          </w:p>
        </w:tc>
        <w:tc>
          <w:tcPr>
            <w:tcW w:w="1497"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0.0100</w:t>
            </w:r>
          </w:p>
        </w:tc>
        <w:tc>
          <w:tcPr>
            <w:tcW w:w="1494"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0.0003</w:t>
            </w:r>
          </w:p>
        </w:tc>
      </w:tr>
      <w:tr>
        <w:trPr>
          <w:trHeight w:val="327" w:hRule="atLeast"/>
        </w:trPr>
        <w:tc>
          <w:tcPr>
            <w:tcW w:w="2959" w:type="dxa"/>
            <w:tcBorders>
              <w:left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DIP</w:t>
            </w:r>
            <w:r>
              <w:rPr>
                <w:rFonts w:eastAsia="Calibri" w:cs="Calibri" w:ascii="Calibri" w:hAnsi="Calibri"/>
                <w:b/>
                <w:bCs/>
                <w:color w:themeColor="text1" w:val="000000"/>
                <w:kern w:val="2"/>
                <w:position w:val="-4"/>
                <w:szCs w:val="22"/>
              </w:rPr>
              <w:t>w</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-3</w:t>
            </w:r>
            <w:r>
              <w:rPr>
                <w:rFonts w:eastAsia="Calibri" w:cs="Calibri" w:ascii="Calibri" w:hAnsi="Calibri"/>
                <w:b/>
                <w:bCs/>
                <w:color w:themeColor="text1" w:val="000000"/>
                <w:kern w:val="2"/>
                <w:szCs w:val="22"/>
              </w:rPr>
              <w:t>)</w:t>
            </w:r>
          </w:p>
        </w:tc>
        <w:tc>
          <w:tcPr>
            <w:tcW w:w="1495"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0.0260</w:t>
            </w:r>
          </w:p>
        </w:tc>
        <w:tc>
          <w:tcPr>
            <w:tcW w:w="1495"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0.0282</w:t>
            </w:r>
          </w:p>
        </w:tc>
        <w:tc>
          <w:tcPr>
            <w:tcW w:w="1497" w:type="dxa"/>
            <w:tcBorders>
              <w:lef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0.0243</w:t>
            </w:r>
          </w:p>
        </w:tc>
        <w:tc>
          <w:tcPr>
            <w:tcW w:w="1494" w:type="dxa"/>
            <w:tcBorders>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0.0123</w:t>
            </w:r>
          </w:p>
        </w:tc>
      </w:tr>
      <w:tr>
        <w:trPr>
          <w:trHeight w:val="327" w:hRule="atLeast"/>
        </w:trPr>
        <w:tc>
          <w:tcPr>
            <w:tcW w:w="295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PIP</w:t>
            </w:r>
            <w:r>
              <w:rPr>
                <w:rFonts w:eastAsia="Calibri" w:cs="Calibri" w:ascii="Calibri" w:hAnsi="Calibri"/>
                <w:b/>
                <w:bCs/>
                <w:color w:themeColor="text1" w:val="000000"/>
                <w:kern w:val="2"/>
                <w:position w:val="-4"/>
                <w:szCs w:val="22"/>
              </w:rPr>
              <w:t>w</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-3</w:t>
            </w:r>
            <w:r>
              <w:rPr>
                <w:rFonts w:eastAsia="Calibri" w:cs="Calibri" w:ascii="Calibri" w:hAnsi="Calibri"/>
                <w:b/>
                <w:bCs/>
                <w:color w:themeColor="text1" w:val="000000"/>
                <w:kern w:val="2"/>
                <w:szCs w:val="22"/>
              </w:rPr>
              <w:t>)</w:t>
            </w:r>
          </w:p>
        </w:tc>
        <w:tc>
          <w:tcPr>
            <w:tcW w:w="1495" w:type="dxa"/>
            <w:tcBorders>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0.0060</w:t>
            </w:r>
          </w:p>
        </w:tc>
        <w:tc>
          <w:tcPr>
            <w:tcW w:w="1495" w:type="dxa"/>
            <w:tcBorders>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0.0025</w:t>
            </w:r>
          </w:p>
        </w:tc>
        <w:tc>
          <w:tcPr>
            <w:tcW w:w="1497" w:type="dxa"/>
            <w:tcBorders>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0.0062</w:t>
            </w:r>
          </w:p>
        </w:tc>
        <w:tc>
          <w:tcPr>
            <w:tcW w:w="1494" w:type="dxa"/>
            <w:tcBorders>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0.0020</w:t>
            </w:r>
          </w:p>
        </w:tc>
      </w:tr>
      <w:tr>
        <w:trPr>
          <w:trHeight w:val="327" w:hRule="atLeast"/>
        </w:trPr>
        <w:tc>
          <w:tcPr>
            <w:tcW w:w="29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b/>
                <w:bCs/>
                <w:color w:themeColor="text1" w:val="000000"/>
                <w:kern w:val="2"/>
                <w:szCs w:val="22"/>
              </w:rPr>
              <w:t>TP</w:t>
            </w:r>
            <w:r>
              <w:rPr>
                <w:rFonts w:eastAsia="Calibri" w:cs="Calibri" w:ascii="Calibri" w:hAnsi="Calibri"/>
                <w:b/>
                <w:bCs/>
                <w:color w:themeColor="text1" w:val="000000"/>
                <w:kern w:val="2"/>
                <w:position w:val="-4"/>
                <w:szCs w:val="22"/>
              </w:rPr>
              <w:t>w</w:t>
            </w:r>
            <w:r>
              <w:rPr>
                <w:rFonts w:eastAsia="Calibri" w:cs="Calibri" w:ascii="Calibri" w:hAnsi="Calibri"/>
                <w:b/>
                <w:bCs/>
                <w:color w:themeColor="text1" w:val="000000"/>
                <w:kern w:val="2"/>
                <w:szCs w:val="22"/>
              </w:rPr>
              <w:t xml:space="preserve"> (g P m</w:t>
            </w:r>
            <w:r>
              <w:rPr>
                <w:rFonts w:eastAsia="Calibri" w:cs="Calibri" w:ascii="Calibri" w:hAnsi="Calibri"/>
                <w:b/>
                <w:bCs/>
                <w:color w:themeColor="text1" w:val="000000"/>
                <w:kern w:val="2"/>
                <w:position w:val="4"/>
                <w:szCs w:val="22"/>
              </w:rPr>
              <w:t>-3</w:t>
            </w:r>
            <w:r>
              <w:rPr>
                <w:rFonts w:eastAsia="Calibri" w:cs="Calibri" w:ascii="Calibri" w:hAnsi="Calibri"/>
                <w:b/>
                <w:bCs/>
                <w:color w:themeColor="text1" w:val="000000"/>
                <w:kern w:val="2"/>
                <w:szCs w:val="22"/>
              </w:rPr>
              <w:t>)</w:t>
            </w:r>
          </w:p>
        </w:tc>
        <w:tc>
          <w:tcPr>
            <w:tcW w:w="1495" w:type="dxa"/>
            <w:tcBorders>
              <w:top w:val="single" w:sz="4" w:space="0" w:color="000000"/>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0.0560</w:t>
            </w:r>
          </w:p>
        </w:tc>
        <w:tc>
          <w:tcPr>
            <w:tcW w:w="1495"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0.0120</w:t>
            </w:r>
          </w:p>
        </w:tc>
        <w:tc>
          <w:tcPr>
            <w:tcW w:w="1497" w:type="dxa"/>
            <w:tcBorders>
              <w:top w:val="single" w:sz="4" w:space="0" w:color="000000"/>
              <w:left w:val="single" w:sz="4" w:space="0" w:color="000000"/>
              <w:bottom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0.0660</w:t>
            </w:r>
          </w:p>
        </w:tc>
        <w:tc>
          <w:tcPr>
            <w:tcW w:w="1494"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4"/>
              <w:jc w:val="center"/>
              <w:textAlignment w:val="center"/>
              <w:rPr>
                <w:rFonts w:ascii="Arial" w:hAnsi="Arial" w:cs="Arial"/>
                <w:color w:themeColor="text1" w:val="000000"/>
                <w:sz w:val="36"/>
                <w:szCs w:val="36"/>
              </w:rPr>
            </w:pPr>
            <w:r>
              <w:rPr>
                <w:rFonts w:eastAsia="Calibri" w:cs="Calibri" w:ascii="Calibri" w:hAnsi="Calibri"/>
                <w:color w:themeColor="text1" w:val="000000"/>
                <w:kern w:val="2"/>
                <w:szCs w:val="22"/>
              </w:rPr>
              <w:t>0.0392</w:t>
            </w:r>
          </w:p>
        </w:tc>
      </w:tr>
    </w:tbl>
    <w:p>
      <w:pPr>
        <w:pStyle w:val="Normal"/>
        <w:rPr>
          <w:color w:themeColor="text1" w:val="000000"/>
        </w:rPr>
      </w:pPr>
      <w:r>
        <w:rPr>
          <w:color w:themeColor="text1" w:val="000000"/>
        </w:rPr>
      </w:r>
    </w:p>
    <w:p>
      <w:pPr>
        <w:sectPr>
          <w:headerReference w:type="default" r:id="rId125"/>
          <w:headerReference w:type="first" r:id="rId126"/>
          <w:footerReference w:type="default" r:id="rId127"/>
          <w:footerReference w:type="first" r:id="rId128"/>
          <w:type w:val="nextPage"/>
          <w:pgSz w:w="12240" w:h="15840"/>
          <w:pgMar w:left="1440" w:right="1440" w:gutter="0" w:header="576" w:top="1440" w:footer="576" w:bottom="1440"/>
          <w:pgNumType w:fmt="decimal"/>
          <w:formProt w:val="false"/>
          <w:titlePg/>
          <w:textDirection w:val="lrTb"/>
          <w:docGrid w:type="default" w:linePitch="299" w:charSpace="0"/>
        </w:sectPr>
        <w:pStyle w:val="Normal"/>
        <w:rPr>
          <w:color w:themeColor="text1" w:val="000000"/>
        </w:rPr>
      </w:pPr>
      <w:r>
        <w:rPr>
          <w:color w:themeColor="text1" w:val="000000"/>
        </w:rPr>
      </w:r>
    </w:p>
    <w:p>
      <w:pPr>
        <w:pStyle w:val="Normal"/>
        <w:rPr>
          <w:color w:themeColor="text1" w:val="000000"/>
        </w:rPr>
      </w:pPr>
      <w:r>
        <w:rPr>
          <w:color w:themeColor="text1" w:val="000000"/>
        </w:rPr>
        <mc:AlternateContent>
          <mc:Choice Requires="wps">
            <w:drawing>
              <wp:anchor behindDoc="0" distT="40640" distB="55880" distL="109220" distR="128270" simplePos="0" locked="0" layoutInCell="0" allowOverlap="1" relativeHeight="47" wp14:anchorId="70D12558">
                <wp:simplePos x="0" y="0"/>
                <wp:positionH relativeFrom="margin">
                  <wp:posOffset>0</wp:posOffset>
                </wp:positionH>
                <wp:positionV relativeFrom="paragraph">
                  <wp:posOffset>175260</wp:posOffset>
                </wp:positionV>
                <wp:extent cx="9144000" cy="6156960"/>
                <wp:effectExtent l="5080" t="5080" r="5080" b="5080"/>
                <wp:wrapSquare wrapText="bothSides"/>
                <wp:docPr id="124" name="Text Box 2"/>
                <a:graphic xmlns:a="http://schemas.openxmlformats.org/drawingml/2006/main">
                  <a:graphicData uri="http://schemas.microsoft.com/office/word/2010/wordprocessingShape">
                    <wps:wsp>
                      <wps:cNvSpPr/>
                      <wps:spPr>
                        <a:xfrm>
                          <a:off x="0" y="0"/>
                          <a:ext cx="9144000" cy="6157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7357110" cy="5615940"/>
                                  <wp:effectExtent l="0" t="0" r="0" b="0"/>
                                  <wp:docPr id="126" name="Picture 28" descr="A close-up of several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8" descr="A close-up of several graphs&#10;&#10;Description automatically generated"/>
                                          <pic:cNvPicPr>
                                            <a:picLocks noChangeAspect="1" noChangeArrowheads="1"/>
                                          </pic:cNvPicPr>
                                        </pic:nvPicPr>
                                        <pic:blipFill>
                                          <a:blip r:embed="rId129"/>
                                          <a:stretch>
                                            <a:fillRect/>
                                          </a:stretch>
                                        </pic:blipFill>
                                        <pic:spPr bwMode="auto">
                                          <a:xfrm>
                                            <a:off x="0" y="0"/>
                                            <a:ext cx="7357110" cy="5615940"/>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26. Daily time series for fifteen P pools resulting from the Phase III Biogeochemical Model.</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13.8pt;width:719.95pt;height:484.75pt;mso-wrap-style:square;v-text-anchor:top;mso-position-horizontal-relative:margin" wp14:anchorId="70D12558">
                <v:fill o:detectmouseclick="t" type="solid" color2="black"/>
                <v:stroke color="black" weight="9360" joinstyle="miter" endcap="flat"/>
                <v:textbox>
                  <w:txbxContent>
                    <w:p>
                      <w:pPr>
                        <w:pStyle w:val="FrameContents"/>
                        <w:jc w:val="center"/>
                        <w:rPr/>
                      </w:pPr>
                      <w:r>
                        <w:rPr/>
                        <w:drawing>
                          <wp:inline distT="0" distB="0" distL="0" distR="0">
                            <wp:extent cx="7357110" cy="5615940"/>
                            <wp:effectExtent l="0" t="0" r="0" b="0"/>
                            <wp:docPr id="127" name="Picture 28" descr="A close-up of several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8" descr="A close-up of several graphs&#10;&#10;Description automatically generated"/>
                                    <pic:cNvPicPr>
                                      <a:picLocks noChangeAspect="1" noChangeArrowheads="1"/>
                                    </pic:cNvPicPr>
                                  </pic:nvPicPr>
                                  <pic:blipFill>
                                    <a:blip r:embed="rId130"/>
                                    <a:stretch>
                                      <a:fillRect/>
                                    </a:stretch>
                                  </pic:blipFill>
                                  <pic:spPr bwMode="auto">
                                    <a:xfrm>
                                      <a:off x="0" y="0"/>
                                      <a:ext cx="7357110" cy="5615940"/>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26. Daily time series for fifteen P pools resulting from the Phase III Biogeochemical Model.</w:t>
                      </w:r>
                    </w:p>
                  </w:txbxContent>
                </v:textbox>
                <w10:wrap type="square"/>
              </v:rect>
            </w:pict>
          </mc:Fallback>
        </mc:AlternateContent>
      </w:r>
    </w:p>
    <w:p>
      <w:pPr>
        <w:pStyle w:val="Normal"/>
        <w:rPr>
          <w:color w:themeColor="text1" w:val="000000"/>
        </w:rPr>
      </w:pPr>
      <w:r>
        <w:rPr>
          <w:color w:themeColor="text1" w:val="000000"/>
        </w:rPr>
        <mc:AlternateContent>
          <mc:Choice Requires="wps">
            <w:drawing>
              <wp:anchor behindDoc="0" distT="40640" distB="55880" distL="109220" distR="128270" simplePos="0" locked="0" layoutInCell="0" allowOverlap="1" relativeHeight="72" wp14:anchorId="6A94D0E4">
                <wp:simplePos x="0" y="0"/>
                <wp:positionH relativeFrom="margin">
                  <wp:posOffset>0</wp:posOffset>
                </wp:positionH>
                <wp:positionV relativeFrom="paragraph">
                  <wp:posOffset>175260</wp:posOffset>
                </wp:positionV>
                <wp:extent cx="9144000" cy="6156960"/>
                <wp:effectExtent l="5080" t="5080" r="5080" b="5080"/>
                <wp:wrapSquare wrapText="bothSides"/>
                <wp:docPr id="125" name="Text Box 2"/>
                <a:graphic xmlns:a="http://schemas.openxmlformats.org/drawingml/2006/main">
                  <a:graphicData uri="http://schemas.microsoft.com/office/word/2010/wordprocessingShape">
                    <wps:wsp>
                      <wps:cNvSpPr/>
                      <wps:spPr>
                        <a:xfrm>
                          <a:off x="0" y="0"/>
                          <a:ext cx="9144000" cy="6157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7444740" cy="5128260"/>
                                  <wp:effectExtent l="0" t="0" r="0" b="0"/>
                                  <wp:docPr id="127" name="Picture 29"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9" descr="A close-up of a graph&#10;&#10;Description automatically generated"/>
                                          <pic:cNvPicPr>
                                            <a:picLocks noChangeAspect="1" noChangeArrowheads="1"/>
                                          </pic:cNvPicPr>
                                        </pic:nvPicPr>
                                        <pic:blipFill>
                                          <a:blip r:embed="rId131"/>
                                          <a:stretch>
                                            <a:fillRect/>
                                          </a:stretch>
                                        </pic:blipFill>
                                        <pic:spPr bwMode="auto">
                                          <a:xfrm>
                                            <a:off x="0" y="0"/>
                                            <a:ext cx="7444740" cy="5128260"/>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27. (A) Box and whisker plots showing distribution of BGC Model predictions of TP</w:t>
                            </w:r>
                            <w:r>
                              <w:rPr>
                                <w:vertAlign w:val="subscript"/>
                              </w:rPr>
                              <w:t>W</w:t>
                            </w:r>
                            <w:r>
                              <w:rPr/>
                              <w:t xml:space="preserve"> (g P m</w:t>
                            </w:r>
                            <w:r>
                              <w:rPr>
                                <w:vertAlign w:val="superscript"/>
                              </w:rPr>
                              <w:t>-3</w:t>
                            </w:r>
                            <w:r>
                              <w:rPr/>
                              <w:t>) for each water year (WY) from 2006-2020.  (B)  Annual values for multiple variables predicted using the BGC Model for each water year 2006-2020.  Included are the average hydraulic loading rate (HLR; m d</w:t>
                            </w:r>
                            <w:r>
                              <w:rPr>
                                <w:vertAlign w:val="superscript"/>
                              </w:rPr>
                              <w:t>-1</w:t>
                            </w:r>
                            <w:r>
                              <w:rPr/>
                              <w:t>), average depth (h</w:t>
                            </w:r>
                            <w:r>
                              <w:rPr>
                                <w:vertAlign w:val="subscript"/>
                              </w:rPr>
                              <w:t>MOD</w:t>
                            </w:r>
                            <w:r>
                              <w:rPr/>
                              <w:t>; m), total TP load (Q</w:t>
                            </w:r>
                            <w:r>
                              <w:rPr>
                                <w:vertAlign w:val="subscript"/>
                              </w:rPr>
                              <w:t>TP</w:t>
                            </w:r>
                            <w:r>
                              <w:rPr/>
                              <w:t>; g P m</w:t>
                            </w:r>
                            <w:r>
                              <w:rPr>
                                <w:vertAlign w:val="superscript"/>
                              </w:rPr>
                              <w:t>-2</w:t>
                            </w:r>
                            <w:r>
                              <w:rPr/>
                              <w:t xml:space="preserve"> y</w:t>
                            </w:r>
                            <w:r>
                              <w:rPr>
                                <w:vertAlign w:val="superscript"/>
                              </w:rPr>
                              <w:t>-1</w:t>
                            </w:r>
                            <w:r>
                              <w:rPr/>
                              <w:t>), the fraction of Q</w:t>
                            </w:r>
                            <w:r>
                              <w:rPr>
                                <w:vertAlign w:val="subscript"/>
                              </w:rPr>
                              <w:t>TP</w:t>
                            </w:r>
                            <w:r>
                              <w:rPr/>
                              <w:t xml:space="preserve"> removed by the flow-way (f</w:t>
                            </w:r>
                            <w:r>
                              <w:rPr>
                                <w:vertAlign w:val="subscript"/>
                              </w:rPr>
                              <w:t>QTP</w:t>
                            </w:r>
                            <w:r>
                              <w:rPr/>
                              <w:t xml:space="preserve"> Out), and the water column TP concentration (TP</w:t>
                            </w:r>
                            <w:r>
                              <w:rPr>
                                <w:vertAlign w:val="subscript"/>
                              </w:rPr>
                              <w:t>W</w:t>
                            </w:r>
                            <w:r>
                              <w:rPr/>
                              <w:t>; g m</w:t>
                            </w:r>
                            <w:r>
                              <w:rPr>
                                <w:vertAlign w:val="superscript"/>
                              </w:rPr>
                              <w:t>-3</w:t>
                            </w:r>
                            <w:r>
                              <w:rPr/>
                              <w:t xml:space="preserve">; right axis).  </w:t>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pt;margin-top:13.8pt;width:719.95pt;height:484.75pt;mso-wrap-style:square;v-text-anchor:top;mso-position-horizontal-relative:margin" wp14:anchorId="6A94D0E4">
                <v:fill o:detectmouseclick="t" type="solid" color2="black"/>
                <v:stroke color="black" weight="9360" joinstyle="miter" endcap="flat"/>
                <v:textbox>
                  <w:txbxContent>
                    <w:p>
                      <w:pPr>
                        <w:pStyle w:val="FrameContents"/>
                        <w:jc w:val="center"/>
                        <w:rPr/>
                      </w:pPr>
                      <w:r>
                        <w:rPr/>
                        <w:drawing>
                          <wp:inline distT="0" distB="0" distL="0" distR="0">
                            <wp:extent cx="7444740" cy="5128260"/>
                            <wp:effectExtent l="0" t="0" r="0" b="0"/>
                            <wp:docPr id="128" name="Picture 29"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9" descr="A close-up of a graph&#10;&#10;Description automatically generated"/>
                                    <pic:cNvPicPr>
                                      <a:picLocks noChangeAspect="1" noChangeArrowheads="1"/>
                                    </pic:cNvPicPr>
                                  </pic:nvPicPr>
                                  <pic:blipFill>
                                    <a:blip r:embed="rId132"/>
                                    <a:stretch>
                                      <a:fillRect/>
                                    </a:stretch>
                                  </pic:blipFill>
                                  <pic:spPr bwMode="auto">
                                    <a:xfrm>
                                      <a:off x="0" y="0"/>
                                      <a:ext cx="7444740" cy="5128260"/>
                                    </a:xfrm>
                                    <a:prstGeom prst="rect">
                                      <a:avLst/>
                                    </a:prstGeom>
                                  </pic:spPr>
                                </pic:pic>
                              </a:graphicData>
                            </a:graphic>
                          </wp:inline>
                        </w:drawing>
                      </w:r>
                    </w:p>
                    <w:p>
                      <w:pPr>
                        <w:pStyle w:val="Caption"/>
                        <w:widowControl/>
                        <w:bidi w:val="0"/>
                        <w:spacing w:lineRule="auto" w:line="276" w:before="0" w:after="60"/>
                        <w:jc w:val="center"/>
                        <w:rPr/>
                      </w:pPr>
                      <w:r>
                        <w:rPr/>
                        <w:t xml:space="preserve">Figure </w:t>
                      </w:r>
                      <w:r>
                        <w:rPr/>
                        <w:fldChar w:fldCharType="begin"/>
                      </w:r>
                      <w:r>
                        <w:rPr/>
                        <w:instrText xml:space="preserve"> STYLEREF "1" </w:instrText>
                      </w:r>
                      <w:r>
                        <w:rPr/>
                        <w:fldChar w:fldCharType="separate"/>
                      </w:r>
                      <w:r>
                        <w:rPr/>
                        <w:t>Introduction</w:t>
                      </w:r>
                      <w:r>
                        <w:rPr/>
                        <w:fldChar w:fldCharType="end"/>
                      </w:r>
                      <w:r>
                        <w:rPr/>
                        <w:noBreakHyphen/>
                        <w:t>27. (A) Box and whisker plots showing distribution of BGC Model predictions of TP</w:t>
                      </w:r>
                      <w:r>
                        <w:rPr>
                          <w:vertAlign w:val="subscript"/>
                        </w:rPr>
                        <w:t>W</w:t>
                      </w:r>
                      <w:r>
                        <w:rPr/>
                        <w:t xml:space="preserve"> (g P m</w:t>
                      </w:r>
                      <w:r>
                        <w:rPr>
                          <w:vertAlign w:val="superscript"/>
                        </w:rPr>
                        <w:t>-3</w:t>
                      </w:r>
                      <w:r>
                        <w:rPr/>
                        <w:t>) for each water year (WY) from 2006-2020.  (B)  Annual values for multiple variables predicted using the BGC Model for each water year 2006-2020.  Included are the average hydraulic loading rate (HLR; m d</w:t>
                      </w:r>
                      <w:r>
                        <w:rPr>
                          <w:vertAlign w:val="superscript"/>
                        </w:rPr>
                        <w:t>-1</w:t>
                      </w:r>
                      <w:r>
                        <w:rPr/>
                        <w:t>), average depth (h</w:t>
                      </w:r>
                      <w:r>
                        <w:rPr>
                          <w:vertAlign w:val="subscript"/>
                        </w:rPr>
                        <w:t>MOD</w:t>
                      </w:r>
                      <w:r>
                        <w:rPr/>
                        <w:t>; m), total TP load (Q</w:t>
                      </w:r>
                      <w:r>
                        <w:rPr>
                          <w:vertAlign w:val="subscript"/>
                        </w:rPr>
                        <w:t>TP</w:t>
                      </w:r>
                      <w:r>
                        <w:rPr/>
                        <w:t>; g P m</w:t>
                      </w:r>
                      <w:r>
                        <w:rPr>
                          <w:vertAlign w:val="superscript"/>
                        </w:rPr>
                        <w:t>-2</w:t>
                      </w:r>
                      <w:r>
                        <w:rPr/>
                        <w:t xml:space="preserve"> y</w:t>
                      </w:r>
                      <w:r>
                        <w:rPr>
                          <w:vertAlign w:val="superscript"/>
                        </w:rPr>
                        <w:t>-1</w:t>
                      </w:r>
                      <w:r>
                        <w:rPr/>
                        <w:t>), the fraction of Q</w:t>
                      </w:r>
                      <w:r>
                        <w:rPr>
                          <w:vertAlign w:val="subscript"/>
                        </w:rPr>
                        <w:t>TP</w:t>
                      </w:r>
                      <w:r>
                        <w:rPr/>
                        <w:t xml:space="preserve"> removed by the flow-way (f</w:t>
                      </w:r>
                      <w:r>
                        <w:rPr>
                          <w:vertAlign w:val="subscript"/>
                        </w:rPr>
                        <w:t>QTP</w:t>
                      </w:r>
                      <w:r>
                        <w:rPr/>
                        <w:t xml:space="preserve"> Out), and the water column TP concentration (TP</w:t>
                      </w:r>
                      <w:r>
                        <w:rPr>
                          <w:vertAlign w:val="subscript"/>
                        </w:rPr>
                        <w:t>W</w:t>
                      </w:r>
                      <w:r>
                        <w:rPr/>
                        <w:t>; g m</w:t>
                      </w:r>
                      <w:r>
                        <w:rPr>
                          <w:vertAlign w:val="superscript"/>
                        </w:rPr>
                        <w:t>-3</w:t>
                      </w:r>
                      <w:r>
                        <w:rPr/>
                        <w:t xml:space="preserve">; right axis).  </w:t>
                      </w:r>
                    </w:p>
                  </w:txbxContent>
                </v:textbox>
                <w10:wrap type="square"/>
              </v:rect>
            </w:pict>
          </mc:Fallback>
        </mc:AlternateContent>
      </w:r>
    </w:p>
    <w:p>
      <w:pPr>
        <w:pStyle w:val="Caption"/>
        <w:spacing w:lineRule="auto" w:line="240"/>
        <w:rPr>
          <w:color w:themeColor="text1" w:val="000000"/>
        </w:rPr>
      </w:pPr>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t>19. Average annual water column concentrations of POP</w:t>
      </w:r>
      <w:r>
        <w:rPr>
          <w:color w:themeColor="text1" w:val="000000"/>
          <w:vertAlign w:val="subscript"/>
        </w:rPr>
        <w:t>W</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and TP</w:t>
      </w:r>
      <w:r>
        <w:rPr>
          <w:color w:themeColor="text1" w:val="000000"/>
          <w:vertAlign w:val="subscript"/>
        </w:rPr>
        <w:t>W</w:t>
      </w:r>
      <w:r>
        <w:rPr>
          <w:color w:themeColor="text1" w:val="000000"/>
        </w:rPr>
        <w:t xml:space="preserve"> (g P m</w:t>
      </w:r>
      <w:r>
        <w:rPr>
          <w:color w:themeColor="text1" w:val="000000"/>
          <w:vertAlign w:val="superscript"/>
        </w:rPr>
        <w:t>-3</w:t>
      </w:r>
      <w:r>
        <w:rPr>
          <w:color w:themeColor="text1" w:val="000000"/>
        </w:rPr>
        <w:t xml:space="preserve">) from the Biogeochemical Model of STA-2 FW1. The bottom row has the grand averages. </w:t>
      </w:r>
    </w:p>
    <w:p>
      <w:pPr>
        <w:pStyle w:val="Normal"/>
        <w:jc w:val="center"/>
        <w:rPr>
          <w:color w:themeColor="text1" w:val="000000"/>
        </w:rPr>
      </w:pPr>
      <w:r>
        <w:rPr/>
        <w:drawing>
          <wp:inline distT="0" distB="0" distL="0" distR="0">
            <wp:extent cx="8230235" cy="3535680"/>
            <wp:effectExtent l="0" t="0" r="0" b="0"/>
            <wp:docPr id="126"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2" descr=""/>
                    <pic:cNvPicPr>
                      <a:picLocks noChangeAspect="1" noChangeArrowheads="1"/>
                    </pic:cNvPicPr>
                  </pic:nvPicPr>
                  <pic:blipFill>
                    <a:blip r:embed="rId133"/>
                    <a:stretch>
                      <a:fillRect/>
                    </a:stretch>
                  </pic:blipFill>
                  <pic:spPr bwMode="auto">
                    <a:xfrm>
                      <a:off x="0" y="0"/>
                      <a:ext cx="8230235" cy="3535680"/>
                    </a:xfrm>
                    <a:prstGeom prst="rect">
                      <a:avLst/>
                    </a:prstGeom>
                  </pic:spPr>
                </pic:pic>
              </a:graphicData>
            </a:graphic>
          </wp:inline>
        </w:drawing>
      </w:r>
    </w:p>
    <w:p>
      <w:pPr>
        <w:pStyle w:val="Normal"/>
        <w:rPr>
          <w:color w:themeColor="text1" w:val="000000"/>
        </w:rPr>
      </w:pPr>
      <w:r>
        <w:rPr>
          <w:color w:themeColor="text1" w:val="000000"/>
        </w:rPr>
      </w:r>
    </w:p>
    <w:p>
      <w:pPr>
        <w:pStyle w:val="Normal"/>
        <w:spacing w:lineRule="auto" w:line="240" w:before="0" w:after="0"/>
        <w:jc w:val="left"/>
        <w:rPr>
          <w:color w:themeColor="text1" w:val="000000"/>
        </w:rPr>
      </w:pPr>
      <w:r>
        <w:rPr>
          <w:color w:themeColor="text1" w:val="000000"/>
        </w:rPr>
      </w:r>
      <w:r>
        <w:br w:type="page"/>
      </w:r>
    </w:p>
    <w:p>
      <w:pPr>
        <w:pStyle w:val="Caption"/>
        <w:spacing w:lineRule="auto" w:line="240" w:before="0" w:after="60"/>
        <w:rPr>
          <w:color w:themeColor="text1" w:val="000000"/>
        </w:rPr>
      </w:pPr>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Modeling Phosphorus Biogeochemistry in STA Wetlands</w:t>
      </w:r>
      <w:r>
        <w:rPr>
          <w:color w:themeColor="text1" w:val="000000"/>
        </w:rPr>
        <w:fldChar w:fldCharType="end"/>
      </w:r>
      <w:r>
        <w:rPr>
          <w:color w:themeColor="text1" w:val="000000"/>
        </w:rPr>
        <w:noBreakHyphen/>
        <w:t>20. Annual values for multiple variables from the BGC Model of STA2 FW1. Included are the average volume (V</w:t>
      </w:r>
      <w:r>
        <w:rPr>
          <w:color w:themeColor="text1" w:val="000000"/>
          <w:vertAlign w:val="subscript"/>
        </w:rPr>
        <w:t>MOD</w:t>
      </w:r>
      <w:r>
        <w:rPr>
          <w:color w:themeColor="text1" w:val="000000"/>
        </w:rPr>
        <w:t>; km</w:t>
      </w:r>
      <w:r>
        <w:rPr>
          <w:color w:themeColor="text1" w:val="000000"/>
          <w:vertAlign w:val="superscript"/>
        </w:rPr>
        <w:t>3</w:t>
      </w:r>
      <w:r>
        <w:rPr>
          <w:color w:themeColor="text1" w:val="000000"/>
        </w:rPr>
        <w:t>), average depth (h</w:t>
      </w:r>
      <w:r>
        <w:rPr>
          <w:color w:themeColor="text1" w:val="000000"/>
          <w:vertAlign w:val="subscript"/>
        </w:rPr>
        <w:t>MOD</w:t>
      </w:r>
      <w:r>
        <w:rPr>
          <w:color w:themeColor="text1" w:val="000000"/>
        </w:rPr>
        <w:t>; m), average hydraulic loading rate (HLR; m d</w:t>
      </w:r>
      <w:r>
        <w:rPr>
          <w:color w:themeColor="text1" w:val="000000"/>
          <w:vertAlign w:val="superscript"/>
        </w:rPr>
        <w:t>-1</w:t>
      </w:r>
      <w:r>
        <w:rPr>
          <w:color w:themeColor="text1" w:val="000000"/>
        </w:rPr>
        <w:t>), total inflow and outflow TP loads (QTP</w:t>
      </w:r>
      <w:r>
        <w:rPr>
          <w:color w:themeColor="text1" w:val="000000"/>
          <w:vertAlign w:val="subscript"/>
        </w:rPr>
        <w:t>IN</w:t>
      </w:r>
      <w:r>
        <w:rPr>
          <w:color w:themeColor="text1" w:val="000000"/>
        </w:rPr>
        <w:t xml:space="preserve"> and QTP</w:t>
      </w:r>
      <w:r>
        <w:rPr>
          <w:color w:themeColor="text1" w:val="000000"/>
          <w:vertAlign w:val="subscript"/>
        </w:rPr>
        <w:t>OUT</w:t>
      </w:r>
      <w:r>
        <w:rPr>
          <w:color w:themeColor="text1" w:val="000000"/>
        </w:rPr>
        <w:t>;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the percentage of QTP</w:t>
      </w:r>
      <w:r>
        <w:rPr>
          <w:color w:themeColor="text1" w:val="000000"/>
          <w:vertAlign w:val="subscript"/>
        </w:rPr>
        <w:t>IN</w:t>
      </w:r>
      <w:r>
        <w:rPr>
          <w:color w:themeColor="text1" w:val="000000"/>
        </w:rPr>
        <w:t xml:space="preserve"> removed, the average and standard deviation of the outflow TP concentration from data ([TP]</w:t>
      </w:r>
      <w:r>
        <w:rPr>
          <w:color w:themeColor="text1" w:val="000000"/>
          <w:vertAlign w:val="subscript"/>
        </w:rPr>
        <w:t>OUT</w:t>
      </w:r>
      <w:r>
        <w:rPr>
          <w:color w:themeColor="text1" w:val="000000"/>
        </w:rPr>
        <w:t xml:space="preserve"> Data; g P m</w:t>
      </w:r>
      <w:r>
        <w:rPr>
          <w:color w:themeColor="text1" w:val="000000"/>
          <w:vertAlign w:val="superscript"/>
        </w:rPr>
        <w:t>-3</w:t>
      </w:r>
      <w:r>
        <w:rPr>
          <w:color w:themeColor="text1" w:val="000000"/>
        </w:rPr>
        <w:t>), the average outflow TP concentration from the BGC Model ([TP]</w:t>
      </w:r>
      <w:r>
        <w:rPr>
          <w:color w:themeColor="text1" w:val="000000"/>
          <w:vertAlign w:val="subscript"/>
        </w:rPr>
        <w:t>OUT</w:t>
      </w:r>
      <w:r>
        <w:rPr>
          <w:color w:themeColor="text1" w:val="000000"/>
        </w:rPr>
        <w:t xml:space="preserve"> Model; g P m</w:t>
      </w:r>
      <w:r>
        <w:rPr>
          <w:color w:themeColor="text1" w:val="000000"/>
          <w:vertAlign w:val="superscript"/>
        </w:rPr>
        <w:t>-3</w:t>
      </w:r>
      <w:r>
        <w:rPr>
          <w:color w:themeColor="text1" w:val="000000"/>
        </w:rPr>
        <w:t>), and the water column TP concentration from the BGC Model (TP</w:t>
      </w:r>
      <w:r>
        <w:rPr>
          <w:color w:themeColor="text1" w:val="000000"/>
          <w:vertAlign w:val="subscript"/>
        </w:rPr>
        <w:t>W</w:t>
      </w:r>
      <w:r>
        <w:rPr>
          <w:color w:themeColor="text1" w:val="000000"/>
        </w:rPr>
        <w:t>; g P m</w:t>
      </w:r>
      <w:r>
        <w:rPr>
          <w:color w:themeColor="text1" w:val="000000"/>
          <w:vertAlign w:val="superscript"/>
        </w:rPr>
        <w:t>-3</w:t>
      </w:r>
      <w:r>
        <w:rPr>
          <w:color w:themeColor="text1" w:val="000000"/>
        </w:rPr>
        <w:t xml:space="preserve">). </w:t>
      </w:r>
    </w:p>
    <w:p>
      <w:pPr>
        <w:pStyle w:val="Normal"/>
        <w:rPr>
          <w:color w:themeColor="text1" w:val="000000"/>
        </w:rPr>
      </w:pPr>
      <w:r>
        <w:rPr/>
        <w:drawing>
          <wp:inline distT="0" distB="0" distL="0" distR="0">
            <wp:extent cx="9126855" cy="2461260"/>
            <wp:effectExtent l="0" t="0" r="0" b="0"/>
            <wp:docPr id="127"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3" descr=""/>
                    <pic:cNvPicPr>
                      <a:picLocks noChangeAspect="1" noChangeArrowheads="1"/>
                    </pic:cNvPicPr>
                  </pic:nvPicPr>
                  <pic:blipFill>
                    <a:blip r:embed="rId134"/>
                    <a:stretch>
                      <a:fillRect/>
                    </a:stretch>
                  </pic:blipFill>
                  <pic:spPr bwMode="auto">
                    <a:xfrm>
                      <a:off x="0" y="0"/>
                      <a:ext cx="9126855" cy="2461260"/>
                    </a:xfrm>
                    <a:prstGeom prst="rect">
                      <a:avLst/>
                    </a:prstGeom>
                  </pic:spPr>
                </pic:pic>
              </a:graphicData>
            </a:graphic>
          </wp:inline>
        </w:drawing>
      </w:r>
    </w:p>
    <w:p>
      <w:pPr>
        <w:sectPr>
          <w:headerReference w:type="default" r:id="rId135"/>
          <w:headerReference w:type="first" r:id="rId136"/>
          <w:footerReference w:type="default" r:id="rId137"/>
          <w:footerReference w:type="first" r:id="rId138"/>
          <w:type w:val="nextPage"/>
          <w:pgSz w:orient="landscape" w:w="15840" w:h="12240"/>
          <w:pgMar w:left="720" w:right="720" w:gutter="0" w:header="576" w:top="720" w:footer="576" w:bottom="720"/>
          <w:pgNumType w:fmt="decimal"/>
          <w:formProt w:val="false"/>
          <w:titlePg/>
          <w:textDirection w:val="lrTb"/>
          <w:docGrid w:type="default" w:linePitch="299" w:charSpace="0"/>
        </w:sectPr>
        <w:pStyle w:val="Normal"/>
        <w:rPr>
          <w:color w:themeColor="text1" w:val="000000"/>
        </w:rPr>
      </w:pPr>
      <w:r>
        <w:rPr>
          <w:color w:themeColor="text1" w:val="000000"/>
        </w:rPr>
      </w:r>
    </w:p>
    <w:p>
      <w:pPr>
        <w:pStyle w:val="Normal"/>
        <w:rPr>
          <w:color w:themeColor="text1" w:val="000000"/>
        </w:rPr>
      </w:pPr>
      <w:r>
        <w:rPr>
          <w:color w:themeColor="text1" w:val="000000"/>
        </w:rPr>
        <mc:AlternateContent>
          <mc:Choice Requires="wps">
            <w:drawing>
              <wp:anchor behindDoc="0" distT="40640" distB="66040" distL="109220" distR="128270" simplePos="0" locked="0" layoutInCell="0" allowOverlap="1" relativeHeight="76" wp14:anchorId="76D2853C">
                <wp:simplePos x="0" y="0"/>
                <wp:positionH relativeFrom="margin">
                  <wp:posOffset>38100</wp:posOffset>
                </wp:positionH>
                <wp:positionV relativeFrom="margin">
                  <wp:align>top</wp:align>
                </wp:positionV>
                <wp:extent cx="5943600" cy="8204200"/>
                <wp:effectExtent l="5080" t="5080" r="5080" b="5080"/>
                <wp:wrapSquare wrapText="bothSides"/>
                <wp:docPr id="136" name="Text Box 2"/>
                <a:graphic xmlns:a="http://schemas.openxmlformats.org/drawingml/2006/main">
                  <a:graphicData uri="http://schemas.microsoft.com/office/word/2010/wordprocessingShape">
                    <wps:wsp>
                      <wps:cNvSpPr/>
                      <wps:spPr>
                        <a:xfrm>
                          <a:off x="0" y="0"/>
                          <a:ext cx="5943600" cy="8204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4685030" cy="6286500"/>
                                  <wp:effectExtent l="0" t="0" r="0" b="0"/>
                                  <wp:docPr id="138" name="Picture 3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34" descr="A close-up of a graph&#10;&#10;Description automatically generated"/>
                                          <pic:cNvPicPr>
                                            <a:picLocks noChangeAspect="1" noChangeArrowheads="1"/>
                                          </pic:cNvPicPr>
                                        </pic:nvPicPr>
                                        <pic:blipFill>
                                          <a:blip r:embed="rId139"/>
                                          <a:stretch>
                                            <a:fillRect/>
                                          </a:stretch>
                                        </pic:blipFill>
                                        <pic:spPr bwMode="auto">
                                          <a:xfrm>
                                            <a:off x="0" y="0"/>
                                            <a:ext cx="4685030" cy="6286500"/>
                                          </a:xfrm>
                                          <a:prstGeom prst="rect">
                                            <a:avLst/>
                                          </a:prstGeom>
                                        </pic:spPr>
                                      </pic:pic>
                                    </a:graphicData>
                                  </a:graphic>
                                </wp:inline>
                              </w:drawing>
                            </w:r>
                          </w:p>
                          <w:p>
                            <w:pPr>
                              <w:pStyle w:val="Caption"/>
                              <w:widowControl/>
                              <w:bidi w:val="0"/>
                              <w:spacing w:lineRule="auto" w:line="276" w:before="0" w:after="60"/>
                              <w:jc w:val="center"/>
                              <w:rPr/>
                            </w:pPr>
                            <w:bookmarkStart w:id="108" w:name="_Toc18180266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24</w:t>
                            </w:r>
                            <w:r>
                              <w:rPr/>
                              <w:fldChar w:fldCharType="end"/>
                            </w:r>
                            <w:r>
                              <w:rPr/>
                              <w:t>28.  Scatter plots and linear regressions between total annual TP loading (QTP</w:t>
                            </w:r>
                            <w:r>
                              <w:rPr>
                                <w:vertAlign w:val="subscript"/>
                              </w:rPr>
                              <w:t>IN</w:t>
                            </w:r>
                            <w:r>
                              <w:rPr/>
                              <w:t>; g P m-2 y</w:t>
                            </w:r>
                            <w:r>
                              <w:rPr>
                                <w:vertAlign w:val="superscript"/>
                              </w:rPr>
                              <w:t>-1</w:t>
                            </w:r>
                            <w:r>
                              <w:rPr/>
                              <w:t>) and both the TP concentration of BGC Model water column (TPW; left axis; open circles; solid line) and the outflow ([TP]</w:t>
                            </w:r>
                            <w:r>
                              <w:rPr>
                                <w:vertAlign w:val="subscript"/>
                              </w:rPr>
                              <w:t>OUT</w:t>
                            </w:r>
                            <w:r>
                              <w:rPr/>
                              <w:t>; right axis; solid squares; dashed line.  (A) Results when k</w:t>
                            </w:r>
                            <w:r>
                              <w:rPr>
                                <w:vertAlign w:val="subscript"/>
                              </w:rPr>
                              <w:t>DOPSWX</w:t>
                            </w:r>
                            <w:r>
                              <w:rPr/>
                              <w:t xml:space="preserve"> was 0.001 d</w:t>
                            </w:r>
                            <w:r>
                              <w:rPr>
                                <w:vertAlign w:val="superscript"/>
                              </w:rPr>
                              <w:t>-1</w:t>
                            </w:r>
                            <w:r>
                              <w:rPr/>
                              <w:t>.  (B) Results when k</w:t>
                            </w:r>
                            <w:r>
                              <w:rPr>
                                <w:vertAlign w:val="subscript"/>
                              </w:rPr>
                              <w:t>DOPSWX</w:t>
                            </w:r>
                            <w:r>
                              <w:rPr/>
                              <w:t xml:space="preserve"> was 0.003 d</w:t>
                            </w:r>
                            <w:r>
                              <w:rPr>
                                <w:vertAlign w:val="superscript"/>
                              </w:rPr>
                              <w:t>-1</w:t>
                            </w:r>
                            <w:r>
                              <w:rPr/>
                              <w:t>.  (C) Results when k</w:t>
                            </w:r>
                            <w:r>
                              <w:rPr>
                                <w:vertAlign w:val="subscript"/>
                              </w:rPr>
                              <w:t>DOPSWX</w:t>
                            </w:r>
                            <w:r>
                              <w:rPr/>
                              <w:t xml:space="preserve"> was 0.005 d</w:t>
                            </w:r>
                            <w:r>
                              <w:rPr>
                                <w:vertAlign w:val="superscript"/>
                              </w:rPr>
                              <w:t>-1</w:t>
                            </w:r>
                            <w:r>
                              <w:rPr/>
                              <w:t xml:space="preserve">.  Included are the regression coefficient and parameter values.  The most optimal scenario is highlighted in </w:t>
                            </w:r>
                            <w:r>
                              <w:rPr>
                                <w:color w:val="FF0000"/>
                              </w:rPr>
                              <w:t>red</w:t>
                            </w:r>
                            <w:r>
                              <w:rPr/>
                              <w:t>.</w:t>
                            </w:r>
                            <w:bookmarkEnd w:id="108"/>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3pt;margin-top:3.2pt;width:467.95pt;height:645.95pt;mso-wrap-style:square;v-text-anchor:top;mso-position-horizontal-relative:margin;mso-position-vertical:top;mso-position-vertical-relative:margin" wp14:anchorId="76D2853C">
                <v:fill o:detectmouseclick="t" type="solid" color2="black"/>
                <v:stroke color="black" weight="9360" joinstyle="miter" endcap="flat"/>
                <v:textbox>
                  <w:txbxContent>
                    <w:p>
                      <w:pPr>
                        <w:pStyle w:val="FrameContents"/>
                        <w:jc w:val="center"/>
                        <w:rPr/>
                      </w:pPr>
                      <w:r>
                        <w:rPr/>
                        <w:drawing>
                          <wp:inline distT="0" distB="0" distL="0" distR="0">
                            <wp:extent cx="4685030" cy="6286500"/>
                            <wp:effectExtent l="0" t="0" r="0" b="0"/>
                            <wp:docPr id="139" name="Picture 3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4" descr="A close-up of a graph&#10;&#10;Description automatically generated"/>
                                    <pic:cNvPicPr>
                                      <a:picLocks noChangeAspect="1" noChangeArrowheads="1"/>
                                    </pic:cNvPicPr>
                                  </pic:nvPicPr>
                                  <pic:blipFill>
                                    <a:blip r:embed="rId140"/>
                                    <a:stretch>
                                      <a:fillRect/>
                                    </a:stretch>
                                  </pic:blipFill>
                                  <pic:spPr bwMode="auto">
                                    <a:xfrm>
                                      <a:off x="0" y="0"/>
                                      <a:ext cx="4685030" cy="6286500"/>
                                    </a:xfrm>
                                    <a:prstGeom prst="rect">
                                      <a:avLst/>
                                    </a:prstGeom>
                                  </pic:spPr>
                                </pic:pic>
                              </a:graphicData>
                            </a:graphic>
                          </wp:inline>
                        </w:drawing>
                      </w:r>
                    </w:p>
                    <w:p>
                      <w:pPr>
                        <w:pStyle w:val="Caption"/>
                        <w:widowControl/>
                        <w:bidi w:val="0"/>
                        <w:spacing w:lineRule="auto" w:line="276" w:before="0" w:after="60"/>
                        <w:jc w:val="center"/>
                        <w:rPr/>
                      </w:pPr>
                      <w:bookmarkStart w:id="109" w:name="_Toc18180266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24</w:t>
                      </w:r>
                      <w:r>
                        <w:rPr/>
                        <w:fldChar w:fldCharType="end"/>
                      </w:r>
                      <w:r>
                        <w:rPr/>
                        <w:t>28.  Scatter plots and linear regressions between total annual TP loading (QTP</w:t>
                      </w:r>
                      <w:r>
                        <w:rPr>
                          <w:vertAlign w:val="subscript"/>
                        </w:rPr>
                        <w:t>IN</w:t>
                      </w:r>
                      <w:r>
                        <w:rPr/>
                        <w:t>; g P m-2 y</w:t>
                      </w:r>
                      <w:r>
                        <w:rPr>
                          <w:vertAlign w:val="superscript"/>
                        </w:rPr>
                        <w:t>-1</w:t>
                      </w:r>
                      <w:r>
                        <w:rPr/>
                        <w:t>) and both the TP concentration of BGC Model water column (TPW; left axis; open circles; solid line) and the outflow ([TP]</w:t>
                      </w:r>
                      <w:r>
                        <w:rPr>
                          <w:vertAlign w:val="subscript"/>
                        </w:rPr>
                        <w:t>OUT</w:t>
                      </w:r>
                      <w:r>
                        <w:rPr/>
                        <w:t>; right axis; solid squares; dashed line.  (A) Results when k</w:t>
                      </w:r>
                      <w:r>
                        <w:rPr>
                          <w:vertAlign w:val="subscript"/>
                        </w:rPr>
                        <w:t>DOPSWX</w:t>
                      </w:r>
                      <w:r>
                        <w:rPr/>
                        <w:t xml:space="preserve"> was 0.001 d</w:t>
                      </w:r>
                      <w:r>
                        <w:rPr>
                          <w:vertAlign w:val="superscript"/>
                        </w:rPr>
                        <w:t>-1</w:t>
                      </w:r>
                      <w:r>
                        <w:rPr/>
                        <w:t>.  (B) Results when k</w:t>
                      </w:r>
                      <w:r>
                        <w:rPr>
                          <w:vertAlign w:val="subscript"/>
                        </w:rPr>
                        <w:t>DOPSWX</w:t>
                      </w:r>
                      <w:r>
                        <w:rPr/>
                        <w:t xml:space="preserve"> was 0.003 d</w:t>
                      </w:r>
                      <w:r>
                        <w:rPr>
                          <w:vertAlign w:val="superscript"/>
                        </w:rPr>
                        <w:t>-1</w:t>
                      </w:r>
                      <w:r>
                        <w:rPr/>
                        <w:t>.  (C) Results when k</w:t>
                      </w:r>
                      <w:r>
                        <w:rPr>
                          <w:vertAlign w:val="subscript"/>
                        </w:rPr>
                        <w:t>DOPSWX</w:t>
                      </w:r>
                      <w:r>
                        <w:rPr/>
                        <w:t xml:space="preserve"> was 0.005 d</w:t>
                      </w:r>
                      <w:r>
                        <w:rPr>
                          <w:vertAlign w:val="superscript"/>
                        </w:rPr>
                        <w:t>-1</w:t>
                      </w:r>
                      <w:r>
                        <w:rPr/>
                        <w:t xml:space="preserve">.  Included are the regression coefficient and parameter values.  The most optimal scenario is highlighted in </w:t>
                      </w:r>
                      <w:r>
                        <w:rPr>
                          <w:color w:val="FF0000"/>
                        </w:rPr>
                        <w:t>red</w:t>
                      </w:r>
                      <w:r>
                        <w:rPr/>
                        <w:t>.</w:t>
                      </w:r>
                      <w:bookmarkEnd w:id="109"/>
                    </w:p>
                  </w:txbxContent>
                </v:textbox>
                <w10:wrap type="square"/>
              </v:rect>
            </w:pict>
          </mc:Fallback>
        </mc:AlternateContent>
      </w:r>
    </w:p>
    <w:p>
      <w:pPr>
        <w:pStyle w:val="Heading2"/>
        <w:rPr/>
      </w:pPr>
      <w:bookmarkStart w:id="110" w:name="_Hlk170315620"/>
      <w:bookmarkStart w:id="111" w:name="_Toc182252507"/>
      <w:r>
        <w:rPr/>
        <w:t>Summary &amp; Significance</w:t>
      </w:r>
      <w:bookmarkEnd w:id="111"/>
    </w:p>
    <w:p>
      <w:pPr>
        <w:pStyle w:val="Normal"/>
        <w:rPr>
          <w:color w:themeColor="text1" w:val="000000"/>
        </w:rPr>
      </w:pPr>
      <w:r>
        <w:rPr>
          <w:color w:themeColor="text1" w:val="000000"/>
        </w:rPr>
        <w:t xml:space="preserve">The BGC Model was developed in three Phases to integrate accumulated STA data and information, simulate patterns of and changes in the internal P biogeochemical concentrations, and evaluate wetland TP loading and removal at the flow-way scale.  The model was based on a 744 hectare, cattail dominated flow-way with a comprehensive empirical database which removes ~86% of incoming TP annually (STA2 FW1).  It evolved from the initial conceptualization (Phase I) into a first-generation mathematical model to simulate changes in P concentrations among the water, periphyton, SAV, Typha, and soils from 1/1/2005 to 12/31/2020 (Phase II).  A Hydrologic Model and equation syntax to ensure mass balance were added so the simulated P concentrations could be calibrated, validated, and tested (Phase III).  </w:t>
      </w:r>
    </w:p>
    <w:p>
      <w:pPr>
        <w:pStyle w:val="Normal"/>
        <w:rPr>
          <w:color w:themeColor="text1" w:val="000000"/>
        </w:rPr>
      </w:pPr>
      <w:r>
        <w:rPr>
          <w:color w:themeColor="text1" w:val="000000"/>
        </w:rPr>
        <w:t>The BGC Model results were sensitive to changes in several parameters.  These included the periphyton C:P ratio (CP</w:t>
      </w:r>
      <w:r>
        <w:rPr>
          <w:color w:themeColor="text1" w:val="000000"/>
          <w:vertAlign w:val="subscript"/>
        </w:rPr>
        <w:t>PERI</w:t>
      </w:r>
      <w:r>
        <w:rPr>
          <w:color w:themeColor="text1" w:val="000000"/>
        </w:rPr>
        <w:t>; g C g P</w:t>
      </w:r>
      <w:r>
        <w:rPr>
          <w:color w:themeColor="text1" w:val="000000"/>
          <w:vertAlign w:val="superscript"/>
        </w:rPr>
        <w:t>-1</w:t>
      </w:r>
      <w:r>
        <w:rPr>
          <w:color w:themeColor="text1" w:val="000000"/>
        </w:rPr>
        <w:t>), the maximum periphyton photosynthetic rate (P</w:t>
      </w:r>
      <w:r>
        <w:rPr>
          <w:color w:themeColor="text1" w:val="000000"/>
          <w:vertAlign w:val="subscript"/>
        </w:rPr>
        <w:t>MXPERI</w:t>
      </w:r>
      <w:r>
        <w:rPr>
          <w:color w:themeColor="text1" w:val="000000"/>
        </w:rPr>
        <w:t>; d</w:t>
      </w:r>
      <w:r>
        <w:rPr>
          <w:color w:themeColor="text1" w:val="000000"/>
          <w:vertAlign w:val="superscript"/>
        </w:rPr>
        <w:t>-1</w:t>
      </w:r>
      <w:r>
        <w:rPr>
          <w:color w:themeColor="text1" w:val="000000"/>
        </w:rPr>
        <w:t>) and biomass (C</w:t>
      </w:r>
      <w:r>
        <w:rPr>
          <w:color w:themeColor="text1" w:val="000000"/>
          <w:vertAlign w:val="subscript"/>
        </w:rPr>
        <w:t>MXPER</w:t>
      </w:r>
      <w:r>
        <w:rPr>
          <w:color w:themeColor="text1" w:val="000000"/>
        </w:rPr>
        <w:t>I; g C m</w:t>
      </w:r>
      <w:r>
        <w:rPr>
          <w:color w:themeColor="text1" w:val="000000"/>
          <w:vertAlign w:val="superscript"/>
        </w:rPr>
        <w:t>-2</w:t>
      </w:r>
      <w:r>
        <w:rPr>
          <w:color w:themeColor="text1" w:val="000000"/>
        </w:rPr>
        <w:t>), the rates of remineralization (k</w:t>
      </w:r>
      <w:r>
        <w:rPr>
          <w:color w:themeColor="text1" w:val="000000"/>
          <w:vertAlign w:val="subscript"/>
        </w:rPr>
        <w:t>REM</w:t>
      </w:r>
      <w:r>
        <w:rPr>
          <w:color w:themeColor="text1" w:val="000000"/>
        </w:rPr>
        <w:t>; d</w:t>
      </w:r>
      <w:r>
        <w:rPr>
          <w:color w:themeColor="text1" w:val="000000"/>
          <w:vertAlign w:val="superscript"/>
        </w:rPr>
        <w:t>-1</w:t>
      </w:r>
      <w:r>
        <w:rPr>
          <w:color w:themeColor="text1" w:val="000000"/>
        </w:rPr>
        <w:t>) and photolysis (k</w:t>
      </w:r>
      <w:r>
        <w:rPr>
          <w:color w:themeColor="text1" w:val="000000"/>
          <w:vertAlign w:val="subscript"/>
        </w:rPr>
        <w:t>PHT</w:t>
      </w:r>
      <w:r>
        <w:rPr>
          <w:color w:themeColor="text1" w:val="000000"/>
        </w:rPr>
        <w:t>; d</w:t>
      </w:r>
      <w:r>
        <w:rPr>
          <w:color w:themeColor="text1" w:val="000000"/>
          <w:vertAlign w:val="superscript"/>
        </w:rPr>
        <w:t>-1</w:t>
      </w:r>
      <w:r>
        <w:rPr>
          <w:color w:themeColor="text1" w:val="000000"/>
        </w:rPr>
        <w:t>) of DOP, the maximum Typha shoot biomass (C</w:t>
      </w:r>
      <w:r>
        <w:rPr>
          <w:color w:themeColor="text1" w:val="000000"/>
          <w:vertAlign w:val="subscript"/>
        </w:rPr>
        <w:t>MXEAV</w:t>
      </w:r>
      <w:r>
        <w:rPr>
          <w:color w:themeColor="text1" w:val="000000"/>
        </w:rPr>
        <w:t>; g C m</w:t>
      </w:r>
      <w:r>
        <w:rPr>
          <w:color w:themeColor="text1" w:val="000000"/>
          <w:vertAlign w:val="superscript"/>
        </w:rPr>
        <w:t>-2</w:t>
      </w:r>
      <w:r>
        <w:rPr>
          <w:color w:themeColor="text1" w:val="000000"/>
        </w:rPr>
        <w:t>), and the rates of dissolved DOP and DIP efflux from the soil to the water (k</w:t>
      </w:r>
      <w:r>
        <w:rPr>
          <w:color w:themeColor="text1" w:val="000000"/>
          <w:vertAlign w:val="subscript"/>
        </w:rPr>
        <w:t>DOPSWX</w:t>
      </w:r>
      <w:r>
        <w:rPr>
          <w:color w:themeColor="text1" w:val="000000"/>
        </w:rPr>
        <w:t xml:space="preserve"> and k</w:t>
      </w:r>
      <w:r>
        <w:rPr>
          <w:color w:themeColor="text1" w:val="000000"/>
          <w:vertAlign w:val="subscript"/>
        </w:rPr>
        <w:t>DIPSWX</w:t>
      </w:r>
      <w:r>
        <w:rPr>
          <w:color w:themeColor="text1" w:val="000000"/>
        </w:rPr>
        <w:t>; d</w:t>
      </w:r>
      <w:r>
        <w:rPr>
          <w:color w:themeColor="text1" w:val="000000"/>
          <w:vertAlign w:val="superscript"/>
        </w:rPr>
        <w:t>-1</w:t>
      </w:r>
      <w:r>
        <w:rPr>
          <w:color w:themeColor="text1" w:val="000000"/>
        </w:rPr>
        <w:t>). Each of these were adjusted during extensive calibration and sensitivity analyses to generate lowest average TP</w:t>
      </w:r>
      <w:r>
        <w:rPr>
          <w:color w:themeColor="text1" w:val="000000"/>
          <w:vertAlign w:val="subscript"/>
        </w:rPr>
        <w:t>W</w:t>
      </w:r>
      <w:r>
        <w:rPr>
          <w:color w:themeColor="text1" w:val="000000"/>
        </w:rPr>
        <w:t xml:space="preserve"> concentrations.  The resulting Phase III BGC Model was used to generate the daily time series of P concentrations and calculate the grand averages for comparison to the empirical targets (Figure 2-26).  P</w:t>
      </w:r>
      <w:r>
        <w:rPr>
          <w:color w:themeColor="text1" w:val="000000"/>
          <w:vertAlign w:val="subscript"/>
        </w:rPr>
        <w:t>EAVSH</w:t>
      </w:r>
      <w:r>
        <w:rPr>
          <w:color w:themeColor="text1" w:val="000000"/>
        </w:rPr>
        <w:t>,, P</w:t>
      </w:r>
      <w:r>
        <w:rPr>
          <w:color w:themeColor="text1" w:val="000000"/>
          <w:vertAlign w:val="subscript"/>
        </w:rPr>
        <w:t>LITTER</w:t>
      </w:r>
      <w:r>
        <w:rPr>
          <w:color w:themeColor="text1" w:val="000000"/>
        </w:rPr>
        <w:t>, P</w:t>
      </w:r>
      <w:r>
        <w:rPr>
          <w:color w:themeColor="text1" w:val="000000"/>
          <w:vertAlign w:val="subscript"/>
        </w:rPr>
        <w:t>FLOC</w:t>
      </w:r>
      <w:r>
        <w:rPr>
          <w:color w:themeColor="text1" w:val="000000"/>
        </w:rPr>
        <w:t>, and POP</w:t>
      </w:r>
      <w:r>
        <w:rPr>
          <w:color w:themeColor="text1" w:val="000000"/>
          <w:vertAlign w:val="subscript"/>
        </w:rPr>
        <w:t>S</w:t>
      </w:r>
      <w:r>
        <w:rPr>
          <w:color w:themeColor="text1" w:val="000000"/>
        </w:rPr>
        <w:t xml:space="preserve"> ranged from 0.5-4.0 g P m</w:t>
      </w:r>
      <w:r>
        <w:rPr>
          <w:color w:themeColor="text1" w:val="000000"/>
          <w:vertAlign w:val="superscript"/>
        </w:rPr>
        <w:t>-2</w:t>
      </w:r>
      <w:r>
        <w:rPr>
          <w:color w:themeColor="text1" w:val="000000"/>
        </w:rPr>
        <w:t xml:space="preserve"> over the fifteen water years (5/1/2005 to 4/30/2020 ).  P</w:t>
      </w:r>
      <w:r>
        <w:rPr>
          <w:color w:themeColor="text1" w:val="000000"/>
          <w:vertAlign w:val="subscript"/>
        </w:rPr>
        <w:t>PERI</w:t>
      </w:r>
      <w:r>
        <w:rPr>
          <w:color w:themeColor="text1" w:val="000000"/>
        </w:rPr>
        <w:t>, P</w:t>
      </w:r>
      <w:r>
        <w:rPr>
          <w:color w:themeColor="text1" w:val="000000"/>
          <w:vertAlign w:val="subscript"/>
        </w:rPr>
        <w:t>EAVRR</w:t>
      </w:r>
      <w:r>
        <w:rPr>
          <w:color w:themeColor="text1" w:val="000000"/>
        </w:rPr>
        <w:t>, P</w:t>
      </w:r>
      <w:r>
        <w:rPr>
          <w:color w:themeColor="text1" w:val="000000"/>
          <w:vertAlign w:val="subscript"/>
        </w:rPr>
        <w:t>SAV</w:t>
      </w:r>
      <w:r>
        <w:rPr>
          <w:color w:themeColor="text1" w:val="000000"/>
        </w:rPr>
        <w:t>, DOP</w:t>
      </w:r>
      <w:r>
        <w:rPr>
          <w:color w:themeColor="text1" w:val="000000"/>
          <w:vertAlign w:val="subscript"/>
        </w:rPr>
        <w:t>S</w:t>
      </w:r>
      <w:r>
        <w:rPr>
          <w:color w:themeColor="text1" w:val="000000"/>
        </w:rPr>
        <w:t>, DIP</w:t>
      </w:r>
      <w:r>
        <w:rPr>
          <w:color w:themeColor="text1" w:val="000000"/>
          <w:vertAlign w:val="subscript"/>
        </w:rPr>
        <w:t>S</w:t>
      </w:r>
      <w:r>
        <w:rPr>
          <w:color w:themeColor="text1" w:val="000000"/>
        </w:rPr>
        <w:t>, and PIP</w:t>
      </w:r>
      <w:r>
        <w:rPr>
          <w:color w:themeColor="text1" w:val="000000"/>
          <w:vertAlign w:val="subscript"/>
        </w:rPr>
        <w:t>S</w:t>
      </w:r>
      <w:r>
        <w:rPr>
          <w:color w:themeColor="text1" w:val="000000"/>
        </w:rPr>
        <w:t xml:space="preserve"> ranged from 0.01-0.75 g P m</w:t>
      </w:r>
      <w:r>
        <w:rPr>
          <w:color w:themeColor="text1" w:val="000000"/>
          <w:vertAlign w:val="superscript"/>
        </w:rPr>
        <w:t>-2</w:t>
      </w:r>
      <w:r>
        <w:rPr>
          <w:color w:themeColor="text1" w:val="000000"/>
        </w:rPr>
        <w:t>.  Finally, P</w:t>
      </w:r>
      <w:r>
        <w:rPr>
          <w:color w:themeColor="text1" w:val="000000"/>
          <w:vertAlign w:val="subscript"/>
        </w:rPr>
        <w:t>PHYTO</w:t>
      </w:r>
      <w:r>
        <w:rPr>
          <w:color w:themeColor="text1" w:val="000000"/>
        </w:rPr>
        <w:t>, POP</w:t>
      </w:r>
      <w:r>
        <w:rPr>
          <w:color w:themeColor="text1" w:val="000000"/>
          <w:vertAlign w:val="subscript"/>
        </w:rPr>
        <w:t>W</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PIP</w:t>
      </w:r>
      <w:r>
        <w:rPr>
          <w:color w:themeColor="text1" w:val="000000"/>
          <w:vertAlign w:val="subscript"/>
        </w:rPr>
        <w:t>W</w:t>
      </w:r>
      <w:r>
        <w:rPr>
          <w:color w:themeColor="text1" w:val="000000"/>
        </w:rPr>
        <w:t>, and TP</w:t>
      </w:r>
      <w:r>
        <w:rPr>
          <w:color w:themeColor="text1" w:val="000000"/>
          <w:vertAlign w:val="subscript"/>
        </w:rPr>
        <w:t>W</w:t>
      </w:r>
      <w:r>
        <w:rPr>
          <w:color w:themeColor="text1" w:val="000000"/>
        </w:rPr>
        <w:t xml:space="preserve"> ranged from near zero to ~0.25 g P m</w:t>
      </w:r>
      <w:r>
        <w:rPr>
          <w:color w:themeColor="text1" w:val="000000"/>
          <w:vertAlign w:val="superscript"/>
        </w:rPr>
        <w:t>-3</w:t>
      </w:r>
      <w:r>
        <w:rPr>
          <w:color w:themeColor="text1" w:val="000000"/>
        </w:rPr>
        <w:t>.  All of the phosphorus pools exhibited regular seasonal-annual periodicity except for POP</w:t>
      </w:r>
      <w:r>
        <w:rPr>
          <w:color w:themeColor="text1" w:val="000000"/>
          <w:vertAlign w:val="subscript"/>
        </w:rPr>
        <w:t>W</w:t>
      </w:r>
      <w:r>
        <w:rPr>
          <w:color w:themeColor="text1" w:val="000000"/>
        </w:rPr>
        <w:t xml:space="preserve"> (and thus TP</w:t>
      </w:r>
      <w:r>
        <w:rPr>
          <w:color w:themeColor="text1" w:val="000000"/>
          <w:vertAlign w:val="subscript"/>
        </w:rPr>
        <w:t>W</w:t>
      </w:r>
      <w:r>
        <w:rPr>
          <w:color w:themeColor="text1" w:val="000000"/>
        </w:rPr>
        <w:t>).  The oscillations resulted from the intra-annual variations in temperature indicative of the sub-tropical climate.  While most of the model biogeochemical processes were driven by temperature predicted using a smooth trigonometric function, POP</w:t>
      </w:r>
      <w:r>
        <w:rPr>
          <w:color w:themeColor="text1" w:val="000000"/>
          <w:vertAlign w:val="subscript"/>
        </w:rPr>
        <w:t>W</w:t>
      </w:r>
      <w:r>
        <w:rPr>
          <w:color w:themeColor="text1" w:val="000000"/>
        </w:rPr>
        <w:t xml:space="preserve"> was largely driven by daily changes in depth and sinking from the water column (Figure 2-26).</w:t>
      </w:r>
    </w:p>
    <w:p>
      <w:pPr>
        <w:pStyle w:val="Normal"/>
        <w:rPr>
          <w:color w:themeColor="text1" w:val="000000"/>
        </w:rPr>
      </w:pPr>
      <w:r>
        <w:rPr>
          <w:color w:themeColor="text1" w:val="000000"/>
        </w:rPr>
        <w:t>The series of calibration steps improved the overall agreement between the average model P concentrations and the targets from STA2  FW1 (Table 18).  Model averages for P</w:t>
      </w:r>
      <w:r>
        <w:rPr>
          <w:color w:themeColor="text1" w:val="000000"/>
          <w:vertAlign w:val="subscript"/>
        </w:rPr>
        <w:t>PHYTO</w:t>
      </w:r>
      <w:r>
        <w:rPr>
          <w:color w:themeColor="text1" w:val="000000"/>
        </w:rPr>
        <w:t>, PEAVSH, P</w:t>
      </w:r>
      <w:r>
        <w:rPr>
          <w:color w:themeColor="text1" w:val="000000"/>
          <w:vertAlign w:val="subscript"/>
        </w:rPr>
        <w:t>LITTER</w:t>
      </w:r>
      <w:r>
        <w:rPr>
          <w:color w:themeColor="text1" w:val="000000"/>
        </w:rPr>
        <w:t>, P</w:t>
      </w:r>
      <w:r>
        <w:rPr>
          <w:color w:themeColor="text1" w:val="000000"/>
          <w:vertAlign w:val="subscript"/>
        </w:rPr>
        <w:t>FLOC</w:t>
      </w:r>
      <w:r>
        <w:rPr>
          <w:color w:themeColor="text1" w:val="000000"/>
        </w:rPr>
        <w:t>, P</w:t>
      </w:r>
      <w:r>
        <w:rPr>
          <w:color w:themeColor="text1" w:val="000000"/>
          <w:vertAlign w:val="subscript"/>
        </w:rPr>
        <w:t>EAVRR</w:t>
      </w:r>
      <w:r>
        <w:rPr>
          <w:color w:themeColor="text1" w:val="000000"/>
        </w:rPr>
        <w:t>, P</w:t>
      </w:r>
      <w:r>
        <w:rPr>
          <w:color w:themeColor="text1" w:val="000000"/>
          <w:vertAlign w:val="subscript"/>
        </w:rPr>
        <w:t>SAV</w:t>
      </w:r>
      <w:r>
        <w:rPr>
          <w:color w:themeColor="text1" w:val="000000"/>
        </w:rPr>
        <w:t>,  POP</w:t>
      </w:r>
      <w:r>
        <w:rPr>
          <w:color w:themeColor="text1" w:val="000000"/>
          <w:vertAlign w:val="subscript"/>
        </w:rPr>
        <w:t>S</w:t>
      </w:r>
      <w:r>
        <w:rPr>
          <w:color w:themeColor="text1" w:val="000000"/>
        </w:rPr>
        <w:t>, DIP</w:t>
      </w:r>
      <w:r>
        <w:rPr>
          <w:color w:themeColor="text1" w:val="000000"/>
          <w:vertAlign w:val="subscript"/>
        </w:rPr>
        <w:t>S</w:t>
      </w:r>
      <w:r>
        <w:rPr>
          <w:color w:themeColor="text1" w:val="000000"/>
        </w:rPr>
        <w:t>, and PIP</w:t>
      </w:r>
      <w:r>
        <w:rPr>
          <w:color w:themeColor="text1" w:val="000000"/>
          <w:vertAlign w:val="subscript"/>
        </w:rPr>
        <w:t>S</w:t>
      </w:r>
      <w:r>
        <w:rPr>
          <w:color w:themeColor="text1" w:val="000000"/>
        </w:rPr>
        <w:t xml:space="preserve"> were very similar to the average target concentrations.  The model periphyton (0.12 + 0.02 g P m</w:t>
      </w:r>
      <w:r>
        <w:rPr>
          <w:color w:themeColor="text1" w:val="000000"/>
          <w:vertAlign w:val="superscript"/>
        </w:rPr>
        <w:t>-2</w:t>
      </w:r>
      <w:r>
        <w:rPr>
          <w:color w:themeColor="text1" w:val="000000"/>
        </w:rPr>
        <w:t>) was elevated relative to the empirical average although the periphyton community and biomass vary greatly along the longitudinal axis of the flow-way.  While POP</w:t>
      </w:r>
      <w:r>
        <w:rPr>
          <w:color w:themeColor="text1" w:val="000000"/>
          <w:vertAlign w:val="subscript"/>
        </w:rPr>
        <w:t>W</w:t>
      </w:r>
      <w:r>
        <w:rPr>
          <w:color w:themeColor="text1" w:val="000000"/>
        </w:rPr>
        <w:t xml:space="preserve"> (0.0150 + 0.0357 g P m-3) and DIP</w:t>
      </w:r>
      <w:r>
        <w:rPr>
          <w:color w:themeColor="text1" w:val="000000"/>
          <w:vertAlign w:val="subscript"/>
        </w:rPr>
        <w:t>W</w:t>
      </w:r>
      <w:r>
        <w:rPr>
          <w:color w:themeColor="text1" w:val="000000"/>
        </w:rPr>
        <w:t xml:space="preserve"> (0.0335 + 0.0059 g P m</w:t>
      </w:r>
      <w:r>
        <w:rPr>
          <w:color w:themeColor="text1" w:val="000000"/>
          <w:vertAlign w:val="superscript"/>
        </w:rPr>
        <w:t>-3</w:t>
      </w:r>
      <w:r>
        <w:rPr>
          <w:color w:themeColor="text1" w:val="000000"/>
        </w:rPr>
        <w:t>) were similar to the target P concentrations, model DOP</w:t>
      </w:r>
      <w:r>
        <w:rPr>
          <w:color w:themeColor="text1" w:val="000000"/>
          <w:vertAlign w:val="subscript"/>
        </w:rPr>
        <w:t>W</w:t>
      </w:r>
      <w:r>
        <w:rPr>
          <w:color w:themeColor="text1" w:val="000000"/>
        </w:rPr>
        <w:t xml:space="preserve"> (0.0031 + 0.0037 g P m</w:t>
      </w:r>
      <w:r>
        <w:rPr>
          <w:color w:themeColor="text1" w:val="000000"/>
          <w:vertAlign w:val="superscript"/>
        </w:rPr>
        <w:t>-3</w:t>
      </w:r>
      <w:r>
        <w:rPr>
          <w:color w:themeColor="text1" w:val="000000"/>
        </w:rPr>
        <w:t>) and PIP</w:t>
      </w:r>
      <w:r>
        <w:rPr>
          <w:color w:themeColor="text1" w:val="000000"/>
          <w:vertAlign w:val="subscript"/>
        </w:rPr>
        <w:t>W</w:t>
      </w:r>
      <w:r>
        <w:rPr>
          <w:color w:themeColor="text1" w:val="000000"/>
        </w:rPr>
        <w:t xml:space="preserve"> (0.0022 + 0.0022 g P m</w:t>
      </w:r>
      <w:r>
        <w:rPr>
          <w:color w:themeColor="text1" w:val="000000"/>
          <w:vertAlign w:val="superscript"/>
        </w:rPr>
        <w:t>-3</w:t>
      </w:r>
      <w:r>
        <w:rPr>
          <w:color w:themeColor="text1" w:val="000000"/>
        </w:rPr>
        <w:t>) were greater than the data averages (Table 18).  Model TP</w:t>
      </w:r>
      <w:r>
        <w:rPr>
          <w:color w:themeColor="text1" w:val="000000"/>
          <w:vertAlign w:val="subscript"/>
        </w:rPr>
        <w:t>W</w:t>
      </w:r>
      <w:r>
        <w:rPr>
          <w:color w:themeColor="text1" w:val="000000"/>
        </w:rPr>
        <w:t xml:space="preserve"> was calculated daily by summing each of the four constituents (POP</w:t>
      </w:r>
      <w:r>
        <w:rPr>
          <w:color w:themeColor="text1" w:val="000000"/>
          <w:vertAlign w:val="subscript"/>
        </w:rPr>
        <w:t>W</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PIP</w:t>
      </w:r>
      <w:r>
        <w:rPr>
          <w:color w:themeColor="text1" w:val="000000"/>
          <w:vertAlign w:val="subscript"/>
        </w:rPr>
        <w:t>W</w:t>
      </w:r>
      <w:r>
        <w:rPr>
          <w:color w:themeColor="text1" w:val="000000"/>
        </w:rPr>
        <w:t>) and averaged over the entire 5488-day simulation (0.0974 + 0.0355 g P m</w:t>
      </w:r>
      <w:r>
        <w:rPr>
          <w:color w:themeColor="text1" w:val="000000"/>
          <w:vertAlign w:val="superscript"/>
        </w:rPr>
        <w:t>-3</w:t>
      </w:r>
      <w:r>
        <w:rPr>
          <w:color w:themeColor="text1" w:val="000000"/>
        </w:rPr>
        <w:t>; Table 18).  Despite the redefined targets and parameter adjustments, soil DOP predicted by the model (0.62 + 0.09 g P m</w:t>
      </w:r>
      <w:r>
        <w:rPr>
          <w:color w:themeColor="text1" w:val="000000"/>
          <w:vertAlign w:val="superscript"/>
        </w:rPr>
        <w:t>-2</w:t>
      </w:r>
      <w:r>
        <w:rPr>
          <w:color w:themeColor="text1" w:val="000000"/>
        </w:rPr>
        <w:t>) was approximately three times greater than expected (0.15 + 0.12 g P m</w:t>
      </w:r>
      <w:r>
        <w:rPr>
          <w:color w:themeColor="text1" w:val="000000"/>
          <w:vertAlign w:val="superscript"/>
        </w:rPr>
        <w:t>-2</w:t>
      </w:r>
      <w:r>
        <w:rPr>
          <w:color w:themeColor="text1" w:val="000000"/>
        </w:rPr>
        <w:t xml:space="preserve">).  DOP dynamics were perhaps the most uncertain processes in the BGC Model with implications for understanding potential responses to variable external TP loads (see below).  </w:t>
      </w:r>
    </w:p>
    <w:p>
      <w:pPr>
        <w:pStyle w:val="Normal"/>
        <w:rPr>
          <w:color w:themeColor="text1" w:val="000000"/>
        </w:rPr>
      </w:pPr>
      <w:r>
        <w:rPr>
          <w:color w:themeColor="text1" w:val="000000"/>
        </w:rPr>
        <w:t>The average concentrations of POP</w:t>
      </w:r>
      <w:r>
        <w:rPr>
          <w:color w:themeColor="text1" w:val="000000"/>
          <w:vertAlign w:val="subscript"/>
        </w:rPr>
        <w:t>W</w:t>
      </w:r>
      <w:r>
        <w:rPr>
          <w:color w:themeColor="text1" w:val="000000"/>
        </w:rPr>
        <w:t>, DOP</w:t>
      </w:r>
      <w:r>
        <w:rPr>
          <w:color w:themeColor="text1" w:val="000000"/>
          <w:vertAlign w:val="subscript"/>
        </w:rPr>
        <w:t>W</w:t>
      </w:r>
      <w:r>
        <w:rPr>
          <w:color w:themeColor="text1" w:val="000000"/>
        </w:rPr>
        <w:t>, DIP</w:t>
      </w:r>
      <w:r>
        <w:rPr>
          <w:color w:themeColor="text1" w:val="000000"/>
          <w:vertAlign w:val="subscript"/>
        </w:rPr>
        <w:t>W</w:t>
      </w:r>
      <w:r>
        <w:rPr>
          <w:color w:themeColor="text1" w:val="000000"/>
        </w:rPr>
        <w:t>, PIP</w:t>
      </w:r>
      <w:r>
        <w:rPr>
          <w:color w:themeColor="text1" w:val="000000"/>
          <w:vertAlign w:val="subscript"/>
        </w:rPr>
        <w:t>W</w:t>
      </w:r>
      <w:r>
        <w:rPr>
          <w:color w:themeColor="text1" w:val="000000"/>
        </w:rPr>
        <w:t>, and TP</w:t>
      </w:r>
      <w:r>
        <w:rPr>
          <w:color w:themeColor="text1" w:val="000000"/>
          <w:vertAlign w:val="subscript"/>
        </w:rPr>
        <w:t>W</w:t>
      </w:r>
      <w:r>
        <w:rPr>
          <w:color w:themeColor="text1" w:val="000000"/>
        </w:rPr>
        <w:t xml:space="preserve"> were 0.026, 0.010, 0.024, 0.006, and 0.066 g P m</w:t>
      </w:r>
      <w:r>
        <w:rPr>
          <w:color w:themeColor="text1" w:val="000000"/>
          <w:vertAlign w:val="superscript"/>
        </w:rPr>
        <w:t>-3</w:t>
      </w:r>
      <w:r>
        <w:rPr>
          <w:color w:themeColor="text1" w:val="000000"/>
        </w:rPr>
        <w:t>, respectively (Table 2-19).  POP</w:t>
      </w:r>
      <w:r>
        <w:rPr>
          <w:color w:themeColor="text1" w:val="000000"/>
          <w:vertAlign w:val="subscript"/>
        </w:rPr>
        <w:t>W</w:t>
      </w:r>
      <w:r>
        <w:rPr>
          <w:color w:themeColor="text1" w:val="000000"/>
        </w:rPr>
        <w:t xml:space="preserve"> had greater annual average concentrations the first half of the model time period and was overall more variable than the other three constituents (0.026 + 0.030 g P m-3).  DOP</w:t>
      </w:r>
      <w:r>
        <w:rPr>
          <w:color w:themeColor="text1" w:val="000000"/>
          <w:vertAlign w:val="subscript"/>
        </w:rPr>
        <w:t>W</w:t>
      </w:r>
      <w:r>
        <w:rPr>
          <w:color w:themeColor="text1" w:val="000000"/>
        </w:rPr>
        <w:t xml:space="preserve"> (0.010 + 0.003 g P m-3) and PIP</w:t>
      </w:r>
      <w:r>
        <w:rPr>
          <w:color w:themeColor="text1" w:val="000000"/>
          <w:vertAlign w:val="subscript"/>
        </w:rPr>
        <w:t>W</w:t>
      </w:r>
      <w:r>
        <w:rPr>
          <w:color w:themeColor="text1" w:val="000000"/>
        </w:rPr>
        <w:t xml:space="preserve"> (0.006 + 0.002 g P m</w:t>
      </w:r>
      <w:r>
        <w:rPr>
          <w:color w:themeColor="text1" w:val="000000"/>
          <w:vertAlign w:val="superscript"/>
        </w:rPr>
        <w:t>-3</w:t>
      </w:r>
      <w:r>
        <w:rPr>
          <w:color w:themeColor="text1" w:val="000000"/>
        </w:rPr>
        <w:t>) did not vary greatly .  Average annual DIP</w:t>
      </w:r>
      <w:r>
        <w:rPr>
          <w:color w:themeColor="text1" w:val="000000"/>
          <w:vertAlign w:val="subscript"/>
        </w:rPr>
        <w:t>W</w:t>
      </w:r>
      <w:r>
        <w:rPr>
          <w:color w:themeColor="text1" w:val="000000"/>
        </w:rPr>
        <w:t xml:space="preserve"> ranged from 0.019 + 0.008 g P m-3 (WY2009 and WY2011) to 0.046 + 0.003  g P m</w:t>
      </w:r>
      <w:r>
        <w:rPr>
          <w:color w:themeColor="text1" w:val="000000"/>
          <w:vertAlign w:val="superscript"/>
        </w:rPr>
        <w:t>-3</w:t>
      </w:r>
      <w:r>
        <w:rPr>
          <w:color w:themeColor="text1" w:val="000000"/>
        </w:rPr>
        <w:t xml:space="preserve"> (WY2015).  TP</w:t>
      </w:r>
      <w:r>
        <w:rPr>
          <w:color w:themeColor="text1" w:val="000000"/>
          <w:vertAlign w:val="subscript"/>
        </w:rPr>
        <w:t>W</w:t>
      </w:r>
      <w:r>
        <w:rPr>
          <w:color w:themeColor="text1" w:val="000000"/>
        </w:rPr>
        <w:t xml:space="preserve"> concentrations ranged from a minimum of 0.040 + 0.011 g P m</w:t>
      </w:r>
      <w:r>
        <w:rPr>
          <w:color w:themeColor="text1" w:val="000000"/>
          <w:vertAlign w:val="superscript"/>
        </w:rPr>
        <w:t>-3</w:t>
      </w:r>
      <w:r>
        <w:rPr>
          <w:color w:themeColor="text1" w:val="000000"/>
        </w:rPr>
        <w:t xml:space="preserve"> (WY2016) to  0.118 + 0.085 g P m</w:t>
      </w:r>
      <w:r>
        <w:rPr>
          <w:color w:themeColor="text1" w:val="000000"/>
          <w:vertAlign w:val="superscript"/>
        </w:rPr>
        <w:t>-3</w:t>
      </w:r>
      <w:r>
        <w:rPr>
          <w:color w:themeColor="text1" w:val="000000"/>
        </w:rPr>
        <w:t xml:space="preserve"> (WY2009) when the POP</w:t>
      </w:r>
      <w:r>
        <w:rPr>
          <w:color w:themeColor="text1" w:val="000000"/>
          <w:vertAlign w:val="subscript"/>
        </w:rPr>
        <w:t xml:space="preserve">W </w:t>
      </w:r>
      <w:r>
        <w:rPr>
          <w:color w:themeColor="text1" w:val="000000"/>
        </w:rPr>
        <w:t>concentration was  greatest (0.084 + 0.091 g P m</w:t>
      </w:r>
      <w:r>
        <w:rPr>
          <w:color w:themeColor="text1" w:val="000000"/>
          <w:vertAlign w:val="superscript"/>
        </w:rPr>
        <w:t>-3</w:t>
      </w:r>
      <w:r>
        <w:rPr>
          <w:color w:themeColor="text1" w:val="000000"/>
        </w:rPr>
        <w:t xml:space="preserve">; Table 2-19).  </w:t>
      </w:r>
    </w:p>
    <w:p>
      <w:pPr>
        <w:pStyle w:val="Normal"/>
        <w:rPr>
          <w:color w:themeColor="text1" w:val="000000"/>
        </w:rPr>
      </w:pPr>
      <w:r>
        <w:rPr>
          <w:color w:themeColor="text1" w:val="000000"/>
        </w:rPr>
        <w:t>The model TP</w:t>
      </w:r>
      <w:r>
        <w:rPr>
          <w:color w:themeColor="text1" w:val="000000"/>
          <w:vertAlign w:val="subscript"/>
        </w:rPr>
        <w:t>W</w:t>
      </w:r>
      <w:r>
        <w:rPr>
          <w:color w:themeColor="text1" w:val="000000"/>
        </w:rPr>
        <w:t xml:space="preserve"> concentrations had wide and skewed distributions in multiple water years leading up to WY2011 (Figure 2-27A).  Except for WY2015 and WY2018, the ranges in predicted internal TP</w:t>
      </w:r>
      <w:r>
        <w:rPr>
          <w:color w:themeColor="text1" w:val="000000"/>
          <w:vertAlign w:val="subscript"/>
        </w:rPr>
        <w:t>W</w:t>
      </w:r>
      <w:r>
        <w:rPr>
          <w:color w:themeColor="text1" w:val="000000"/>
        </w:rPr>
        <w:t xml:space="preserve"> narrowed and declined over time.   This was due to the stabilization of depth and POP</w:t>
      </w:r>
      <w:r>
        <w:rPr>
          <w:color w:themeColor="text1" w:val="000000"/>
          <w:vertAlign w:val="subscript"/>
        </w:rPr>
        <w:t>W</w:t>
      </w:r>
      <w:r>
        <w:rPr>
          <w:color w:themeColor="text1" w:val="000000"/>
        </w:rPr>
        <w:t xml:space="preserve"> concentrations in the Validation period from 2013-2020 (Figure 2-11; Figure 2-27).  Average TP</w:t>
      </w:r>
      <w:r>
        <w:rPr>
          <w:color w:themeColor="text1" w:val="000000"/>
          <w:vertAlign w:val="subscript"/>
        </w:rPr>
        <w:t>W</w:t>
      </w:r>
      <w:r>
        <w:rPr>
          <w:color w:themeColor="text1" w:val="000000"/>
        </w:rPr>
        <w:t xml:space="preserve"> was least (&lt;0.06 g P m</w:t>
      </w:r>
      <w:r>
        <w:rPr>
          <w:color w:themeColor="text1" w:val="000000"/>
          <w:vertAlign w:val="superscript"/>
        </w:rPr>
        <w:t>-3</w:t>
      </w:r>
      <w:r>
        <w:rPr>
          <w:color w:themeColor="text1" w:val="000000"/>
        </w:rPr>
        <w:t>) in WY2006, WY2011, WY2014, WY2016, and WY2017 (Figure 28B).  In contrast, TP</w:t>
      </w:r>
      <w:r>
        <w:rPr>
          <w:color w:themeColor="text1" w:val="000000"/>
          <w:vertAlign w:val="subscript"/>
        </w:rPr>
        <w:t>W</w:t>
      </w:r>
      <w:r>
        <w:rPr>
          <w:color w:themeColor="text1" w:val="000000"/>
        </w:rPr>
        <w:t xml:space="preserve"> was greatest (&gt;0.10 g P m</w:t>
      </w:r>
      <w:r>
        <w:rPr>
          <w:color w:themeColor="text1" w:val="000000"/>
          <w:vertAlign w:val="superscript"/>
        </w:rPr>
        <w:t>-3</w:t>
      </w:r>
      <w:r>
        <w:rPr>
          <w:color w:themeColor="text1" w:val="000000"/>
        </w:rPr>
        <w:t>) in WY2008, WY2009, WY2011, WY2015, and WY2018.  It was evaluated relative to hydrologic variables and TP loading to the model flow-way.</w:t>
      </w:r>
    </w:p>
    <w:p>
      <w:pPr>
        <w:pStyle w:val="Normal"/>
        <w:rPr>
          <w:color w:themeColor="text1" w:val="000000"/>
        </w:rPr>
      </w:pPr>
      <w:r>
        <w:rPr>
          <w:color w:themeColor="text1" w:val="000000"/>
        </w:rPr>
        <w:t>The output from the base BGC Model over 15 water years was used to assess the inter-annual variations in and potential correlations among Q</w:t>
      </w:r>
      <w:r>
        <w:rPr>
          <w:color w:themeColor="text1" w:val="000000"/>
          <w:vertAlign w:val="subscript"/>
        </w:rPr>
        <w:t>TP</w:t>
      </w:r>
      <w:r>
        <w:rPr>
          <w:color w:themeColor="text1" w:val="000000"/>
        </w:rPr>
        <w:t xml:space="preserve"> inflow and outflow (g P m</w:t>
      </w:r>
      <w:r>
        <w:rPr>
          <w:color w:themeColor="text1" w:val="000000"/>
          <w:vertAlign w:val="superscript"/>
        </w:rPr>
        <w:t>-2</w:t>
      </w:r>
      <w:r>
        <w:rPr>
          <w:color w:themeColor="text1" w:val="000000"/>
        </w:rPr>
        <w:t xml:space="preserve"> y</w:t>
      </w:r>
      <w:r>
        <w:rPr>
          <w:color w:themeColor="text1" w:val="000000"/>
          <w:vertAlign w:val="superscript"/>
        </w:rPr>
        <w:t>-1</w:t>
      </w:r>
      <w:r>
        <w:rPr>
          <w:color w:themeColor="text1" w:val="000000"/>
        </w:rPr>
        <w:t>), TP</w:t>
      </w:r>
      <w:r>
        <w:rPr>
          <w:color w:themeColor="text1" w:val="000000"/>
          <w:vertAlign w:val="subscript"/>
        </w:rPr>
        <w:t>W</w:t>
      </w:r>
      <w:r>
        <w:rPr>
          <w:color w:themeColor="text1" w:val="000000"/>
        </w:rPr>
        <w:t xml:space="preserve"> (g P m</w:t>
      </w:r>
      <w:r>
        <w:rPr>
          <w:color w:themeColor="text1" w:val="000000"/>
          <w:vertAlign w:val="superscript"/>
        </w:rPr>
        <w:t>-3</w:t>
      </w:r>
      <w:r>
        <w:rPr>
          <w:color w:themeColor="text1" w:val="000000"/>
        </w:rPr>
        <w:t>), depth (m), hydraulic loading rate (HLR; m d</w:t>
      </w:r>
      <w:r>
        <w:rPr>
          <w:color w:themeColor="text1" w:val="000000"/>
          <w:vertAlign w:val="superscript"/>
        </w:rPr>
        <w:t>-1</w:t>
      </w:r>
      <w:r>
        <w:rPr>
          <w:color w:themeColor="text1" w:val="000000"/>
        </w:rPr>
        <w:t>),  and the percentage of Q</w:t>
      </w:r>
      <w:r>
        <w:rPr>
          <w:color w:themeColor="text1" w:val="000000"/>
          <w:vertAlign w:val="subscript"/>
        </w:rPr>
        <w:t>TP</w:t>
      </w:r>
      <w:r>
        <w:rPr>
          <w:color w:themeColor="text1" w:val="000000"/>
        </w:rPr>
        <w:t xml:space="preserve"> removed by the flow-way (Figure 27B; Table 2-20).  Model [TP]</w:t>
      </w:r>
      <w:r>
        <w:rPr>
          <w:color w:themeColor="text1" w:val="000000"/>
          <w:vertAlign w:val="subscript"/>
        </w:rPr>
        <w:t>OUT</w:t>
      </w:r>
      <w:r>
        <w:rPr>
          <w:color w:themeColor="text1" w:val="000000"/>
        </w:rPr>
        <w:t xml:space="preserve"> (g P m</w:t>
      </w:r>
      <w:r>
        <w:rPr>
          <w:color w:themeColor="text1" w:val="000000"/>
          <w:vertAlign w:val="superscript"/>
        </w:rPr>
        <w:t>-3</w:t>
      </w:r>
      <w:r>
        <w:rPr>
          <w:color w:themeColor="text1" w:val="000000"/>
        </w:rPr>
        <w:t>) was calculated annually by dividing the  annual net outgoing TP load (Q</w:t>
      </w:r>
      <w:r>
        <w:rPr>
          <w:color w:themeColor="text1" w:val="000000"/>
          <w:vertAlign w:val="subscript"/>
        </w:rPr>
        <w:t>TPOUT</w:t>
      </w:r>
      <w:r>
        <w:rPr>
          <w:color w:themeColor="text1" w:val="000000"/>
        </w:rPr>
        <w:t>; P m</w:t>
      </w:r>
      <w:r>
        <w:rPr>
          <w:color w:themeColor="text1" w:val="000000"/>
          <w:vertAlign w:val="superscript"/>
        </w:rPr>
        <w:t>-3</w:t>
      </w:r>
      <w:r>
        <w:rPr>
          <w:color w:themeColor="text1" w:val="000000"/>
        </w:rPr>
        <w:t xml:space="preserve"> y</w:t>
      </w:r>
      <w:r>
        <w:rPr>
          <w:color w:themeColor="text1" w:val="000000"/>
          <w:vertAlign w:val="superscript"/>
        </w:rPr>
        <w:t>-1</w:t>
      </w:r>
      <w:r>
        <w:rPr>
          <w:color w:themeColor="text1" w:val="000000"/>
        </w:rPr>
        <w:t>) by the annual net outflow (Q</w:t>
      </w:r>
      <w:r>
        <w:rPr>
          <w:color w:themeColor="text1" w:val="000000"/>
          <w:vertAlign w:val="subscript"/>
        </w:rPr>
        <w:t>OUT</w:t>
      </w:r>
      <w:r>
        <w:rPr>
          <w:color w:themeColor="text1" w:val="000000"/>
        </w:rPr>
        <w:t>; m</w:t>
      </w:r>
      <w:r>
        <w:rPr>
          <w:color w:themeColor="text1" w:val="000000"/>
          <w:vertAlign w:val="superscript"/>
        </w:rPr>
        <w:t>3</w:t>
      </w:r>
      <w:r>
        <w:rPr>
          <w:color w:themeColor="text1" w:val="000000"/>
        </w:rPr>
        <w:t xml:space="preserve"> y</w:t>
      </w:r>
      <w:r>
        <w:rPr>
          <w:color w:themeColor="text1" w:val="000000"/>
          <w:vertAlign w:val="superscript"/>
        </w:rPr>
        <w:t>-1</w:t>
      </w:r>
      <w:r>
        <w:rPr>
          <w:color w:themeColor="text1" w:val="000000"/>
        </w:rPr>
        <w:t>).  The observed [TP]</w:t>
      </w:r>
      <w:r>
        <w:rPr>
          <w:color w:themeColor="text1" w:val="000000"/>
          <w:vertAlign w:val="subscript"/>
        </w:rPr>
        <w:t>OUT</w:t>
      </w:r>
      <w:r>
        <w:rPr>
          <w:color w:themeColor="text1" w:val="000000"/>
        </w:rPr>
        <w:t xml:space="preserve"> was calculated similarly using the outflow and TP load data from structure G335 at the south end of the flow-way for each water year.  Associations among these variables could be used to help optimize TP removal by STA flow-ways and cells.</w:t>
      </w:r>
    </w:p>
    <w:p>
      <w:pPr>
        <w:pStyle w:val="Normal"/>
        <w:rPr>
          <w:color w:themeColor="text1" w:val="000000"/>
        </w:rPr>
      </w:pPr>
      <w:r>
        <w:rPr>
          <w:color w:themeColor="text1" w:val="000000"/>
        </w:rPr>
        <w:t>The maintenance of flow-way depth ~0.5 m promoted more predictable relationships among Q</w:t>
      </w:r>
      <w:r>
        <w:rPr>
          <w:color w:themeColor="text1" w:val="000000"/>
          <w:vertAlign w:val="subscript"/>
        </w:rPr>
        <w:t>TP</w:t>
      </w:r>
      <w:r>
        <w:rPr>
          <w:color w:themeColor="text1" w:val="000000"/>
        </w:rPr>
        <w:t>, HLR, and TP</w:t>
      </w:r>
      <w:r>
        <w:rPr>
          <w:color w:themeColor="text1" w:val="000000"/>
          <w:vertAlign w:val="subscript"/>
        </w:rPr>
        <w:t>W</w:t>
      </w:r>
      <w:r>
        <w:rPr>
          <w:color w:themeColor="text1" w:val="000000"/>
        </w:rPr>
        <w:t xml:space="preserve"> (Figure 2-27B).  While the average annual hMOD started at 0.46 m in WY2006, it was reduced until WY2012 (Table 2-20).  The average HLR generally tracked the inter-annual fluctuations in depth during the first half of the simulation.  The model flow-way removed only 58-63% of the annual TP load from WY2007=WY2012.  The concentrations for both the internal water column TP concentrations (TP</w:t>
      </w:r>
      <w:r>
        <w:rPr>
          <w:color w:themeColor="text1" w:val="000000"/>
          <w:vertAlign w:val="subscript"/>
        </w:rPr>
        <w:t>W</w:t>
      </w:r>
      <w:r>
        <w:rPr>
          <w:color w:themeColor="text1" w:val="000000"/>
        </w:rPr>
        <w:t>; 0.074-0.118 g P m</w:t>
      </w:r>
      <w:r>
        <w:rPr>
          <w:color w:themeColor="text1" w:val="000000"/>
          <w:vertAlign w:val="superscript"/>
        </w:rPr>
        <w:t>-3</w:t>
      </w:r>
      <w:r>
        <w:rPr>
          <w:color w:themeColor="text1" w:val="000000"/>
        </w:rPr>
        <w:t>) and the outflow TP concentration ([TP]</w:t>
      </w:r>
      <w:r>
        <w:rPr>
          <w:color w:themeColor="text1" w:val="000000"/>
          <w:vertAlign w:val="subscript"/>
        </w:rPr>
        <w:t>OUT</w:t>
      </w:r>
      <w:r>
        <w:rPr>
          <w:color w:themeColor="text1" w:val="000000"/>
        </w:rPr>
        <w:t>; 0.009-0.021 g P m</w:t>
      </w:r>
      <w:r>
        <w:rPr>
          <w:color w:themeColor="text1" w:val="000000"/>
          <w:vertAlign w:val="superscript"/>
        </w:rPr>
        <w:t>-3</w:t>
      </w:r>
      <w:r>
        <w:rPr>
          <w:color w:themeColor="text1" w:val="000000"/>
        </w:rPr>
        <w:t>) were elevated during this time (Table 2-20).  Annual average depth increased during the second half of the simulation period.  Except for two high loading  years(WY2015 and WY2018), the flow-way removed 84-89% of the Q</w:t>
      </w:r>
      <w:r>
        <w:rPr>
          <w:color w:themeColor="text1" w:val="000000"/>
          <w:vertAlign w:val="subscript"/>
        </w:rPr>
        <w:t>TP</w:t>
      </w:r>
      <w:r>
        <w:rPr>
          <w:color w:themeColor="text1" w:val="000000"/>
        </w:rPr>
        <w:t xml:space="preserve"> (Figure 2-27B).   Q</w:t>
      </w:r>
      <w:r>
        <w:rPr>
          <w:color w:themeColor="text1" w:val="000000"/>
          <w:vertAlign w:val="subscript"/>
        </w:rPr>
        <w:t>TP</w:t>
      </w:r>
      <w:r>
        <w:rPr>
          <w:color w:themeColor="text1" w:val="000000"/>
        </w:rPr>
        <w:t>, HLR, and TP</w:t>
      </w:r>
      <w:r>
        <w:rPr>
          <w:color w:themeColor="text1" w:val="000000"/>
          <w:vertAlign w:val="subscript"/>
        </w:rPr>
        <w:t>W</w:t>
      </w:r>
      <w:r>
        <w:rPr>
          <w:color w:themeColor="text1" w:val="000000"/>
        </w:rPr>
        <w:t xml:space="preserve"> were more closely aligned from WY20114-WY2020.  It appears that the model flow-way performance (greatest removal and lowest TPW) was optimal when h</w:t>
      </w:r>
      <w:r>
        <w:rPr>
          <w:color w:themeColor="text1" w:val="000000"/>
          <w:vertAlign w:val="subscript"/>
        </w:rPr>
        <w:t>MOD</w:t>
      </w:r>
      <w:r>
        <w:rPr>
          <w:color w:themeColor="text1" w:val="000000"/>
        </w:rPr>
        <w:t xml:space="preserve"> and Q</w:t>
      </w:r>
      <w:r>
        <w:rPr>
          <w:color w:themeColor="text1" w:val="000000"/>
          <w:vertAlign w:val="subscript"/>
        </w:rPr>
        <w:t>TP</w:t>
      </w:r>
      <w:r>
        <w:rPr>
          <w:color w:themeColor="text1" w:val="000000"/>
        </w:rPr>
        <w:t xml:space="preserve"> were 0.5 and HLR was 0.03.   The BGC Model provided a platform to assess relationships between external TP loading (Q</w:t>
      </w:r>
      <w:r>
        <w:rPr>
          <w:color w:themeColor="text1" w:val="000000"/>
          <w:vertAlign w:val="subscript"/>
        </w:rPr>
        <w:t>TP</w:t>
      </w:r>
      <w:r>
        <w:rPr>
          <w:color w:themeColor="text1" w:val="000000"/>
        </w:rPr>
        <w:t>) and the resulting TP</w:t>
      </w:r>
      <w:r>
        <w:rPr>
          <w:color w:themeColor="text1" w:val="000000"/>
          <w:vertAlign w:val="subscript"/>
        </w:rPr>
        <w:t xml:space="preserve">W </w:t>
      </w:r>
      <w:r>
        <w:rPr>
          <w:color w:themeColor="text1" w:val="000000"/>
        </w:rPr>
        <w:t>and [TP]</w:t>
      </w:r>
      <w:r>
        <w:rPr>
          <w:color w:themeColor="text1" w:val="000000"/>
          <w:vertAlign w:val="subscript"/>
        </w:rPr>
        <w:t>OUT</w:t>
      </w:r>
      <w:r>
        <w:rPr>
          <w:color w:themeColor="text1" w:val="000000"/>
        </w:rPr>
        <w:t xml:space="preserve">. </w:t>
      </w:r>
    </w:p>
    <w:p>
      <w:pPr>
        <w:sectPr>
          <w:headerReference w:type="default" r:id="rId141"/>
          <w:headerReference w:type="first" r:id="rId142"/>
          <w:footerReference w:type="default" r:id="rId143"/>
          <w:footerReference w:type="first" r:id="rId144"/>
          <w:type w:val="nextPage"/>
          <w:pgSz w:w="12240" w:h="15840"/>
          <w:pgMar w:left="1440" w:right="1440" w:gutter="0" w:header="576" w:top="1440" w:footer="576" w:bottom="1440"/>
          <w:pgNumType w:fmt="decimal"/>
          <w:formProt w:val="false"/>
          <w:titlePg/>
          <w:textDirection w:val="lrTb"/>
          <w:docGrid w:type="default" w:linePitch="299" w:charSpace="0"/>
        </w:sectPr>
        <w:pStyle w:val="Normal"/>
        <w:rPr>
          <w:color w:themeColor="text1" w:val="000000"/>
        </w:rPr>
      </w:pPr>
      <w:r>
        <w:rPr>
          <w:color w:themeColor="text1" w:val="000000"/>
        </w:rPr>
        <w:t>The assessments between Q</w:t>
      </w:r>
      <w:r>
        <w:rPr>
          <w:color w:themeColor="text1" w:val="000000"/>
          <w:vertAlign w:val="subscript"/>
        </w:rPr>
        <w:t>TP</w:t>
      </w:r>
      <w:r>
        <w:rPr>
          <w:color w:themeColor="text1" w:val="000000"/>
        </w:rPr>
        <w:t xml:space="preserve"> and TP concentrations led to a final calibration series to better understand and apply the results of the BGC Model.  Linear regressions between the average annual TP loads and the resulting internal and outflow TP concentrations were applied (Figure 2-28).  The Phase III BGC Model predicted that the TP concentrations generally increased linearly with Q</w:t>
      </w:r>
      <w:r>
        <w:rPr>
          <w:color w:themeColor="text1" w:val="000000"/>
          <w:vertAlign w:val="subscript"/>
        </w:rPr>
        <w:t>TP</w:t>
      </w:r>
      <w:r>
        <w:rPr>
          <w:color w:themeColor="text1" w:val="000000"/>
        </w:rPr>
        <w:t>.  This result was expected based on the patterns in the multiple variable time series (Figure 2-28B).  In particular, all three variables tracked during the second half of the simulation time.  However, the thorough calibration and testing pointed to the rate of soil DOP efflux (k</w:t>
      </w:r>
      <w:r>
        <w:rPr>
          <w:color w:themeColor="text1" w:val="000000"/>
          <w:vertAlign w:val="subscript"/>
        </w:rPr>
        <w:t>DOPSWX</w:t>
      </w:r>
      <w:r>
        <w:rPr>
          <w:color w:themeColor="text1" w:val="000000"/>
        </w:rPr>
        <w:t>) as perhaps the most pivotal parameter in the BGC Model.  TP</w:t>
      </w:r>
      <w:r>
        <w:rPr>
          <w:color w:themeColor="text1" w:val="000000"/>
          <w:vertAlign w:val="subscript"/>
        </w:rPr>
        <w:t>W</w:t>
      </w:r>
      <w:r>
        <w:rPr>
          <w:color w:themeColor="text1" w:val="000000"/>
        </w:rPr>
        <w:t xml:space="preserve"> and [TP]</w:t>
      </w:r>
      <w:r>
        <w:rPr>
          <w:color w:themeColor="text1" w:val="000000"/>
          <w:vertAlign w:val="subscript"/>
        </w:rPr>
        <w:t>OUT</w:t>
      </w:r>
      <w:r>
        <w:rPr>
          <w:color w:themeColor="text1" w:val="000000"/>
        </w:rPr>
        <w:t xml:space="preserve"> increased non-linearly with greater values for k</w:t>
      </w:r>
      <w:r>
        <w:rPr>
          <w:color w:themeColor="text1" w:val="000000"/>
          <w:vertAlign w:val="subscript"/>
        </w:rPr>
        <w:t>DOPSWX</w:t>
      </w:r>
      <w:r>
        <w:rPr>
          <w:color w:themeColor="text1" w:val="000000"/>
        </w:rPr>
        <w:t>. Moreover, there was added uncertainty regarding DOP processes since the data and targets for soil DOP and DIP were extremely variable and the model generally overestimated soil dissolved concentrations.  Thus, simulations and regressions were performed for three different values of k</w:t>
      </w:r>
      <w:r>
        <w:rPr>
          <w:color w:themeColor="text1" w:val="000000"/>
          <w:vertAlign w:val="subscript"/>
        </w:rPr>
        <w:t>DOPSWX</w:t>
      </w:r>
      <w:r>
        <w:rPr>
          <w:color w:themeColor="text1" w:val="000000"/>
        </w:rPr>
        <w:t xml:space="preserve"> (0.001, 0.003, 0.005 d</w:t>
      </w:r>
      <w:r>
        <w:rPr>
          <w:color w:themeColor="text1" w:val="000000"/>
          <w:vertAlign w:val="superscript"/>
        </w:rPr>
        <w:t>-1</w:t>
      </w:r>
      <w:r>
        <w:rPr>
          <w:color w:themeColor="text1" w:val="000000"/>
        </w:rPr>
        <w:t>; Figure 2-28).  The comparative results indicated that increased rates of soil DOP efflux led to a more robust statistical relationship between Q</w:t>
      </w:r>
      <w:r>
        <w:rPr>
          <w:color w:themeColor="text1" w:val="000000"/>
          <w:vertAlign w:val="subscript"/>
        </w:rPr>
        <w:t>TP</w:t>
      </w:r>
      <w:r>
        <w:rPr>
          <w:color w:themeColor="text1" w:val="000000"/>
        </w:rPr>
        <w:t xml:space="preserve"> and TP</w:t>
      </w:r>
      <w:r>
        <w:rPr>
          <w:color w:themeColor="text1" w:val="000000"/>
          <w:vertAlign w:val="subscript"/>
        </w:rPr>
        <w:t>W</w:t>
      </w:r>
      <w:r>
        <w:rPr>
          <w:color w:themeColor="text1" w:val="000000"/>
        </w:rPr>
        <w:t xml:space="preserve"> and [TP]</w:t>
      </w:r>
      <w:r>
        <w:rPr>
          <w:color w:themeColor="text1" w:val="000000"/>
          <w:vertAlign w:val="subscript"/>
        </w:rPr>
        <w:t>OUT</w:t>
      </w:r>
      <w:r>
        <w:rPr>
          <w:color w:themeColor="text1" w:val="000000"/>
        </w:rPr>
        <w:t>.  While TP</w:t>
      </w:r>
      <w:r>
        <w:rPr>
          <w:color w:themeColor="text1" w:val="000000"/>
          <w:vertAlign w:val="subscript"/>
        </w:rPr>
        <w:t>W</w:t>
      </w:r>
      <w:r>
        <w:rPr>
          <w:color w:themeColor="text1" w:val="000000"/>
        </w:rPr>
        <w:t xml:space="preserve"> was not associated with increased TP loading at the lowest value of k</w:t>
      </w:r>
      <w:r>
        <w:rPr>
          <w:color w:themeColor="text1" w:val="000000"/>
          <w:vertAlign w:val="subscript"/>
        </w:rPr>
        <w:t>DOPSWX</w:t>
      </w:r>
      <w:r>
        <w:rPr>
          <w:color w:themeColor="text1" w:val="000000"/>
        </w:rPr>
        <w:t xml:space="preserve"> (0.001 d</w:t>
      </w:r>
      <w:r>
        <w:rPr>
          <w:color w:themeColor="text1" w:val="000000"/>
          <w:vertAlign w:val="superscript"/>
        </w:rPr>
        <w:t>-1</w:t>
      </w:r>
      <w:r>
        <w:rPr>
          <w:color w:themeColor="text1" w:val="000000"/>
        </w:rPr>
        <w:t>), the model results suggested that [TP]</w:t>
      </w:r>
      <w:r>
        <w:rPr>
          <w:color w:themeColor="text1" w:val="000000"/>
          <w:vertAlign w:val="subscript"/>
        </w:rPr>
        <w:t>OUT</w:t>
      </w:r>
      <w:r>
        <w:rPr>
          <w:color w:themeColor="text1" w:val="000000"/>
        </w:rPr>
        <w:t xml:space="preserve"> was responsive when soil DOP efflux was minimal.  </w:t>
      </w:r>
    </w:p>
    <w:p>
      <w:pPr>
        <w:pStyle w:val="Heading1"/>
        <w:rPr/>
      </w:pPr>
      <w:bookmarkStart w:id="113" w:name="_Hlk170315620"/>
      <w:bookmarkStart w:id="114" w:name="_Toc182252508"/>
      <w:r>
        <w:rPr/>
        <w:t>CASM-STA MODEL Development</w:t>
      </w:r>
      <w:bookmarkEnd w:id="113"/>
      <w:bookmarkEnd w:id="114"/>
    </w:p>
    <w:p>
      <w:pPr>
        <w:pStyle w:val="Normal"/>
        <w:rPr/>
      </w:pPr>
      <w:r>
        <w:rPr/>
        <w:t>This section describes the development of this project’s second modeling approach. This second approach was an application of the Comprehensive Aquatic Systems Model (CASM) to address and quantify the role of higher trophic levels on P cycling in the STAs along with the biogeochemical processes.</w:t>
      </w:r>
    </w:p>
    <w:p>
      <w:pPr>
        <w:pStyle w:val="Normal"/>
        <w:keepNext w:val="true"/>
        <w:numPr>
          <w:ilvl w:val="0"/>
          <w:numId w:val="0"/>
        </w:numPr>
        <w:spacing w:before="180" w:after="60"/>
        <w:jc w:val="left"/>
        <w:outlineLvl w:val="1"/>
        <w:rPr>
          <w:rFonts w:ascii="Arial" w:hAnsi="Arial"/>
          <w:b/>
          <w:color w:themeColor="text1" w:val="000000"/>
          <w:sz w:val="24"/>
        </w:rPr>
      </w:pPr>
      <w:bookmarkStart w:id="115" w:name="_Toc182252509"/>
      <w:r>
        <w:rPr>
          <w:rFonts w:ascii="Arial" w:hAnsi="Arial"/>
          <w:b/>
          <w:color w:themeColor="text1" w:val="000000"/>
          <w:sz w:val="24"/>
        </w:rPr>
        <w:t>CASM Model Physical Characteristics</w:t>
      </w:r>
      <w:bookmarkEnd w:id="115"/>
    </w:p>
    <w:p>
      <w:pPr>
        <w:pStyle w:val="Normal"/>
        <w:keepNext w:val="true"/>
        <w:numPr>
          <w:ilvl w:val="2"/>
          <w:numId w:val="1"/>
        </w:numPr>
        <w:spacing w:before="120" w:after="120"/>
        <w:jc w:val="left"/>
        <w:outlineLvl w:val="2"/>
        <w:rPr>
          <w:bCs/>
          <w:i/>
          <w:i/>
          <w:color w:themeColor="accent1" w:themeShade="bf" w:val="2E74B5"/>
          <w:szCs w:val="22"/>
        </w:rPr>
      </w:pPr>
      <w:bookmarkStart w:id="116" w:name="_Toc182252510"/>
      <w:r>
        <w:rPr>
          <w:bCs/>
          <w:i/>
          <w:color w:themeColor="accent1" w:themeShade="bf" w:val="2E74B5"/>
          <w:szCs w:val="22"/>
        </w:rPr>
        <w:t>Study Location Physical Description</w:t>
      </w:r>
      <w:bookmarkEnd w:id="116"/>
    </w:p>
    <w:p>
      <w:pPr>
        <w:pStyle w:val="Normal"/>
        <w:rPr/>
      </w:pPr>
      <w:r>
        <w:rPr/>
        <w:t>The CASM-STA was developed for initial application to the STA-2 FW1 system (Figure 3-1). The area is approximately 823 hectares (2,032 acres) with an average depth of 0.55 m and hydraulic residence time of 16 days (Zhao and Piccone 2020). Vegetation in FW1 is about 93% EAV (cattail) and 7% SAV. The average annual P load is 0.91 g P m</w:t>
      </w:r>
      <w:r>
        <w:rPr>
          <w:vertAlign w:val="superscript"/>
        </w:rPr>
        <w:t>-2</w:t>
      </w:r>
      <w:r>
        <w:rPr/>
        <w:t>. The FW1 removes about 87% of the annual P loading and average concentrations of TP at the outflow are 0.012 g P m</w:t>
      </w:r>
      <w:r>
        <w:rPr>
          <w:vertAlign w:val="superscript"/>
        </w:rPr>
        <w:t>-3</w:t>
      </w:r>
      <w:r>
        <w:rPr/>
        <w:t xml:space="preserve">. To be consistent with the WQBEL requirements, outflow TP concentrations should be ≤ 13 </w:t>
      </w:r>
      <w:r>
        <w:rPr>
          <w:rFonts w:cs="Segoe UI"/>
        </w:rPr>
        <w:t>µ</w:t>
      </w:r>
      <w:r>
        <w:rPr/>
        <w:t xml:space="preserve">g/L in more that 3 of 5 water years on a rolling basis and the annual flow-weighted mean concentration should not exceed 19 </w:t>
      </w:r>
      <w:r>
        <w:rPr>
          <w:rFonts w:cs="Segoe UI"/>
        </w:rPr>
        <w:t>µ</w:t>
      </w:r>
      <w:r>
        <w:rPr/>
        <w:t xml:space="preserve">g/L (SFWMD 2012). </w:t>
      </w:r>
    </w:p>
    <w:p>
      <w:pPr>
        <w:pStyle w:val="Normal"/>
        <w:rPr/>
      </w:pPr>
      <w:r>
        <w:rPr/>
        <w:t>The initial model application divided the FW1 into three contiguous spatial segments: A, B, and C (Figure 3-2). One CASM-STA “node” is being implemented for each segment. A node is defined as the spatial location (m</w:t>
      </w:r>
      <w:r>
        <w:rPr>
          <w:vertAlign w:val="superscript"/>
        </w:rPr>
        <w:t>2</w:t>
      </w:r>
      <w:r>
        <w:rPr/>
        <w:t>) of one CASM-STA executable model. Constant surface areas were developed for segments A, B, and C. The total surface area of FW1 was divided equally to give segment areas of 2,479,589 m</w:t>
      </w:r>
      <w:r>
        <w:rPr>
          <w:vertAlign w:val="superscript"/>
        </w:rPr>
        <w:t>2</w:t>
      </w:r>
      <w:r>
        <w:rPr/>
        <w:t xml:space="preserve">. </w:t>
      </w:r>
    </w:p>
    <w:p>
      <w:pPr>
        <w:pStyle w:val="Normal"/>
        <w:rPr/>
      </w:pPr>
      <w:r>
        <w:rPr/>
        <w:t>The CASM-STA model nodes are connected through hydrodynamics modeling results produced by the biogeochemical (BGC) model (CELLC 2024). Daily BGC modeled volumes are allocated to CASM-STA segments. Segment volumes are used to compute corresponding segment depth assuming a constant surface area. Daily differences in segment volumes are used to estimate simple linear transport through the segments.</w:t>
      </w:r>
    </w:p>
    <w:p>
      <w:pPr>
        <w:pStyle w:val="Normal"/>
        <w:keepNext w:val="true"/>
        <w:numPr>
          <w:ilvl w:val="2"/>
          <w:numId w:val="1"/>
        </w:numPr>
        <w:spacing w:before="120" w:after="120"/>
        <w:jc w:val="left"/>
        <w:outlineLvl w:val="2"/>
        <w:rPr>
          <w:bCs/>
          <w:i/>
          <w:i/>
          <w:color w:themeColor="accent1" w:themeShade="bf" w:val="2E74B5"/>
          <w:szCs w:val="22"/>
        </w:rPr>
      </w:pPr>
      <w:bookmarkStart w:id="117" w:name="_Toc182252511"/>
      <w:r>
        <w:rPr>
          <w:bCs/>
          <w:i/>
          <w:color w:themeColor="accent1" w:themeShade="bf" w:val="2E74B5"/>
          <w:szCs w:val="22"/>
        </w:rPr>
        <w:t>Physical Data</w:t>
      </w:r>
      <w:bookmarkEnd w:id="117"/>
    </w:p>
    <w:p>
      <w:pPr>
        <w:pStyle w:val="Normal"/>
        <w:rPr/>
      </w:pPr>
      <w:r>
        <w:rPr/>
        <w:t>Previous and continuing studies of the physical, chemical, and biological/ecological structure and function of the STAs provided critical data used in the development, calibration and evaluation of the CASM-STA. The SFWMD data, reports from previous studies, and the general technical literature were used to identify and collate data used to support the CASM-STA modeling.</w:t>
      </w:r>
    </w:p>
    <w:p>
      <w:pPr>
        <w:pStyle w:val="Normal"/>
        <w:rPr/>
      </w:pPr>
      <w:r>
        <w:rPr/>
        <w:t>Data describing the physical-chemical characteristics of the STA-2 FW1 were required to implement the CASM-STA. The model uses reported values of surface light intensity to drive photosynthesis of populations of phytoplankton, periphyton, SAV, and EAV represented in the CASM-STA.</w:t>
      </w:r>
    </w:p>
    <w:p>
      <w:pPr>
        <w:pStyle w:val="Normal"/>
        <w:rPr/>
      </w:pPr>
      <w:r>
        <w:rPr/>
        <mc:AlternateContent>
          <mc:Choice Requires="wps">
            <w:drawing>
              <wp:anchor behindDoc="0" distT="40640" distB="59690" distL="109220" distR="128270" simplePos="0" locked="0" layoutInCell="0" allowOverlap="1" relativeHeight="100" wp14:anchorId="1C930191">
                <wp:simplePos x="0" y="0"/>
                <wp:positionH relativeFrom="margin">
                  <wp:align>center</wp:align>
                </wp:positionH>
                <wp:positionV relativeFrom="margin">
                  <wp:align>top</wp:align>
                </wp:positionV>
                <wp:extent cx="6019800" cy="7734300"/>
                <wp:effectExtent l="5080" t="5080" r="5080" b="5080"/>
                <wp:wrapTopAndBottom/>
                <wp:docPr id="145" name="Text Box 2"/>
                <a:graphic xmlns:a="http://schemas.openxmlformats.org/drawingml/2006/main">
                  <a:graphicData uri="http://schemas.microsoft.com/office/word/2010/wordprocessingShape">
                    <wps:wsp>
                      <wps:cNvSpPr/>
                      <wps:spPr>
                        <a:xfrm>
                          <a:off x="0" y="0"/>
                          <a:ext cx="6019920" cy="7734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928360" cy="3002280"/>
                                  <wp:effectExtent l="0" t="0" r="0" b="0"/>
                                  <wp:docPr id="147"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35" descr=""/>
                                          <pic:cNvPicPr>
                                            <a:picLocks noChangeAspect="1" noChangeArrowheads="1"/>
                                          </pic:cNvPicPr>
                                        </pic:nvPicPr>
                                        <pic:blipFill>
                                          <a:blip r:embed="rId145"/>
                                          <a:stretch>
                                            <a:fillRect/>
                                          </a:stretch>
                                        </pic:blipFill>
                                        <pic:spPr bwMode="auto">
                                          <a:xfrm>
                                            <a:off x="0" y="0"/>
                                            <a:ext cx="5928360" cy="3002280"/>
                                          </a:xfrm>
                                          <a:prstGeom prst="rect">
                                            <a:avLst/>
                                          </a:prstGeom>
                                        </pic:spPr>
                                      </pic:pic>
                                    </a:graphicData>
                                  </a:graphic>
                                </wp:inline>
                              </w:drawing>
                            </w:r>
                          </w:p>
                          <w:p>
                            <w:pPr>
                              <w:pStyle w:val="Caption"/>
                              <w:rPr/>
                            </w:pPr>
                            <w:bookmarkStart w:id="118" w:name="_Hlk170414977"/>
                            <w:bookmarkStart w:id="119" w:name="_Toc181802665"/>
                            <w:bookmarkEnd w:id="118"/>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25</w:t>
                            </w:r>
                            <w:r>
                              <w:rPr/>
                              <w:fldChar w:fldCharType="end"/>
                            </w:r>
                            <w:r>
                              <w:rPr/>
                              <w:t>.  Location of STA-2  FW1 in relation to the Everglades Agricultural Area and Water Conservation Areas. (From UF-WBL 2019).</w:t>
                            </w:r>
                            <w:bookmarkEnd w:id="119"/>
                          </w:p>
                          <w:p>
                            <w:pPr>
                              <w:pStyle w:val="FrameContents"/>
                              <w:rPr/>
                            </w:pPr>
                            <w:r>
                              <w:rPr/>
                            </w:r>
                            <w:bookmarkStart w:id="120" w:name="_Hlk170414977"/>
                            <w:bookmarkStart w:id="121" w:name="_Hlk170414977"/>
                            <w:bookmarkEnd w:id="121"/>
                          </w:p>
                          <w:p>
                            <w:pPr>
                              <w:pStyle w:val="FrameContents"/>
                              <w:rPr/>
                            </w:pPr>
                            <w:r>
                              <w:rPr/>
                            </w:r>
                          </w:p>
                          <w:p>
                            <w:pPr>
                              <w:pStyle w:val="Caption"/>
                              <w:rPr/>
                            </w:pPr>
                            <w:bookmarkStart w:id="122" w:name="_Toc181802666"/>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26</w:t>
                            </w:r>
                            <w:r>
                              <w:rPr/>
                              <w:fldChar w:fldCharType="end"/>
                            </w:r>
                            <w:r>
                              <w:rPr/>
                              <w:t>.  Illustration of the simple compartmental representation of FW1 in STA-2</w:t>
                            </w:r>
                            <w:bookmarkEnd w:id="122"/>
                            <w:r>
                              <w:rPr/>
                              <w:t xml:space="preserve"> </w:t>
                            </w:r>
                          </w:p>
                          <w:p>
                            <w:pPr>
                              <w:pStyle w:val="Caption"/>
                              <w:rPr/>
                            </w:pPr>
                            <w:r>
                              <w:rPr/>
                              <w:t>used in developing the CASM-STA</w:t>
                            </w:r>
                          </w:p>
                          <w:p>
                            <w:pPr>
                              <w:pStyle w:val="FrameContents"/>
                              <w:spacing w:before="0" w:after="120"/>
                              <w:rPr/>
                            </w:pPr>
                            <w:r>
                              <w:rPr/>
                              <w:drawing>
                                <wp:inline distT="0" distB="0" distL="0" distR="0">
                                  <wp:extent cx="5648325" cy="3181350"/>
                                  <wp:effectExtent l="0" t="0" r="0" b="0"/>
                                  <wp:docPr id="14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27" descr=""/>
                                          <pic:cNvPicPr>
                                            <a:picLocks noChangeAspect="1" noChangeArrowheads="1"/>
                                          </pic:cNvPicPr>
                                        </pic:nvPicPr>
                                        <pic:blipFill>
                                          <a:blip r:embed="rId146"/>
                                          <a:stretch>
                                            <a:fillRect/>
                                          </a:stretch>
                                        </pic:blipFill>
                                        <pic:spPr bwMode="auto">
                                          <a:xfrm>
                                            <a:off x="0" y="0"/>
                                            <a:ext cx="5648325" cy="3181350"/>
                                          </a:xfrm>
                                          <a:prstGeom prst="rect">
                                            <a:avLst/>
                                          </a:prstGeom>
                                        </pic:spPr>
                                      </pic:pic>
                                    </a:graphicData>
                                  </a:graphic>
                                </wp:inline>
                              </w:drawing>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3pt;margin-top:3.2pt;width:473.95pt;height:608.95pt;mso-wrap-style:square;v-text-anchor:top;mso-position-horizontal:center;mso-position-horizontal-relative:margin;mso-position-vertical:top;mso-position-vertical-relative:margin" wp14:anchorId="1C930191">
                <v:fill o:detectmouseclick="t" type="solid" color2="black"/>
                <v:stroke color="black" weight="9360" joinstyle="miter" endcap="flat"/>
                <v:textbox>
                  <w:txbxContent>
                    <w:p>
                      <w:pPr>
                        <w:pStyle w:val="FrameContents"/>
                        <w:jc w:val="center"/>
                        <w:rPr/>
                      </w:pPr>
                      <w:r>
                        <w:rPr/>
                        <w:drawing>
                          <wp:inline distT="0" distB="0" distL="0" distR="0">
                            <wp:extent cx="5928360" cy="3002280"/>
                            <wp:effectExtent l="0" t="0" r="0" b="0"/>
                            <wp:docPr id="149"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35" descr=""/>
                                    <pic:cNvPicPr>
                                      <a:picLocks noChangeAspect="1" noChangeArrowheads="1"/>
                                    </pic:cNvPicPr>
                                  </pic:nvPicPr>
                                  <pic:blipFill>
                                    <a:blip r:embed="rId147"/>
                                    <a:stretch>
                                      <a:fillRect/>
                                    </a:stretch>
                                  </pic:blipFill>
                                  <pic:spPr bwMode="auto">
                                    <a:xfrm>
                                      <a:off x="0" y="0"/>
                                      <a:ext cx="5928360" cy="3002280"/>
                                    </a:xfrm>
                                    <a:prstGeom prst="rect">
                                      <a:avLst/>
                                    </a:prstGeom>
                                  </pic:spPr>
                                </pic:pic>
                              </a:graphicData>
                            </a:graphic>
                          </wp:inline>
                        </w:drawing>
                      </w:r>
                    </w:p>
                    <w:p>
                      <w:pPr>
                        <w:pStyle w:val="Caption"/>
                        <w:rPr/>
                      </w:pPr>
                      <w:bookmarkStart w:id="123" w:name="_Hlk170414977"/>
                      <w:bookmarkStart w:id="124" w:name="_Toc181802665"/>
                      <w:bookmarkEnd w:id="123"/>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25</w:t>
                      </w:r>
                      <w:r>
                        <w:rPr/>
                        <w:fldChar w:fldCharType="end"/>
                      </w:r>
                      <w:r>
                        <w:rPr/>
                        <w:t>.  Location of STA-2  FW1 in relation to the Everglades Agricultural Area and Water Conservation Areas. (From UF-WBL 2019).</w:t>
                      </w:r>
                      <w:bookmarkEnd w:id="124"/>
                    </w:p>
                    <w:p>
                      <w:pPr>
                        <w:pStyle w:val="FrameContents"/>
                        <w:rPr/>
                      </w:pPr>
                      <w:r>
                        <w:rPr/>
                      </w:r>
                      <w:bookmarkStart w:id="125" w:name="_Hlk170414977"/>
                      <w:bookmarkStart w:id="126" w:name="_Hlk170414977"/>
                      <w:bookmarkEnd w:id="126"/>
                    </w:p>
                    <w:p>
                      <w:pPr>
                        <w:pStyle w:val="FrameContents"/>
                        <w:rPr/>
                      </w:pPr>
                      <w:r>
                        <w:rPr/>
                      </w:r>
                    </w:p>
                    <w:p>
                      <w:pPr>
                        <w:pStyle w:val="Caption"/>
                        <w:rPr/>
                      </w:pPr>
                      <w:bookmarkStart w:id="127" w:name="_Toc181802666"/>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26</w:t>
                      </w:r>
                      <w:r>
                        <w:rPr/>
                        <w:fldChar w:fldCharType="end"/>
                      </w:r>
                      <w:r>
                        <w:rPr/>
                        <w:t>.  Illustration of the simple compartmental representation of FW1 in STA-2</w:t>
                      </w:r>
                      <w:bookmarkEnd w:id="127"/>
                      <w:r>
                        <w:rPr/>
                        <w:t xml:space="preserve"> </w:t>
                      </w:r>
                    </w:p>
                    <w:p>
                      <w:pPr>
                        <w:pStyle w:val="Caption"/>
                        <w:rPr/>
                      </w:pPr>
                      <w:r>
                        <w:rPr/>
                        <w:t>used in developing the CASM-STA</w:t>
                      </w:r>
                    </w:p>
                    <w:p>
                      <w:pPr>
                        <w:pStyle w:val="FrameContents"/>
                        <w:spacing w:before="0" w:after="120"/>
                        <w:rPr/>
                      </w:pPr>
                      <w:r>
                        <w:rPr/>
                        <w:drawing>
                          <wp:inline distT="0" distB="0" distL="0" distR="0">
                            <wp:extent cx="5648325" cy="3181350"/>
                            <wp:effectExtent l="0" t="0" r="0" b="0"/>
                            <wp:docPr id="150"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7" descr=""/>
                                    <pic:cNvPicPr>
                                      <a:picLocks noChangeAspect="1" noChangeArrowheads="1"/>
                                    </pic:cNvPicPr>
                                  </pic:nvPicPr>
                                  <pic:blipFill>
                                    <a:blip r:embed="rId148"/>
                                    <a:stretch>
                                      <a:fillRect/>
                                    </a:stretch>
                                  </pic:blipFill>
                                  <pic:spPr bwMode="auto">
                                    <a:xfrm>
                                      <a:off x="0" y="0"/>
                                      <a:ext cx="5648325" cy="3181350"/>
                                    </a:xfrm>
                                    <a:prstGeom prst="rect">
                                      <a:avLst/>
                                    </a:prstGeom>
                                  </pic:spPr>
                                </pic:pic>
                              </a:graphicData>
                            </a:graphic>
                          </wp:inline>
                        </w:drawing>
                      </w:r>
                    </w:p>
                  </w:txbxContent>
                </v:textbox>
                <w10:wrap type="topAndBottom"/>
              </v:rect>
            </w:pict>
          </mc:Fallback>
        </mc:AlternateContent>
      </w:r>
      <w:r>
        <w:br w:type="page"/>
      </w:r>
    </w:p>
    <w:p>
      <w:pPr>
        <w:pStyle w:val="Normal"/>
        <w:keepNext w:val="true"/>
        <w:numPr>
          <w:ilvl w:val="2"/>
          <w:numId w:val="1"/>
        </w:numPr>
        <w:spacing w:before="0" w:after="120"/>
        <w:jc w:val="left"/>
        <w:outlineLvl w:val="2"/>
        <w:rPr>
          <w:bCs/>
          <w:i/>
          <w:i/>
          <w:color w:themeColor="accent1" w:themeShade="bf" w:val="2E74B5"/>
          <w:szCs w:val="22"/>
        </w:rPr>
      </w:pPr>
      <w:bookmarkStart w:id="128" w:name="_Toc182252512"/>
      <w:r>
        <w:rPr>
          <w:bCs/>
          <w:i/>
          <w:color w:themeColor="accent1" w:themeShade="bf" w:val="2E74B5"/>
          <w:szCs w:val="22"/>
        </w:rPr>
        <w:t>Hydrodynamics and transport</w:t>
      </w:r>
      <w:bookmarkEnd w:id="128"/>
    </w:p>
    <w:p>
      <w:pPr>
        <w:pStyle w:val="Normal"/>
        <w:rPr/>
      </w:pPr>
      <w:r>
        <w:rPr/>
        <w:t>The BGC modeled (2005 – 2020) daily aggregate volumes for FW1 were allocated to define daily volumes for segments A, B, and C for use in the CASM-STA (Figure 3-3). The progression in decreasing volumes across the segments reflects the gradient in depths moving from the uppermost to the lower regions of FW1.</w:t>
      </w:r>
    </w:p>
    <w:p>
      <w:pPr>
        <w:pStyle w:val="Normal"/>
        <w:rPr/>
      </w:pPr>
      <w:r>
        <w:rPr/>
        <w:t>The volumes allocated to segments A, B, and C from the aggregate BGC FW1 model results were regressed against the same empirical volumes calculated for the calibration of the three-node CASM-STA (Stantec 2024a, 2024d). The simple allocation of the BGC results provided estimates of segment volumes that agreed very well with the empirical estimates for both the calibration and validation years (Figures 3-4 through 3-6). In all regression comparisons, the agreement was slightly greater for the validation years compared to the calibration years as indicated by the small increment in the R</w:t>
      </w:r>
      <w:r>
        <w:rPr>
          <w:vertAlign w:val="superscript"/>
        </w:rPr>
        <w:t>2</w:t>
      </w:r>
      <w:r>
        <w:rPr/>
        <w:t xml:space="preserve"> values – about 0.94 for the calibration years versus about 0.97 for the validation years. The BGC model results, instead of historical data, were used to drive the hydrodynamics in the CASM-STA to facilitate future applications to scenarios of modeled alterations in hydrology produced by the BGC or any alternative physical model of the STAs.</w:t>
      </w:r>
    </w:p>
    <w:p>
      <w:pPr>
        <w:pStyle w:val="Normal"/>
        <w:rPr/>
      </w:pPr>
      <w:r>
        <w:rPr/>
        <w:t>The differences in daily allocations of volume for segments A, B, and C were used to compute corresponding flows and transport from segment A to B, segment B to C, and segment C to out of FW1 for the calibration and validation periods (Tables 3-1 and 3-2). The resulting transport coefficients (1/day) for segment A to B for the calibration years had a mean value was 0.098 d</w:t>
      </w:r>
      <w:r>
        <w:rPr>
          <w:vertAlign w:val="superscript"/>
        </w:rPr>
        <w:t>-1</w:t>
      </w:r>
      <w:r>
        <w:rPr/>
        <w:t xml:space="preserve"> (range: 0.001 – 0.355), which is slightly greater than the 0.0625 d</w:t>
      </w:r>
      <w:r>
        <w:rPr>
          <w:vertAlign w:val="superscript"/>
        </w:rPr>
        <w:t>-1</w:t>
      </w:r>
      <w:r>
        <w:rPr/>
        <w:t xml:space="preserve"> FW1 turnover rate reported by Zhao and Piccone (2019). Similarly, the daily transport from segment B to C was on average 0.103 d</w:t>
      </w:r>
      <w:r>
        <w:rPr>
          <w:vertAlign w:val="superscript"/>
        </w:rPr>
        <w:t>-1</w:t>
      </w:r>
      <w:r>
        <w:rPr/>
        <w:t xml:space="preserve"> (range: 0.001 – 0.352. Transport (Q</w:t>
      </w:r>
      <w:r>
        <w:rPr>
          <w:vertAlign w:val="subscript"/>
        </w:rPr>
        <w:t>out</w:t>
      </w:r>
      <w:r>
        <w:rPr/>
        <w:t>) from segment C to out of FW1 based on the daily allocations of volumes and flows was on average 0.110 d</w:t>
      </w:r>
      <w:r>
        <w:rPr>
          <w:vertAlign w:val="superscript"/>
        </w:rPr>
        <w:t>-1</w:t>
      </w:r>
      <w:r>
        <w:rPr/>
        <w:t xml:space="preserve"> (range: 0.001 – 0.402).The values of the transport coefficients for the validation period were slightly higher, but on the same order of magnitude (Table 3-2).</w:t>
      </w:r>
    </w:p>
    <w:p>
      <w:pPr>
        <w:pStyle w:val="Normal"/>
        <w:rPr/>
      </w:pPr>
      <w:r>
        <w:rPr/>
        <w:t xml:space="preserve">The overall approach addressed the modeling objective of realistically simulating advective transport through the modeled segments without encumbering the computational demands of complex hydrological modeling. The time-varying transport factors reflect daily variations in inflows to segment A and corresponding adjustments to segment volumes and depths with an assumption of constant segment surface area. The results are in general similar to the value derived from Zhao and Piccone (2019) and suggest that advective flows, while important over certain time periods, do not dominate the overall physical characteristics of the modeled STA. </w:t>
      </w:r>
    </w:p>
    <w:p>
      <w:pPr>
        <w:pStyle w:val="Normal"/>
        <w:rPr/>
      </w:pPr>
      <w:r>
        <w:rPr/>
        <w:t xml:space="preserve">   </w:t>
      </w:r>
      <w:r>
        <w:rPr>
          <w:strike/>
        </w:rPr>
        <w:t xml:space="preserve">Tables 3-1 and 3-2 summarize the statistical characteristics of the transport coefficients derived for the calibration and validation years. </w:t>
      </w:r>
    </w:p>
    <w:p>
      <w:pPr>
        <w:pStyle w:val="Normal"/>
        <w:keepNext w:val="true"/>
        <w:numPr>
          <w:ilvl w:val="1"/>
          <w:numId w:val="1"/>
        </w:numPr>
        <w:spacing w:before="180" w:after="60"/>
        <w:jc w:val="left"/>
        <w:outlineLvl w:val="1"/>
        <w:rPr>
          <w:rFonts w:ascii="Arial" w:hAnsi="Arial"/>
          <w:b/>
          <w:color w:themeColor="text1" w:val="000000"/>
          <w:sz w:val="24"/>
        </w:rPr>
      </w:pPr>
      <w:bookmarkStart w:id="129" w:name="_Toc182252513"/>
      <w:r>
        <w:rPr>
          <w:rFonts w:ascii="Arial" w:hAnsi="Arial"/>
          <w:b/>
          <w:color w:themeColor="text1" w:val="000000"/>
          <w:sz w:val="24"/>
        </w:rPr>
        <w:t>CASM Food Web Model Components</w:t>
      </w:r>
      <w:bookmarkEnd w:id="129"/>
    </w:p>
    <w:p>
      <w:pPr>
        <w:pStyle w:val="Normal"/>
        <w:rPr/>
      </w:pPr>
      <w:r>
        <w:rPr/>
        <w:t xml:space="preserve">The food web structure for the CASM-STA was developed through collaboration with project participants, particularly SFWMD scientists, with additional support from the available technical literature that described the STAs. The following briefly describes the results of this effort. </w:t>
      </w:r>
    </w:p>
    <w:p>
      <w:pPr>
        <w:pStyle w:val="Normal"/>
        <w:keepNext w:val="true"/>
        <w:numPr>
          <w:ilvl w:val="2"/>
          <w:numId w:val="1"/>
        </w:numPr>
        <w:spacing w:before="120" w:after="120"/>
        <w:jc w:val="left"/>
        <w:outlineLvl w:val="2"/>
        <w:rPr>
          <w:bCs/>
          <w:i/>
          <w:i/>
          <w:color w:themeColor="accent1" w:themeShade="bf" w:val="2E74B5"/>
          <w:szCs w:val="22"/>
        </w:rPr>
      </w:pPr>
      <w:bookmarkStart w:id="130" w:name="_Toc182252514"/>
      <w:r>
        <w:rPr>
          <w:bCs/>
          <w:i/>
          <w:color w:themeColor="accent1" w:themeShade="bf" w:val="2E74B5"/>
          <w:szCs w:val="22"/>
        </w:rPr>
        <w:t>Phytoplankton</w:t>
      </w:r>
      <w:bookmarkEnd w:id="130"/>
    </w:p>
    <w:p>
      <w:pPr>
        <w:pStyle w:val="Normal"/>
        <w:rPr/>
      </w:pPr>
      <w:r>
        <w:rPr/>
        <w:t>Phytoplankton does not dominate the aquatic vegetation in FW1. However, to develop the CASM-STA, a single population of generically defined phytoplankton was defined to complete the specification of aquatic primary producers required for overall model functionality.</w:t>
      </w:r>
    </w:p>
    <w:p>
      <w:pPr>
        <w:sectPr>
          <w:headerReference w:type="default" r:id="rId149"/>
          <w:headerReference w:type="first" r:id="rId150"/>
          <w:footerReference w:type="default" r:id="rId151"/>
          <w:footerReference w:type="first" r:id="rId152"/>
          <w:type w:val="nextPage"/>
          <w:pgSz w:w="12240" w:h="15840"/>
          <w:pgMar w:left="1440" w:right="1440" w:gutter="0" w:header="576" w:top="1440" w:footer="576" w:bottom="1440"/>
          <w:pgNumType w:start="1" w:fmt="decimal"/>
          <w:formProt w:val="false"/>
          <w:titlePg/>
          <w:textDirection w:val="lrTb"/>
          <w:docGrid w:type="default" w:linePitch="299" w:charSpace="0"/>
        </w:sectPr>
        <w:pStyle w:val="Normal"/>
        <w:rPr/>
      </w:pPr>
      <w:r>
        <w:rPr/>
      </w:r>
    </w:p>
    <w:p>
      <w:pPr>
        <w:pStyle w:val="Normal"/>
        <w:rPr/>
      </w:pPr>
      <w:r>
        <w:rPr/>
        <mc:AlternateContent>
          <mc:Choice Requires="wps">
            <w:drawing>
              <wp:anchor behindDoc="0" distT="40640" distB="59690" distL="109220" distR="132080" simplePos="0" locked="0" layoutInCell="0" allowOverlap="1" relativeHeight="102" wp14:anchorId="7DCD5254">
                <wp:simplePos x="0" y="0"/>
                <wp:positionH relativeFrom="margin">
                  <wp:align>right</wp:align>
                </wp:positionH>
                <wp:positionV relativeFrom="paragraph">
                  <wp:posOffset>72390</wp:posOffset>
                </wp:positionV>
                <wp:extent cx="9121140" cy="6172200"/>
                <wp:effectExtent l="5080" t="5080" r="5080" b="5080"/>
                <wp:wrapSquare wrapText="bothSides"/>
                <wp:docPr id="154" name="Text Box 2"/>
                <a:graphic xmlns:a="http://schemas.openxmlformats.org/drawingml/2006/main">
                  <a:graphicData uri="http://schemas.microsoft.com/office/word/2010/wordprocessingShape">
                    <wps:wsp>
                      <wps:cNvSpPr/>
                      <wps:spPr>
                        <a:xfrm>
                          <a:off x="0" y="0"/>
                          <a:ext cx="9121320" cy="61722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8458200" cy="2421890"/>
                                  <wp:effectExtent l="0" t="0" r="0" b="0"/>
                                  <wp:docPr id="156"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43" descr=""/>
                                          <pic:cNvPicPr>
                                            <a:picLocks noChangeAspect="1" noChangeArrowheads="1"/>
                                          </pic:cNvPicPr>
                                        </pic:nvPicPr>
                                        <pic:blipFill>
                                          <a:blip r:embed="rId153"/>
                                          <a:stretch>
                                            <a:fillRect/>
                                          </a:stretch>
                                        </pic:blipFill>
                                        <pic:spPr bwMode="auto">
                                          <a:xfrm>
                                            <a:off x="0" y="0"/>
                                            <a:ext cx="8458200" cy="2421890"/>
                                          </a:xfrm>
                                          <a:prstGeom prst="rect">
                                            <a:avLst/>
                                          </a:prstGeom>
                                        </pic:spPr>
                                      </pic:pic>
                                    </a:graphicData>
                                  </a:graphic>
                                </wp:inline>
                              </w:drawing>
                            </w:r>
                          </w:p>
                          <w:p>
                            <w:pPr>
                              <w:pStyle w:val="Caption"/>
                              <w:rPr/>
                            </w:pPr>
                            <w:bookmarkStart w:id="131" w:name="_Hlk170416279"/>
                            <w:bookmarkStart w:id="132" w:name="_Toc181802667"/>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27</w:t>
                            </w:r>
                            <w:r>
                              <w:rPr/>
                              <w:fldChar w:fldCharType="end"/>
                            </w:r>
                            <w:r>
                              <w:rPr/>
                              <w:t>.  Allocation of the BGC (CELLC 2024) FW1 modeled volumes for each FW1 segment modeled by the CASM-STA.</w:t>
                            </w:r>
                            <w:bookmarkEnd w:id="131"/>
                            <w:bookmarkEnd w:id="132"/>
                          </w:p>
                          <w:p>
                            <w:pPr>
                              <w:pStyle w:val="FrameContents"/>
                              <w:rPr/>
                            </w:pPr>
                            <w:r>
                              <w:rPr/>
                            </w:r>
                          </w:p>
                          <w:p>
                            <w:pPr>
                              <w:pStyle w:val="FrameContents"/>
                              <w:jc w:val="center"/>
                              <w:rPr/>
                            </w:pPr>
                            <w:r>
                              <w:rPr/>
                            </w:r>
                          </w:p>
                          <w:p>
                            <w:pPr>
                              <w:pStyle w:val="Caption"/>
                              <w:widowControl/>
                              <w:bidi w:val="0"/>
                              <w:spacing w:lineRule="auto" w:line="276" w:before="0" w:after="60"/>
                              <w:jc w:val="center"/>
                              <w:rPr/>
                            </w:pPr>
                            <w:bookmarkStart w:id="133" w:name="_Toc181802668"/>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28</w:t>
                            </w:r>
                            <w:r>
                              <w:rPr/>
                              <w:fldChar w:fldCharType="end"/>
                            </w:r>
                            <w:r>
                              <w:rPr/>
                              <w:t>.  Regression of BGC model and allocated segment A volumes (km</w:t>
                            </w:r>
                            <w:r>
                              <w:rPr>
                                <w:vertAlign w:val="superscript"/>
                              </w:rPr>
                              <w:t>-3</w:t>
                            </w:r>
                            <w:r>
                              <w:rPr/>
                              <w:t>) for the 2005 – 2012 calibration (left panel) and 2013 – 2020 validation (right panel) years.</w:t>
                            </w:r>
                            <w:bookmarkEnd w:id="133"/>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8.65pt;margin-top:5.7pt;width:718.15pt;height:485.95pt;mso-wrap-style:square;v-text-anchor:top;mso-position-horizontal:right;mso-position-horizontal-relative:margin" wp14:anchorId="7DCD5254">
                <v:fill o:detectmouseclick="t" type="solid" color2="black"/>
                <v:stroke color="black" weight="9360" joinstyle="miter" endcap="flat"/>
                <v:textbox>
                  <w:txbxContent>
                    <w:p>
                      <w:pPr>
                        <w:pStyle w:val="FrameContents"/>
                        <w:jc w:val="center"/>
                        <w:rPr/>
                      </w:pPr>
                      <w:r>
                        <w:rPr/>
                        <w:drawing>
                          <wp:inline distT="0" distB="0" distL="0" distR="0">
                            <wp:extent cx="8458200" cy="2421890"/>
                            <wp:effectExtent l="0" t="0" r="0" b="0"/>
                            <wp:docPr id="157"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43" descr=""/>
                                    <pic:cNvPicPr>
                                      <a:picLocks noChangeAspect="1" noChangeArrowheads="1"/>
                                    </pic:cNvPicPr>
                                  </pic:nvPicPr>
                                  <pic:blipFill>
                                    <a:blip r:embed="rId154"/>
                                    <a:stretch>
                                      <a:fillRect/>
                                    </a:stretch>
                                  </pic:blipFill>
                                  <pic:spPr bwMode="auto">
                                    <a:xfrm>
                                      <a:off x="0" y="0"/>
                                      <a:ext cx="8458200" cy="2421890"/>
                                    </a:xfrm>
                                    <a:prstGeom prst="rect">
                                      <a:avLst/>
                                    </a:prstGeom>
                                  </pic:spPr>
                                </pic:pic>
                              </a:graphicData>
                            </a:graphic>
                          </wp:inline>
                        </w:drawing>
                      </w:r>
                    </w:p>
                    <w:p>
                      <w:pPr>
                        <w:pStyle w:val="Caption"/>
                        <w:rPr/>
                      </w:pPr>
                      <w:bookmarkStart w:id="134" w:name="_Hlk170416279"/>
                      <w:bookmarkStart w:id="135" w:name="_Toc181802667"/>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27</w:t>
                      </w:r>
                      <w:r>
                        <w:rPr/>
                        <w:fldChar w:fldCharType="end"/>
                      </w:r>
                      <w:r>
                        <w:rPr/>
                        <w:t>.  Allocation of the BGC (CELLC 2024) FW1 modeled volumes for each FW1 segment modeled by the CASM-STA.</w:t>
                      </w:r>
                      <w:bookmarkEnd w:id="134"/>
                      <w:bookmarkEnd w:id="135"/>
                    </w:p>
                    <w:p>
                      <w:pPr>
                        <w:pStyle w:val="FrameContents"/>
                        <w:rPr/>
                      </w:pPr>
                      <w:r>
                        <w:rPr/>
                      </w:r>
                    </w:p>
                    <w:p>
                      <w:pPr>
                        <w:pStyle w:val="FrameContents"/>
                        <w:jc w:val="center"/>
                        <w:rPr/>
                      </w:pPr>
                      <w:r>
                        <w:rPr/>
                      </w:r>
                    </w:p>
                    <w:p>
                      <w:pPr>
                        <w:pStyle w:val="Caption"/>
                        <w:widowControl/>
                        <w:bidi w:val="0"/>
                        <w:spacing w:lineRule="auto" w:line="276" w:before="0" w:after="60"/>
                        <w:jc w:val="center"/>
                        <w:rPr/>
                      </w:pPr>
                      <w:bookmarkStart w:id="136" w:name="_Toc181802668"/>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28</w:t>
                      </w:r>
                      <w:r>
                        <w:rPr/>
                        <w:fldChar w:fldCharType="end"/>
                      </w:r>
                      <w:r>
                        <w:rPr/>
                        <w:t>.  Regression of BGC model and allocated segment A volumes (km</w:t>
                      </w:r>
                      <w:r>
                        <w:rPr>
                          <w:vertAlign w:val="superscript"/>
                        </w:rPr>
                        <w:t>-3</w:t>
                      </w:r>
                      <w:r>
                        <w:rPr/>
                        <w:t>) for the 2005 – 2012 calibration (left panel) and 2013 – 2020 validation (right panel) years.</w:t>
                      </w:r>
                      <w:bookmarkEnd w:id="136"/>
                    </w:p>
                  </w:txbxContent>
                </v:textbox>
                <w10:wrap type="square"/>
              </v:rect>
            </w:pict>
          </mc:Fallback>
        </mc:AlternateContent>
        <mc:AlternateContent>
          <mc:Choice Requires="wpg">
            <w:drawing>
              <wp:anchor behindDoc="0" distT="0" distB="0" distL="0" distR="0" simplePos="0" locked="0" layoutInCell="1" allowOverlap="1" relativeHeight="120" wp14:anchorId="4CFF7B93">
                <wp:simplePos x="0" y="0"/>
                <wp:positionH relativeFrom="column">
                  <wp:posOffset>333375</wp:posOffset>
                </wp:positionH>
                <wp:positionV relativeFrom="paragraph">
                  <wp:posOffset>3943350</wp:posOffset>
                </wp:positionV>
                <wp:extent cx="7534275" cy="2066290"/>
                <wp:effectExtent l="0" t="0" r="0" b="0"/>
                <wp:wrapNone/>
                <wp:docPr id="155" name="Group 7"/>
                <a:graphic xmlns:a="http://schemas.openxmlformats.org/drawingml/2006/main">
                  <a:graphicData uri="http://schemas.microsoft.com/office/word/2010/wordprocessingGroup">
                    <wpg:wgp>
                      <wpg:cNvGrpSpPr/>
                      <wpg:grpSpPr>
                        <a:xfrm>
                          <a:off x="0" y="0"/>
                          <a:ext cx="7534440" cy="2066400"/>
                          <a:chOff x="0" y="0"/>
                          <a:chExt cx="7534440" cy="2066400"/>
                        </a:xfrm>
                      </wpg:grpSpPr>
                      <pic:pic xmlns:pic="http://schemas.openxmlformats.org/drawingml/2006/picture">
                        <pic:nvPicPr>
                          <pic:cNvPr id="156" name="Picture 1620926158" descr=""/>
                          <pic:cNvPicPr/>
                        </pic:nvPicPr>
                        <pic:blipFill>
                          <a:blip r:embed="rId155"/>
                          <a:stretch/>
                        </pic:blipFill>
                        <pic:spPr>
                          <a:xfrm>
                            <a:off x="0" y="0"/>
                            <a:ext cx="3409200" cy="2039040"/>
                          </a:xfrm>
                          <a:prstGeom prst="rect">
                            <a:avLst/>
                          </a:prstGeom>
                          <a:ln w="0">
                            <a:noFill/>
                          </a:ln>
                        </pic:spPr>
                      </pic:pic>
                      <pic:pic xmlns:pic="http://schemas.openxmlformats.org/drawingml/2006/picture">
                        <pic:nvPicPr>
                          <pic:cNvPr id="157" name="Picture 1018786230" descr=""/>
                          <pic:cNvPicPr/>
                        </pic:nvPicPr>
                        <pic:blipFill>
                          <a:blip r:embed="rId156"/>
                          <a:stretch/>
                        </pic:blipFill>
                        <pic:spPr>
                          <a:xfrm>
                            <a:off x="4124880" y="27360"/>
                            <a:ext cx="3409200" cy="2039040"/>
                          </a:xfrm>
                          <a:prstGeom prst="rect">
                            <a:avLst/>
                          </a:prstGeom>
                          <a:ln w="0">
                            <a:noFill/>
                          </a:ln>
                        </pic:spPr>
                      </pic:pic>
                    </wpg:wgp>
                  </a:graphicData>
                </a:graphic>
              </wp:anchor>
            </w:drawing>
          </mc:Choice>
          <mc:Fallback>
            <w:pict>
              <v:group id="shape_0" alt="Group 7" style="position:absolute;margin-left:26.25pt;margin-top:310.5pt;width:593.25pt;height:162.7pt" coordorigin="525,6210" coordsize="11865,3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620926158" stroked="f" o:allowincell="f" style="position:absolute;left:525;top:6210;width:5368;height:3210;mso-wrap-style:none;v-text-anchor:middle" type="_x0000_t75">
                  <v:imagedata r:id="rId157" o:detectmouseclick="t"/>
                  <v:stroke color="#3465a4" joinstyle="round" endcap="flat"/>
                  <w10:wrap type="none"/>
                </v:shape>
                <v:shape id="shape_0" ID="Picture 1018786230" stroked="f" o:allowincell="f" style="position:absolute;left:7021;top:6253;width:5368;height:3210;mso-wrap-style:none;v-text-anchor:middle" type="_x0000_t75">
                  <v:imagedata r:id="rId158" o:detectmouseclick="t"/>
                  <v:stroke color="#3465a4" joinstyle="round" endcap="flat"/>
                  <w10:wrap type="none"/>
                </v:shape>
              </v:group>
            </w:pict>
          </mc:Fallback>
        </mc:AlternateContent>
      </w:r>
    </w:p>
    <w:p>
      <w:pPr>
        <w:pStyle w:val="Normal"/>
        <w:rPr/>
      </w:pPr>
      <w:r>
        <w:rPr/>
        <mc:AlternateContent>
          <mc:Choice Requires="wps">
            <w:drawing>
              <wp:anchor behindDoc="0" distT="40640" distB="59690" distL="109220" distR="132080" simplePos="0" locked="0" layoutInCell="0" allowOverlap="1" relativeHeight="108" wp14:anchorId="23112097">
                <wp:simplePos x="0" y="0"/>
                <wp:positionH relativeFrom="margin">
                  <wp:align>right</wp:align>
                </wp:positionH>
                <wp:positionV relativeFrom="paragraph">
                  <wp:posOffset>635</wp:posOffset>
                </wp:positionV>
                <wp:extent cx="9121140" cy="6172200"/>
                <wp:effectExtent l="5080" t="5080" r="5080" b="5080"/>
                <wp:wrapSquare wrapText="bothSides"/>
                <wp:docPr id="158" name="Text Box 2"/>
                <a:graphic xmlns:a="http://schemas.openxmlformats.org/drawingml/2006/main">
                  <a:graphicData uri="http://schemas.microsoft.com/office/word/2010/wordprocessingShape">
                    <wps:wsp>
                      <wps:cNvSpPr/>
                      <wps:spPr>
                        <a:xfrm>
                          <a:off x="0" y="0"/>
                          <a:ext cx="9121320" cy="61722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p>
                            <w:pPr>
                              <w:pStyle w:val="FrameContents"/>
                              <w:jc w:val="center"/>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bookmarkStart w:id="137" w:name="_Toc181802669"/>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29</w:t>
                            </w:r>
                            <w:r>
                              <w:rPr/>
                              <w:fldChar w:fldCharType="end"/>
                            </w:r>
                            <w:r>
                              <w:rPr/>
                              <w:t>.  Regression of BGC model and allocated segment B volumes (km</w:t>
                            </w:r>
                            <w:r>
                              <w:rPr>
                                <w:vertAlign w:val="superscript"/>
                              </w:rPr>
                              <w:t>-3</w:t>
                            </w:r>
                            <w:r>
                              <w:rPr/>
                              <w:t>) for the 2005 – 2012 calibration (left panel) and 2013 – 2020 validation (right panel) years.</w:t>
                            </w:r>
                            <w:bookmarkEnd w:id="137"/>
                          </w:p>
                          <w:p>
                            <w:pPr>
                              <w:pStyle w:val="FrameContents"/>
                              <w:rPr/>
                            </w:pPr>
                            <w:r>
                              <w:rPr/>
                            </w:r>
                          </w:p>
                          <w:p>
                            <w:pPr>
                              <w:pStyle w:val="FrameContents"/>
                              <w:rPr/>
                            </w:pPr>
                            <w:r>
                              <w:rPr/>
                            </w:r>
                          </w:p>
                          <w:p>
                            <w:pPr>
                              <w:pStyle w:val="FrameContents"/>
                              <w:rPr/>
                            </w:pPr>
                            <w:r>
                              <w:rPr/>
                            </w:r>
                          </w:p>
                          <w:p>
                            <w:pPr>
                              <w:pStyle w:val="FrameContents"/>
                              <w:rPr/>
                            </w:pPr>
                            <w:r>
                              <w:rPr/>
                            </w:r>
                          </w:p>
                          <w:p>
                            <w:pPr>
                              <w:pStyle w:val="FrameContents"/>
                              <w:rPr/>
                            </w:pPr>
                            <w:r>
                              <w:rPr/>
                            </w:r>
                          </w:p>
                          <w:p>
                            <w:pPr>
                              <w:pStyle w:val="FrameContents"/>
                              <w:rPr/>
                            </w:pPr>
                            <w:r>
                              <w:rPr/>
                            </w:r>
                          </w:p>
                          <w:p>
                            <w:pPr>
                              <w:pStyle w:val="FrameContents"/>
                              <w:jc w:val="center"/>
                              <w:rPr/>
                            </w:pPr>
                            <w:r>
                              <w:rPr/>
                            </w:r>
                          </w:p>
                          <w:p>
                            <w:pPr>
                              <w:pStyle w:val="Caption"/>
                              <w:rPr/>
                            </w:pPr>
                            <w:r>
                              <w:rPr/>
                            </w:r>
                          </w:p>
                          <w:p>
                            <w:pPr>
                              <w:pStyle w:val="Caption"/>
                              <w:rPr/>
                            </w:pPr>
                            <w:r>
                              <w:rPr/>
                            </w:r>
                          </w:p>
                          <w:p>
                            <w:pPr>
                              <w:pStyle w:val="Caption"/>
                              <w:widowControl/>
                              <w:bidi w:val="0"/>
                              <w:spacing w:lineRule="auto" w:line="276" w:before="0" w:after="60"/>
                              <w:jc w:val="center"/>
                              <w:rPr/>
                            </w:pPr>
                            <w:bookmarkStart w:id="138" w:name="_Toc181802670"/>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30</w:t>
                            </w:r>
                            <w:r>
                              <w:rPr/>
                              <w:fldChar w:fldCharType="end"/>
                            </w:r>
                            <w:r>
                              <w:rPr/>
                              <w:t>.  Regression of BGC model and allocated segment C volumes (km</w:t>
                            </w:r>
                            <w:r>
                              <w:rPr>
                                <w:vertAlign w:val="superscript"/>
                              </w:rPr>
                              <w:t>-3</w:t>
                            </w:r>
                            <w:r>
                              <w:rPr/>
                              <w:t>) for the 2005 – 2012 calibration (left panel) and 2013 – 2020 validation (right panel) years.</w:t>
                            </w:r>
                            <w:bookmarkEnd w:id="138"/>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8.65pt;margin-top:0pt;width:718.15pt;height:485.95pt;mso-wrap-style:square;v-text-anchor:top;mso-position-horizontal:right;mso-position-horizontal-relative:margin" wp14:anchorId="23112097">
                <v:fill o:detectmouseclick="t" type="solid" color2="black"/>
                <v:stroke color="black" weight="9360" joinstyle="miter" endcap="flat"/>
                <v:textbox>
                  <w:txbxContent>
                    <w:p>
                      <w:pPr>
                        <w:pStyle w:val="FrameContents"/>
                        <w:rPr/>
                      </w:pPr>
                      <w:r>
                        <w:rPr/>
                      </w:r>
                    </w:p>
                    <w:p>
                      <w:pPr>
                        <w:pStyle w:val="FrameContents"/>
                        <w:jc w:val="center"/>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r>
                        <w:rPr/>
                      </w:r>
                    </w:p>
                    <w:p>
                      <w:pPr>
                        <w:pStyle w:val="Caption"/>
                        <w:rPr/>
                      </w:pPr>
                      <w:bookmarkStart w:id="139" w:name="_Toc181802669"/>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29</w:t>
                      </w:r>
                      <w:r>
                        <w:rPr/>
                        <w:fldChar w:fldCharType="end"/>
                      </w:r>
                      <w:r>
                        <w:rPr/>
                        <w:t>.  Regression of BGC model and allocated segment B volumes (km</w:t>
                      </w:r>
                      <w:r>
                        <w:rPr>
                          <w:vertAlign w:val="superscript"/>
                        </w:rPr>
                        <w:t>-3</w:t>
                      </w:r>
                      <w:r>
                        <w:rPr/>
                        <w:t>) for the 2005 – 2012 calibration (left panel) and 2013 – 2020 validation (right panel) years.</w:t>
                      </w:r>
                      <w:bookmarkEnd w:id="139"/>
                    </w:p>
                    <w:p>
                      <w:pPr>
                        <w:pStyle w:val="FrameContents"/>
                        <w:rPr/>
                      </w:pPr>
                      <w:r>
                        <w:rPr/>
                      </w:r>
                    </w:p>
                    <w:p>
                      <w:pPr>
                        <w:pStyle w:val="FrameContents"/>
                        <w:rPr/>
                      </w:pPr>
                      <w:r>
                        <w:rPr/>
                      </w:r>
                    </w:p>
                    <w:p>
                      <w:pPr>
                        <w:pStyle w:val="FrameContents"/>
                        <w:rPr/>
                      </w:pPr>
                      <w:r>
                        <w:rPr/>
                      </w:r>
                    </w:p>
                    <w:p>
                      <w:pPr>
                        <w:pStyle w:val="FrameContents"/>
                        <w:rPr/>
                      </w:pPr>
                      <w:r>
                        <w:rPr/>
                      </w:r>
                    </w:p>
                    <w:p>
                      <w:pPr>
                        <w:pStyle w:val="FrameContents"/>
                        <w:rPr/>
                      </w:pPr>
                      <w:r>
                        <w:rPr/>
                      </w:r>
                    </w:p>
                    <w:p>
                      <w:pPr>
                        <w:pStyle w:val="FrameContents"/>
                        <w:rPr/>
                      </w:pPr>
                      <w:r>
                        <w:rPr/>
                      </w:r>
                    </w:p>
                    <w:p>
                      <w:pPr>
                        <w:pStyle w:val="FrameContents"/>
                        <w:jc w:val="center"/>
                        <w:rPr/>
                      </w:pPr>
                      <w:r>
                        <w:rPr/>
                      </w:r>
                    </w:p>
                    <w:p>
                      <w:pPr>
                        <w:pStyle w:val="Caption"/>
                        <w:rPr/>
                      </w:pPr>
                      <w:r>
                        <w:rPr/>
                      </w:r>
                    </w:p>
                    <w:p>
                      <w:pPr>
                        <w:pStyle w:val="Caption"/>
                        <w:rPr/>
                      </w:pPr>
                      <w:r>
                        <w:rPr/>
                      </w:r>
                    </w:p>
                    <w:p>
                      <w:pPr>
                        <w:pStyle w:val="Caption"/>
                        <w:widowControl/>
                        <w:bidi w:val="0"/>
                        <w:spacing w:lineRule="auto" w:line="276" w:before="0" w:after="60"/>
                        <w:jc w:val="center"/>
                        <w:rPr/>
                      </w:pPr>
                      <w:bookmarkStart w:id="140" w:name="_Toc181802670"/>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30</w:t>
                      </w:r>
                      <w:r>
                        <w:rPr/>
                        <w:fldChar w:fldCharType="end"/>
                      </w:r>
                      <w:r>
                        <w:rPr/>
                        <w:t>.  Regression of BGC model and allocated segment C volumes (km</w:t>
                      </w:r>
                      <w:r>
                        <w:rPr>
                          <w:vertAlign w:val="superscript"/>
                        </w:rPr>
                        <w:t>-3</w:t>
                      </w:r>
                      <w:r>
                        <w:rPr/>
                        <w:t>) for the 2005 – 2012 calibration (left panel) and 2013 – 2020 validation (right panel) years.</w:t>
                      </w:r>
                      <w:bookmarkEnd w:id="140"/>
                    </w:p>
                  </w:txbxContent>
                </v:textbox>
                <w10:wrap type="square"/>
              </v:rect>
            </w:pict>
          </mc:Fallback>
        </mc:AlternateContent>
        <mc:AlternateContent>
          <mc:Choice Requires="wpg">
            <w:drawing>
              <wp:anchor behindDoc="0" distT="0" distB="0" distL="0" distR="0" simplePos="0" locked="0" layoutInCell="1" allowOverlap="1" relativeHeight="122" wp14:anchorId="469D33D3">
                <wp:simplePos x="0" y="0"/>
                <wp:positionH relativeFrom="column">
                  <wp:posOffset>342900</wp:posOffset>
                </wp:positionH>
                <wp:positionV relativeFrom="paragraph">
                  <wp:posOffset>295275</wp:posOffset>
                </wp:positionV>
                <wp:extent cx="7533640" cy="2065655"/>
                <wp:effectExtent l="0" t="0" r="0" b="0"/>
                <wp:wrapNone/>
                <wp:docPr id="159" name="Group 8"/>
                <a:graphic xmlns:a="http://schemas.openxmlformats.org/drawingml/2006/main">
                  <a:graphicData uri="http://schemas.microsoft.com/office/word/2010/wordprocessingGroup">
                    <wpg:wgp>
                      <wpg:cNvGrpSpPr/>
                      <wpg:grpSpPr>
                        <a:xfrm>
                          <a:off x="0" y="0"/>
                          <a:ext cx="7533720" cy="2065680"/>
                          <a:chOff x="0" y="0"/>
                          <a:chExt cx="7533720" cy="2065680"/>
                        </a:xfrm>
                      </wpg:grpSpPr>
                      <pic:pic xmlns:pic="http://schemas.openxmlformats.org/drawingml/2006/picture">
                        <pic:nvPicPr>
                          <pic:cNvPr id="160" name="Picture 1610649897" descr=""/>
                          <pic:cNvPicPr/>
                        </pic:nvPicPr>
                        <pic:blipFill>
                          <a:blip r:embed="rId159"/>
                          <a:stretch/>
                        </pic:blipFill>
                        <pic:spPr>
                          <a:xfrm>
                            <a:off x="0" y="0"/>
                            <a:ext cx="3409200" cy="2038320"/>
                          </a:xfrm>
                          <a:prstGeom prst="rect">
                            <a:avLst/>
                          </a:prstGeom>
                          <a:ln w="0">
                            <a:noFill/>
                          </a:ln>
                        </pic:spPr>
                      </pic:pic>
                      <pic:pic xmlns:pic="http://schemas.openxmlformats.org/drawingml/2006/picture">
                        <pic:nvPicPr>
                          <pic:cNvPr id="161" name="Picture 1194520977" descr=""/>
                          <pic:cNvPicPr/>
                        </pic:nvPicPr>
                        <pic:blipFill>
                          <a:blip r:embed="rId160"/>
                          <a:stretch/>
                        </pic:blipFill>
                        <pic:spPr>
                          <a:xfrm>
                            <a:off x="4124160" y="27360"/>
                            <a:ext cx="3409200" cy="2038320"/>
                          </a:xfrm>
                          <a:prstGeom prst="rect">
                            <a:avLst/>
                          </a:prstGeom>
                          <a:ln w="0">
                            <a:noFill/>
                          </a:ln>
                        </pic:spPr>
                      </pic:pic>
                    </wpg:wgp>
                  </a:graphicData>
                </a:graphic>
              </wp:anchor>
            </w:drawing>
          </mc:Choice>
          <mc:Fallback>
            <w:pict>
              <v:group id="shape_0" alt="Group 8" style="position:absolute;margin-left:27pt;margin-top:23.25pt;width:593.2pt;height:162.65pt" coordorigin="540,465" coordsize="11864,3253">
                <v:shape id="shape_0" ID="Picture 1610649897" stroked="f" o:allowincell="f" style="position:absolute;left:540;top:465;width:5368;height:3209;mso-wrap-style:none;v-text-anchor:middle" type="_x0000_t75">
                  <v:imagedata r:id="rId161" o:detectmouseclick="t"/>
                  <v:stroke color="#3465a4" joinstyle="round" endcap="flat"/>
                  <w10:wrap type="none"/>
                </v:shape>
                <v:shape id="shape_0" ID="Picture 1194520977" stroked="f" o:allowincell="f" style="position:absolute;left:7035;top:508;width:5368;height:3209;mso-wrap-style:none;v-text-anchor:middle" type="_x0000_t75">
                  <v:imagedata r:id="rId162" o:detectmouseclick="t"/>
                  <v:stroke color="#3465a4" joinstyle="round" endcap="flat"/>
                  <w10:wrap type="none"/>
                </v:shape>
              </v:group>
            </w:pict>
          </mc:Fallback>
        </mc:AlternateContent>
        <mc:AlternateContent>
          <mc:Choice Requires="wpg">
            <w:drawing>
              <wp:anchor behindDoc="0" distT="0" distB="5715" distL="0" distR="635" simplePos="0" locked="0" layoutInCell="1" allowOverlap="1" relativeHeight="123" wp14:anchorId="47449B54">
                <wp:simplePos x="0" y="0"/>
                <wp:positionH relativeFrom="column">
                  <wp:posOffset>333375</wp:posOffset>
                </wp:positionH>
                <wp:positionV relativeFrom="paragraph">
                  <wp:posOffset>2990850</wp:posOffset>
                </wp:positionV>
                <wp:extent cx="7639050" cy="2108835"/>
                <wp:effectExtent l="0" t="0" r="635" b="5715"/>
                <wp:wrapNone/>
                <wp:docPr id="162" name="Group 9"/>
                <a:graphic xmlns:a="http://schemas.openxmlformats.org/drawingml/2006/main">
                  <a:graphicData uri="http://schemas.microsoft.com/office/word/2010/wordprocessingGroup">
                    <wpg:wgp>
                      <wpg:cNvGrpSpPr/>
                      <wpg:grpSpPr>
                        <a:xfrm>
                          <a:off x="0" y="0"/>
                          <a:ext cx="7639200" cy="2108880"/>
                          <a:chOff x="0" y="0"/>
                          <a:chExt cx="7639200" cy="2108880"/>
                        </a:xfrm>
                      </wpg:grpSpPr>
                      <pic:pic xmlns:pic="http://schemas.openxmlformats.org/drawingml/2006/picture">
                        <pic:nvPicPr>
                          <pic:cNvPr id="163" name="Picture 580513256" descr=""/>
                          <pic:cNvPicPr/>
                        </pic:nvPicPr>
                        <pic:blipFill>
                          <a:blip r:embed="rId163"/>
                          <a:stretch/>
                        </pic:blipFill>
                        <pic:spPr>
                          <a:xfrm>
                            <a:off x="0" y="69840"/>
                            <a:ext cx="3409200" cy="2039040"/>
                          </a:xfrm>
                          <a:prstGeom prst="rect">
                            <a:avLst/>
                          </a:prstGeom>
                          <a:ln w="0">
                            <a:noFill/>
                          </a:ln>
                        </pic:spPr>
                      </pic:pic>
                      <pic:pic xmlns:pic="http://schemas.openxmlformats.org/drawingml/2006/picture">
                        <pic:nvPicPr>
                          <pic:cNvPr id="164" name="Picture 1731630574" descr=""/>
                          <pic:cNvPicPr/>
                        </pic:nvPicPr>
                        <pic:blipFill>
                          <a:blip r:embed="rId164"/>
                          <a:stretch/>
                        </pic:blipFill>
                        <pic:spPr>
                          <a:xfrm>
                            <a:off x="4124880" y="0"/>
                            <a:ext cx="3513960" cy="2108880"/>
                          </a:xfrm>
                          <a:prstGeom prst="rect">
                            <a:avLst/>
                          </a:prstGeom>
                          <a:ln w="0">
                            <a:noFill/>
                          </a:ln>
                        </pic:spPr>
                      </pic:pic>
                    </wpg:wgp>
                  </a:graphicData>
                </a:graphic>
              </wp:anchor>
            </w:drawing>
          </mc:Choice>
          <mc:Fallback>
            <w:pict>
              <v:group id="shape_0" alt="Group 9" style="position:absolute;margin-left:26.25pt;margin-top:235.5pt;width:601.5pt;height:166.05pt" coordorigin="525,4710" coordsize="12030,3321">
                <v:shape id="shape_0" ID="Picture 580513256" stroked="f" o:allowincell="f" style="position:absolute;left:525;top:4820;width:5368;height:3210;mso-wrap-style:none;v-text-anchor:middle" type="_x0000_t75">
                  <v:imagedata r:id="rId165" o:detectmouseclick="t"/>
                  <v:stroke color="#3465a4" joinstyle="round" endcap="flat"/>
                  <w10:wrap type="none"/>
                </v:shape>
                <v:shape id="shape_0" ID="Picture 1731630574" stroked="f" o:allowincell="f" style="position:absolute;left:7021;top:4710;width:5533;height:3320;mso-wrap-style:none;v-text-anchor:middle" type="_x0000_t75">
                  <v:imagedata r:id="rId166" o:detectmouseclick="t"/>
                  <v:stroke color="#3465a4" joinstyle="round" endcap="flat"/>
                  <w10:wrap type="none"/>
                </v:shape>
              </v:group>
            </w:pict>
          </mc:Fallback>
        </mc:AlternateContent>
      </w:r>
    </w:p>
    <w:p>
      <w:pPr>
        <w:pStyle w:val="Normal"/>
        <w:rPr/>
      </w:pPr>
      <w:r>
        <w:rPr/>
        <mc:AlternateContent>
          <mc:Choice Requires="wps">
            <w:drawing>
              <wp:anchor behindDoc="0" distT="40640" distB="66675" distL="109220" distR="132080" simplePos="0" locked="0" layoutInCell="0" allowOverlap="1" relativeHeight="104" wp14:anchorId="7AF42FD7">
                <wp:simplePos x="0" y="0"/>
                <wp:positionH relativeFrom="margin">
                  <wp:align>right</wp:align>
                </wp:positionH>
                <wp:positionV relativeFrom="paragraph">
                  <wp:posOffset>156210</wp:posOffset>
                </wp:positionV>
                <wp:extent cx="9121140" cy="6278880"/>
                <wp:effectExtent l="5080" t="5080" r="5080" b="5080"/>
                <wp:wrapSquare wrapText="bothSides"/>
                <wp:docPr id="165" name="Text Box 2"/>
                <a:graphic xmlns:a="http://schemas.openxmlformats.org/drawingml/2006/main">
                  <a:graphicData uri="http://schemas.microsoft.com/office/word/2010/wordprocessingShape">
                    <wps:wsp>
                      <wps:cNvSpPr/>
                      <wps:spPr>
                        <a:xfrm>
                          <a:off x="0" y="0"/>
                          <a:ext cx="9121320" cy="6278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r>
                          </w:p>
                          <w:p>
                            <w:pPr>
                              <w:pStyle w:val="FrameContents"/>
                              <w:jc w:val="center"/>
                              <w:rPr/>
                            </w:pPr>
                            <w:r>
                              <w:rPr/>
                              <w:drawing>
                                <wp:inline distT="0" distB="0" distL="0" distR="0">
                                  <wp:extent cx="8183880" cy="2341880"/>
                                  <wp:effectExtent l="0" t="0" r="0" b="0"/>
                                  <wp:docPr id="167"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4" descr=""/>
                                          <pic:cNvPicPr>
                                            <a:picLocks noChangeAspect="1" noChangeArrowheads="1"/>
                                          </pic:cNvPicPr>
                                        </pic:nvPicPr>
                                        <pic:blipFill>
                                          <a:blip r:embed="rId167"/>
                                          <a:stretch>
                                            <a:fillRect/>
                                          </a:stretch>
                                        </pic:blipFill>
                                        <pic:spPr bwMode="auto">
                                          <a:xfrm>
                                            <a:off x="0" y="0"/>
                                            <a:ext cx="8183880" cy="2341880"/>
                                          </a:xfrm>
                                          <a:prstGeom prst="rect">
                                            <a:avLst/>
                                          </a:prstGeom>
                                        </pic:spPr>
                                      </pic:pic>
                                    </a:graphicData>
                                  </a:graphic>
                                </wp:inline>
                              </w:drawing>
                            </w:r>
                          </w:p>
                          <w:p>
                            <w:pPr>
                              <w:pStyle w:val="Caption"/>
                              <w:rPr/>
                            </w:pPr>
                            <w:bookmarkStart w:id="141" w:name="_Toc181802671"/>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31</w:t>
                            </w:r>
                            <w:r>
                              <w:rPr/>
                              <w:fldChar w:fldCharType="end"/>
                            </w:r>
                            <w:r>
                              <w:rPr/>
                              <w:t>.  Daily transport coefficients (1/day) from segment A to B computed for the calibration years (2005 – 2012, left panel) and validation years (2013 – 2020, right panel).</w:t>
                            </w:r>
                            <w:bookmarkEnd w:id="141"/>
                          </w:p>
                          <w:p>
                            <w:pPr>
                              <w:pStyle w:val="FrameContents"/>
                              <w:rPr/>
                            </w:pPr>
                            <w:r>
                              <w:rPr/>
                              <w:drawing>
                                <wp:inline distT="0" distB="0" distL="0" distR="0">
                                  <wp:extent cx="8564880" cy="2491740"/>
                                  <wp:effectExtent l="0" t="0" r="0" b="0"/>
                                  <wp:docPr id="16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8" descr=""/>
                                          <pic:cNvPicPr>
                                            <a:picLocks noChangeAspect="1" noChangeArrowheads="1"/>
                                          </pic:cNvPicPr>
                                        </pic:nvPicPr>
                                        <pic:blipFill>
                                          <a:blip r:embed="rId168"/>
                                          <a:stretch>
                                            <a:fillRect/>
                                          </a:stretch>
                                        </pic:blipFill>
                                        <pic:spPr bwMode="auto">
                                          <a:xfrm>
                                            <a:off x="0" y="0"/>
                                            <a:ext cx="8564880" cy="2491740"/>
                                          </a:xfrm>
                                          <a:prstGeom prst="rect">
                                            <a:avLst/>
                                          </a:prstGeom>
                                        </pic:spPr>
                                      </pic:pic>
                                    </a:graphicData>
                                  </a:graphic>
                                </wp:inline>
                              </w:drawing>
                            </w:r>
                          </w:p>
                          <w:p>
                            <w:pPr>
                              <w:pStyle w:val="Caption"/>
                              <w:rPr/>
                            </w:pPr>
                            <w:bookmarkStart w:id="142" w:name="_Toc181802672"/>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32</w:t>
                            </w:r>
                            <w:r>
                              <w:rPr/>
                              <w:fldChar w:fldCharType="end"/>
                            </w:r>
                            <w:r>
                              <w:rPr/>
                              <w:t>.  Daily transport coefficients (1/day) from segment A to B computed for the calibration years (2005 – 2012, left panel) and validation years (2013 – 2020, right panel).</w:t>
                            </w:r>
                            <w:bookmarkEnd w:id="142"/>
                          </w:p>
                          <w:p>
                            <w:pPr>
                              <w:pStyle w:val="FrameContents"/>
                              <w:spacing w:before="0" w:after="120"/>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8.65pt;margin-top:12.3pt;width:718.15pt;height:494.35pt;mso-wrap-style:square;v-text-anchor:top;mso-position-horizontal:right;mso-position-horizontal-relative:margin" wp14:anchorId="7AF42FD7">
                <v:fill o:detectmouseclick="t" type="solid" color2="black"/>
                <v:stroke color="black" weight="9360" joinstyle="miter" endcap="flat"/>
                <v:textbox>
                  <w:txbxContent>
                    <w:p>
                      <w:pPr>
                        <w:pStyle w:val="FrameContents"/>
                        <w:rPr/>
                      </w:pPr>
                      <w:r>
                        <w:rPr/>
                      </w:r>
                    </w:p>
                    <w:p>
                      <w:pPr>
                        <w:pStyle w:val="FrameContents"/>
                        <w:jc w:val="center"/>
                        <w:rPr/>
                      </w:pPr>
                      <w:r>
                        <w:rPr/>
                        <w:drawing>
                          <wp:inline distT="0" distB="0" distL="0" distR="0">
                            <wp:extent cx="8183880" cy="2341880"/>
                            <wp:effectExtent l="0" t="0" r="0" b="0"/>
                            <wp:docPr id="169"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44" descr=""/>
                                    <pic:cNvPicPr>
                                      <a:picLocks noChangeAspect="1" noChangeArrowheads="1"/>
                                    </pic:cNvPicPr>
                                  </pic:nvPicPr>
                                  <pic:blipFill>
                                    <a:blip r:embed="rId169"/>
                                    <a:stretch>
                                      <a:fillRect/>
                                    </a:stretch>
                                  </pic:blipFill>
                                  <pic:spPr bwMode="auto">
                                    <a:xfrm>
                                      <a:off x="0" y="0"/>
                                      <a:ext cx="8183880" cy="2341880"/>
                                    </a:xfrm>
                                    <a:prstGeom prst="rect">
                                      <a:avLst/>
                                    </a:prstGeom>
                                  </pic:spPr>
                                </pic:pic>
                              </a:graphicData>
                            </a:graphic>
                          </wp:inline>
                        </w:drawing>
                      </w:r>
                    </w:p>
                    <w:p>
                      <w:pPr>
                        <w:pStyle w:val="Caption"/>
                        <w:rPr/>
                      </w:pPr>
                      <w:bookmarkStart w:id="143" w:name="_Toc181802671"/>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31</w:t>
                      </w:r>
                      <w:r>
                        <w:rPr/>
                        <w:fldChar w:fldCharType="end"/>
                      </w:r>
                      <w:r>
                        <w:rPr/>
                        <w:t>.  Daily transport coefficients (1/day) from segment A to B computed for the calibration years (2005 – 2012, left panel) and validation years (2013 – 2020, right panel).</w:t>
                      </w:r>
                      <w:bookmarkEnd w:id="143"/>
                    </w:p>
                    <w:p>
                      <w:pPr>
                        <w:pStyle w:val="FrameContents"/>
                        <w:rPr/>
                      </w:pPr>
                      <w:r>
                        <w:rPr/>
                        <w:drawing>
                          <wp:inline distT="0" distB="0" distL="0" distR="0">
                            <wp:extent cx="8564880" cy="2491740"/>
                            <wp:effectExtent l="0" t="0" r="0" b="0"/>
                            <wp:docPr id="170"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28" descr=""/>
                                    <pic:cNvPicPr>
                                      <a:picLocks noChangeAspect="1" noChangeArrowheads="1"/>
                                    </pic:cNvPicPr>
                                  </pic:nvPicPr>
                                  <pic:blipFill>
                                    <a:blip r:embed="rId170"/>
                                    <a:stretch>
                                      <a:fillRect/>
                                    </a:stretch>
                                  </pic:blipFill>
                                  <pic:spPr bwMode="auto">
                                    <a:xfrm>
                                      <a:off x="0" y="0"/>
                                      <a:ext cx="8564880" cy="2491740"/>
                                    </a:xfrm>
                                    <a:prstGeom prst="rect">
                                      <a:avLst/>
                                    </a:prstGeom>
                                  </pic:spPr>
                                </pic:pic>
                              </a:graphicData>
                            </a:graphic>
                          </wp:inline>
                        </w:drawing>
                      </w:r>
                    </w:p>
                    <w:p>
                      <w:pPr>
                        <w:pStyle w:val="Caption"/>
                        <w:rPr/>
                      </w:pPr>
                      <w:bookmarkStart w:id="144" w:name="_Toc181802672"/>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32</w:t>
                      </w:r>
                      <w:r>
                        <w:rPr/>
                        <w:fldChar w:fldCharType="end"/>
                      </w:r>
                      <w:r>
                        <w:rPr/>
                        <w:t>.  Daily transport coefficients (1/day) from segment A to B computed for the calibration years (2005 – 2012, left panel) and validation years (2013 – 2020, right panel).</w:t>
                      </w:r>
                      <w:bookmarkEnd w:id="144"/>
                    </w:p>
                    <w:p>
                      <w:pPr>
                        <w:pStyle w:val="FrameContents"/>
                        <w:spacing w:before="0" w:after="120"/>
                        <w:rPr/>
                      </w:pPr>
                      <w:r>
                        <w:rPr/>
                      </w:r>
                    </w:p>
                  </w:txbxContent>
                </v:textbox>
                <w10:wrap type="square"/>
              </v:rect>
            </w:pict>
          </mc:Fallback>
        </mc:AlternateContent>
      </w:r>
    </w:p>
    <w:p>
      <w:pPr>
        <w:pStyle w:val="Normal"/>
        <w:rPr/>
      </w:pPr>
      <w:r>
        <w:rPr/>
        <mc:AlternateContent>
          <mc:Choice Requires="wps">
            <w:drawing>
              <wp:anchor behindDoc="0" distT="40640" distB="52070" distL="109220" distR="132080" simplePos="0" locked="0" layoutInCell="0" allowOverlap="1" relativeHeight="106" wp14:anchorId="0F032CE6">
                <wp:simplePos x="0" y="0"/>
                <wp:positionH relativeFrom="margin">
                  <wp:align>right</wp:align>
                </wp:positionH>
                <wp:positionV relativeFrom="paragraph">
                  <wp:posOffset>118110</wp:posOffset>
                </wp:positionV>
                <wp:extent cx="9121140" cy="3322320"/>
                <wp:effectExtent l="5080" t="5080" r="5080" b="5080"/>
                <wp:wrapSquare wrapText="bothSides"/>
                <wp:docPr id="166" name="Text Box 2"/>
                <a:graphic xmlns:a="http://schemas.openxmlformats.org/drawingml/2006/main">
                  <a:graphicData uri="http://schemas.microsoft.com/office/word/2010/wordprocessingShape">
                    <wps:wsp>
                      <wps:cNvSpPr/>
                      <wps:spPr>
                        <a:xfrm>
                          <a:off x="0" y="0"/>
                          <a:ext cx="9121320" cy="3322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r>
                          </w:p>
                          <w:p>
                            <w:pPr>
                              <w:pStyle w:val="FrameContents"/>
                              <w:jc w:val="center"/>
                              <w:rPr/>
                            </w:pPr>
                            <w:r>
                              <w:rPr/>
                              <w:drawing>
                                <wp:inline distT="0" distB="0" distL="0" distR="0">
                                  <wp:extent cx="8595360" cy="2415540"/>
                                  <wp:effectExtent l="0" t="0" r="0" b="0"/>
                                  <wp:docPr id="168"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9" descr=""/>
                                          <pic:cNvPicPr>
                                            <a:picLocks noChangeAspect="1" noChangeArrowheads="1"/>
                                          </pic:cNvPicPr>
                                        </pic:nvPicPr>
                                        <pic:blipFill>
                                          <a:blip r:embed="rId171"/>
                                          <a:stretch>
                                            <a:fillRect/>
                                          </a:stretch>
                                        </pic:blipFill>
                                        <pic:spPr bwMode="auto">
                                          <a:xfrm>
                                            <a:off x="0" y="0"/>
                                            <a:ext cx="8595360" cy="2415540"/>
                                          </a:xfrm>
                                          <a:prstGeom prst="rect">
                                            <a:avLst/>
                                          </a:prstGeom>
                                        </pic:spPr>
                                      </pic:pic>
                                    </a:graphicData>
                                  </a:graphic>
                                </wp:inline>
                              </w:drawing>
                            </w:r>
                          </w:p>
                          <w:p>
                            <w:pPr>
                              <w:pStyle w:val="Caption"/>
                              <w:widowControl/>
                              <w:bidi w:val="0"/>
                              <w:spacing w:lineRule="auto" w:line="276" w:before="0" w:after="60"/>
                              <w:jc w:val="center"/>
                              <w:rPr/>
                            </w:pPr>
                            <w:bookmarkStart w:id="145" w:name="_Toc181802673"/>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33</w:t>
                            </w:r>
                            <w:r>
                              <w:rPr/>
                              <w:fldChar w:fldCharType="end"/>
                            </w:r>
                            <w:r>
                              <w:rPr/>
                              <w:t>.  Daily transport coefficients (1/day) from segment C out of FW1 computed for the calibration years (2005 – 2012, left panel) and validation years (2013 – 2020, right panel).</w:t>
                            </w:r>
                            <w:bookmarkEnd w:id="145"/>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8.65pt;margin-top:9.3pt;width:718.15pt;height:261.55pt;mso-wrap-style:square;v-text-anchor:top;mso-position-horizontal:right;mso-position-horizontal-relative:margin" wp14:anchorId="0F032CE6">
                <v:fill o:detectmouseclick="t" type="solid" color2="black"/>
                <v:stroke color="black" weight="9360" joinstyle="miter" endcap="flat"/>
                <v:textbox>
                  <w:txbxContent>
                    <w:p>
                      <w:pPr>
                        <w:pStyle w:val="FrameContents"/>
                        <w:jc w:val="center"/>
                        <w:rPr/>
                      </w:pPr>
                      <w:r>
                        <w:rPr/>
                      </w:r>
                    </w:p>
                    <w:p>
                      <w:pPr>
                        <w:pStyle w:val="FrameContents"/>
                        <w:jc w:val="center"/>
                        <w:rPr/>
                      </w:pPr>
                      <w:r>
                        <w:rPr/>
                        <w:drawing>
                          <wp:inline distT="0" distB="0" distL="0" distR="0">
                            <wp:extent cx="8595360" cy="2415540"/>
                            <wp:effectExtent l="0" t="0" r="0" b="0"/>
                            <wp:docPr id="16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29" descr=""/>
                                    <pic:cNvPicPr>
                                      <a:picLocks noChangeAspect="1" noChangeArrowheads="1"/>
                                    </pic:cNvPicPr>
                                  </pic:nvPicPr>
                                  <pic:blipFill>
                                    <a:blip r:embed="rId172"/>
                                    <a:stretch>
                                      <a:fillRect/>
                                    </a:stretch>
                                  </pic:blipFill>
                                  <pic:spPr bwMode="auto">
                                    <a:xfrm>
                                      <a:off x="0" y="0"/>
                                      <a:ext cx="8595360" cy="2415540"/>
                                    </a:xfrm>
                                    <a:prstGeom prst="rect">
                                      <a:avLst/>
                                    </a:prstGeom>
                                  </pic:spPr>
                                </pic:pic>
                              </a:graphicData>
                            </a:graphic>
                          </wp:inline>
                        </w:drawing>
                      </w:r>
                    </w:p>
                    <w:p>
                      <w:pPr>
                        <w:pStyle w:val="Caption"/>
                        <w:widowControl/>
                        <w:bidi w:val="0"/>
                        <w:spacing w:lineRule="auto" w:line="276" w:before="0" w:after="60"/>
                        <w:jc w:val="center"/>
                        <w:rPr/>
                      </w:pPr>
                      <w:bookmarkStart w:id="146" w:name="_Toc181802673"/>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33</w:t>
                      </w:r>
                      <w:r>
                        <w:rPr/>
                        <w:fldChar w:fldCharType="end"/>
                      </w:r>
                      <w:r>
                        <w:rPr/>
                        <w:t>.  Daily transport coefficients (1/day) from segment C out of FW1 computed for the calibration years (2005 – 2012, left panel) and validation years (2013 – 2020, right panel).</w:t>
                      </w:r>
                      <w:bookmarkEnd w:id="146"/>
                    </w:p>
                  </w:txbxContent>
                </v:textbox>
                <w10:wrap type="square"/>
              </v:rect>
            </w:pict>
          </mc:Fallback>
        </mc:AlternateContent>
      </w:r>
      <w:bookmarkStart w:id="147" w:name="_Hlk170417862"/>
      <w:bookmarkStart w:id="148" w:name="_Hlk170417862"/>
    </w:p>
    <w:p>
      <w:pPr>
        <w:pStyle w:val="Caption"/>
        <w:spacing w:lineRule="auto" w:line="240"/>
        <w:rPr>
          <w:color w:themeColor="text1" w:val="000000"/>
        </w:rPr>
      </w:pPr>
      <w:bookmarkStart w:id="149" w:name="_Toc182250927"/>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CASM-STA MODEL Development</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18</w:t>
      </w:r>
      <w:r>
        <w:rPr>
          <w:color w:themeColor="text1" w:val="000000"/>
        </w:rPr>
        <w:fldChar w:fldCharType="end"/>
      </w:r>
      <w:r>
        <w:rPr>
          <w:color w:themeColor="text1" w:val="000000"/>
        </w:rPr>
        <w:t>. Transport rates (1/d) derived from BGC and EMP models for 2005 - 2012.</w:t>
      </w:r>
      <w:bookmarkEnd w:id="148"/>
      <w:bookmarkEnd w:id="149"/>
    </w:p>
    <w:tbl>
      <w:tblPr>
        <w:tblStyle w:val="TableGrid"/>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58"/>
        <w:gridCol w:w="1558"/>
        <w:gridCol w:w="1558"/>
        <w:gridCol w:w="1557"/>
        <w:gridCol w:w="1560"/>
        <w:gridCol w:w="1558"/>
      </w:tblGrid>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Model</w:t>
            </w:r>
          </w:p>
        </w:tc>
        <w:tc>
          <w:tcPr>
            <w:tcW w:w="1558"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1558"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1557"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CV (%)</w:t>
            </w:r>
          </w:p>
        </w:tc>
        <w:tc>
          <w:tcPr>
            <w:tcW w:w="1560"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Min</w:t>
            </w:r>
          </w:p>
        </w:tc>
        <w:tc>
          <w:tcPr>
            <w:tcW w:w="1558"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max</w:t>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QAB</w:t>
            </w:r>
          </w:p>
        </w:tc>
        <w:tc>
          <w:tcPr>
            <w:tcW w:w="1558"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c>
          <w:tcPr>
            <w:tcW w:w="1557"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c>
          <w:tcPr>
            <w:tcW w:w="1560"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BGC</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0.0980</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0.0632</w:t>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64.5</w:t>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0.0010</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0.3545</w:t>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EMP</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0.1045</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0.0666</w:t>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63.7</w:t>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0.0015</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0.4930</w:t>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QBC</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BGC</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0.1038</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0.0681</w:t>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65.7</w:t>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0.0010</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0.3511</w:t>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EMP</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0.1101</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0.0690</w:t>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62.7</w:t>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0.0015</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0.4358</w:t>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Qout</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BGC</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0.1109</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0.0754</w:t>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68.0</w:t>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0.0010</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0.4015</w:t>
            </w:r>
          </w:p>
        </w:tc>
      </w:tr>
      <w:tr>
        <w:trPr>
          <w:trHeight w:val="259" w:hRule="exact"/>
        </w:trPr>
        <w:tc>
          <w:tcPr>
            <w:tcW w:w="155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EMP</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0.1166</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0.0722</w:t>
            </w:r>
          </w:p>
        </w:tc>
        <w:tc>
          <w:tcPr>
            <w:tcW w:w="155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61.9</w:t>
            </w:r>
          </w:p>
        </w:tc>
        <w:tc>
          <w:tcPr>
            <w:tcW w:w="1560"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0.0015</w:t>
            </w:r>
          </w:p>
        </w:tc>
        <w:tc>
          <w:tcPr>
            <w:tcW w:w="155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0.3748</w:t>
            </w:r>
          </w:p>
        </w:tc>
      </w:tr>
    </w:tbl>
    <w:p>
      <w:pPr>
        <w:sectPr>
          <w:headerReference w:type="default" r:id="rId173"/>
          <w:headerReference w:type="first" r:id="rId174"/>
          <w:footerReference w:type="default" r:id="rId175"/>
          <w:footerReference w:type="first" r:id="rId176"/>
          <w:type w:val="nextPage"/>
          <w:pgSz w:orient="landscape" w:w="15840" w:h="12240"/>
          <w:pgMar w:left="720" w:right="720" w:gutter="0" w:header="576" w:top="720" w:footer="576" w:bottom="720"/>
          <w:pgNumType w:start="1" w:fmt="decimal"/>
          <w:formProt w:val="false"/>
          <w:titlePg/>
          <w:textDirection w:val="lrTb"/>
          <w:docGrid w:type="default" w:linePitch="299" w:charSpace="0"/>
        </w:sectPr>
        <w:pStyle w:val="Normal"/>
        <w:rPr/>
      </w:pPr>
      <w:r>
        <w:rPr/>
      </w:r>
    </w:p>
    <w:p>
      <w:pPr>
        <w:pStyle w:val="Caption"/>
        <w:spacing w:lineRule="auto" w:line="240"/>
        <w:rPr>
          <w:color w:themeColor="text1" w:val="000000"/>
        </w:rPr>
      </w:pPr>
      <w:bookmarkStart w:id="150" w:name="_Hlk170418395"/>
      <w:bookmarkStart w:id="151" w:name="_Toc182250928"/>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CASM-STA MODEL Development</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19</w:t>
      </w:r>
      <w:r>
        <w:rPr>
          <w:color w:themeColor="text1" w:val="000000"/>
        </w:rPr>
        <w:fldChar w:fldCharType="end"/>
      </w:r>
      <w:r>
        <w:rPr>
          <w:color w:themeColor="text1" w:val="000000"/>
        </w:rPr>
        <w:t>. Transport rates (1/d) derived from BGC and EMP models for 2013 - 2020.</w:t>
      </w:r>
      <w:bookmarkEnd w:id="150"/>
      <w:bookmarkEnd w:id="151"/>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62"/>
        <w:gridCol w:w="1367"/>
        <w:gridCol w:w="1367"/>
        <w:gridCol w:w="1309"/>
        <w:gridCol w:w="1209"/>
        <w:gridCol w:w="1368"/>
        <w:gridCol w:w="1367"/>
      </w:tblGrid>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Model</w:t>
            </w:r>
          </w:p>
        </w:tc>
        <w:tc>
          <w:tcPr>
            <w:tcW w:w="1367"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1367"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1309"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CV (%)</w:t>
            </w:r>
          </w:p>
        </w:tc>
        <w:tc>
          <w:tcPr>
            <w:tcW w:w="1209"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r>
          </w:p>
        </w:tc>
        <w:tc>
          <w:tcPr>
            <w:tcW w:w="1368"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min</w:t>
            </w:r>
          </w:p>
        </w:tc>
        <w:tc>
          <w:tcPr>
            <w:tcW w:w="1367" w:type="dxa"/>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Max</w:t>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QAB</w:t>
            </w:r>
          </w:p>
        </w:tc>
        <w:tc>
          <w:tcPr>
            <w:tcW w:w="1367"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c>
          <w:tcPr>
            <w:tcW w:w="1309"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c>
          <w:tcPr>
            <w:tcW w:w="1209"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BGC</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0.1337</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0.0690</w:t>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51.6</w:t>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0.0113</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0.3550</w:t>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EMP</w:t>
            </w:r>
          </w:p>
        </w:tc>
        <w:tc>
          <w:tcPr>
            <w:tcW w:w="1367" w:type="dxa"/>
            <w:tcBorders/>
          </w:tcPr>
          <w:p>
            <w:pPr>
              <w:pStyle w:val="Normal"/>
              <w:widowControl w:val="false"/>
              <w:tabs>
                <w:tab w:val="clear" w:pos="720"/>
                <w:tab w:val="left" w:pos="213" w:leader="none"/>
              </w:tabs>
              <w:spacing w:before="0" w:after="120"/>
              <w:jc w:val="center"/>
              <w:rPr>
                <w:rFonts w:ascii="Calibri" w:hAnsi="Calibri" w:cs="Calibri"/>
                <w:szCs w:val="22"/>
              </w:rPr>
            </w:pPr>
            <w:r>
              <w:rPr>
                <w:rFonts w:eastAsia="Times New Roman" w:cs="Calibri" w:ascii="Calibri" w:hAnsi="Calibri"/>
                <w:kern w:val="0"/>
                <w:szCs w:val="22"/>
                <w:lang w:val="en-US" w:eastAsia="en-US" w:bidi="ar-SA"/>
              </w:rPr>
              <w:t>0.1196</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0.0640</w:t>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53.5</w:t>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0.0114</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0.3465</w:t>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QBC</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BGC</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0.1492</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0.0795</w:t>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53.3</w:t>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0.0128</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0.4001</w:t>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EMP</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0.1335</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0.0730</w:t>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54.7</w:t>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0.0128</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0.3696</w:t>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Qout</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BGC</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0.1700</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0.0940</w:t>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55.3</w:t>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0.0147</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0.4639</w:t>
            </w:r>
          </w:p>
        </w:tc>
      </w:tr>
      <w:tr>
        <w:trPr>
          <w:trHeight w:val="259" w:hRule="exact"/>
        </w:trPr>
        <w:tc>
          <w:tcPr>
            <w:tcW w:w="1362"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 xml:space="preserve">  </w:t>
            </w:r>
            <w:r>
              <w:rPr>
                <w:rFonts w:eastAsia="Times New Roman" w:cs="Calibri" w:ascii="Calibri" w:hAnsi="Calibri"/>
                <w:b/>
                <w:bCs/>
                <w:kern w:val="0"/>
                <w:szCs w:val="22"/>
                <w:lang w:val="en-US" w:eastAsia="en-US" w:bidi="ar-SA"/>
              </w:rPr>
              <w:t>EMP</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0.1521</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0.0858</w:t>
            </w:r>
          </w:p>
        </w:tc>
        <w:tc>
          <w:tcPr>
            <w:tcW w:w="13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56.4</w:t>
            </w:r>
          </w:p>
        </w:tc>
        <w:tc>
          <w:tcPr>
            <w:tcW w:w="1209"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r>
          </w:p>
        </w:tc>
        <w:tc>
          <w:tcPr>
            <w:tcW w:w="1368"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0.0147</w:t>
            </w:r>
          </w:p>
        </w:tc>
        <w:tc>
          <w:tcPr>
            <w:tcW w:w="1367" w:type="dxa"/>
            <w:tcBorders/>
          </w:tcPr>
          <w:p>
            <w:pPr>
              <w:pStyle w:val="Normal"/>
              <w:widowControl w:val="false"/>
              <w:spacing w:before="0" w:after="120"/>
              <w:jc w:val="center"/>
              <w:rPr>
                <w:rFonts w:ascii="Calibri" w:hAnsi="Calibri" w:cs="Calibri"/>
                <w:szCs w:val="22"/>
              </w:rPr>
            </w:pPr>
            <w:r>
              <w:rPr>
                <w:rFonts w:eastAsia="Times New Roman" w:cs="Calibri" w:ascii="Calibri" w:hAnsi="Calibri"/>
                <w:kern w:val="0"/>
                <w:szCs w:val="22"/>
                <w:lang w:val="en-US" w:eastAsia="en-US" w:bidi="ar-SA"/>
              </w:rPr>
              <w:t>0.4302</w:t>
            </w:r>
          </w:p>
        </w:tc>
      </w:tr>
    </w:tbl>
    <w:p>
      <w:pPr>
        <w:pStyle w:val="Normal"/>
        <w:rPr/>
      </w:pPr>
      <w:r>
        <w:rPr/>
      </w:r>
    </w:p>
    <w:p>
      <w:pPr>
        <w:pStyle w:val="Normal"/>
        <w:keepNext w:val="true"/>
        <w:numPr>
          <w:ilvl w:val="2"/>
          <w:numId w:val="1"/>
        </w:numPr>
        <w:spacing w:before="120" w:after="120"/>
        <w:jc w:val="left"/>
        <w:outlineLvl w:val="2"/>
        <w:rPr>
          <w:bCs/>
          <w:i/>
          <w:i/>
          <w:color w:themeColor="accent1" w:themeShade="bf" w:val="2E74B5"/>
          <w:szCs w:val="22"/>
        </w:rPr>
      </w:pPr>
      <w:bookmarkStart w:id="152" w:name="_Toc182252515"/>
      <w:r>
        <w:rPr>
          <w:bCs/>
          <w:i/>
          <w:color w:themeColor="accent1" w:themeShade="bf" w:val="2E74B5"/>
          <w:szCs w:val="22"/>
        </w:rPr>
        <w:t>Periphyton</w:t>
      </w:r>
      <w:bookmarkEnd w:id="152"/>
    </w:p>
    <w:p>
      <w:pPr>
        <w:pStyle w:val="Normal"/>
        <w:rPr/>
      </w:pPr>
      <w:r>
        <w:rPr/>
        <w:t>Attached algae play an important role in the internal processing of P in the STAs. The CASM-STA includes one generalized population of periphyton; this structure is consistent with the SAV/EAV habitat model (CELLC 2022). Turner et al. (1999) reported mean periphyton standing crop in the WCA-2 as 513 g AFDW/m</w:t>
      </w:r>
      <w:r>
        <w:rPr>
          <w:vertAlign w:val="superscript"/>
        </w:rPr>
        <w:t>2</w:t>
      </w:r>
      <w:r>
        <w:rPr/>
        <w:t xml:space="preserve"> (range: 3 – 1,251). Corresponding values for WCA-3 are a mean biomass of 233 g AFDW/m</w:t>
      </w:r>
      <w:r>
        <w:rPr>
          <w:vertAlign w:val="superscript"/>
        </w:rPr>
        <w:t>2</w:t>
      </w:r>
      <w:r>
        <w:rPr/>
        <w:t xml:space="preserve"> and range of 213 – 253. These data were used to guide the initial development and calibration of the CASM-STA. </w:t>
      </w:r>
    </w:p>
    <w:p>
      <w:pPr>
        <w:pStyle w:val="Normal"/>
        <w:keepNext w:val="true"/>
        <w:numPr>
          <w:ilvl w:val="2"/>
          <w:numId w:val="1"/>
        </w:numPr>
        <w:spacing w:before="120" w:after="120"/>
        <w:jc w:val="left"/>
        <w:outlineLvl w:val="2"/>
        <w:rPr>
          <w:bCs/>
          <w:i/>
          <w:i/>
          <w:color w:themeColor="accent1" w:themeShade="bf" w:val="2E74B5"/>
          <w:szCs w:val="22"/>
        </w:rPr>
      </w:pPr>
      <w:bookmarkStart w:id="153" w:name="_Toc182252516"/>
      <w:r>
        <w:rPr>
          <w:bCs/>
          <w:i/>
          <w:color w:themeColor="accent1" w:themeShade="bf" w:val="2E74B5"/>
          <w:szCs w:val="22"/>
        </w:rPr>
        <w:t>Submerged aquatic vegetation (SAV)</w:t>
      </w:r>
      <w:bookmarkEnd w:id="153"/>
    </w:p>
    <w:p>
      <w:pPr>
        <w:pStyle w:val="Normal"/>
        <w:rPr/>
      </w:pPr>
      <w:r>
        <w:rPr/>
        <w:t xml:space="preserve">Submerged aquatic vegetation accounts for about 7% of the aquatic (non-algal) vegetation FW1 (CELLC 2022). A single generalized population of SAV was included in the CASM-STA food web structure. </w:t>
      </w:r>
    </w:p>
    <w:p>
      <w:pPr>
        <w:pStyle w:val="Normal"/>
        <w:keepNext w:val="true"/>
        <w:numPr>
          <w:ilvl w:val="2"/>
          <w:numId w:val="1"/>
        </w:numPr>
        <w:spacing w:before="120" w:after="120"/>
        <w:jc w:val="left"/>
        <w:outlineLvl w:val="2"/>
        <w:rPr>
          <w:bCs/>
          <w:i/>
          <w:i/>
          <w:color w:themeColor="accent1" w:themeShade="bf" w:val="2E74B5"/>
          <w:szCs w:val="22"/>
        </w:rPr>
      </w:pPr>
      <w:bookmarkStart w:id="154" w:name="_Toc182252517"/>
      <w:r>
        <w:rPr>
          <w:bCs/>
          <w:i/>
          <w:color w:themeColor="accent1" w:themeShade="bf" w:val="2E74B5"/>
          <w:szCs w:val="22"/>
        </w:rPr>
        <w:t>Emergent aquatic vegetation (EAV)</w:t>
      </w:r>
      <w:bookmarkEnd w:id="154"/>
    </w:p>
    <w:p>
      <w:pPr>
        <w:pStyle w:val="Normal"/>
        <w:rPr/>
      </w:pPr>
      <w:r>
        <w:rPr/>
        <w:t>Cattail dominates the EAV in FW1 and a single population of EAV was correspondingly included in the CASM-STA food web for this application.</w:t>
      </w:r>
    </w:p>
    <w:p>
      <w:pPr>
        <w:pStyle w:val="Normal"/>
        <w:keepNext w:val="true"/>
        <w:numPr>
          <w:ilvl w:val="2"/>
          <w:numId w:val="1"/>
        </w:numPr>
        <w:spacing w:before="120" w:after="120"/>
        <w:jc w:val="left"/>
        <w:outlineLvl w:val="2"/>
        <w:rPr>
          <w:bCs/>
          <w:i/>
          <w:i/>
          <w:color w:themeColor="accent1" w:themeShade="bf" w:val="2E74B5"/>
          <w:szCs w:val="22"/>
        </w:rPr>
      </w:pPr>
      <w:bookmarkStart w:id="155" w:name="_Toc182252518"/>
      <w:r>
        <w:rPr>
          <w:bCs/>
          <w:i/>
          <w:color w:themeColor="accent1" w:themeShade="bf" w:val="2E74B5"/>
          <w:szCs w:val="22"/>
        </w:rPr>
        <w:t>Zooplankton</w:t>
      </w:r>
      <w:bookmarkEnd w:id="155"/>
    </w:p>
    <w:p>
      <w:pPr>
        <w:pStyle w:val="Normal"/>
        <w:rPr/>
      </w:pPr>
      <w:r>
        <w:rPr/>
        <w:t>A single generic population of zooplankton was included in the CASM-STA food web. This was done to define a functionally complete food web and support the mainly planktivorous eastern mosquitofish included in the model (see fish section below). At the same time, zooplankton have been demonstrated to contribute to P cycling in aquatic systems (Wen and Peters 1994, Hargrave and Geen 1968). Developing a comprehensive model of P dynamics in the STAs reasonably required the inclusion of zooplankton, an important energetic nexus between aquatic primary producers (phytoplankton, periphyton) and higher-order consumers (e.g., invertebrates and fish).</w:t>
      </w:r>
    </w:p>
    <w:p>
      <w:pPr>
        <w:pStyle w:val="Normal"/>
        <w:keepNext w:val="true"/>
        <w:numPr>
          <w:ilvl w:val="2"/>
          <w:numId w:val="1"/>
        </w:numPr>
        <w:spacing w:before="120" w:after="120"/>
        <w:jc w:val="left"/>
        <w:outlineLvl w:val="2"/>
        <w:rPr>
          <w:bCs/>
          <w:i/>
          <w:i/>
          <w:color w:themeColor="accent1" w:themeShade="bf" w:val="2E74B5"/>
          <w:szCs w:val="22"/>
        </w:rPr>
      </w:pPr>
      <w:bookmarkStart w:id="156" w:name="_Toc182252519"/>
      <w:r>
        <w:rPr>
          <w:bCs/>
          <w:i/>
          <w:color w:themeColor="accent1" w:themeShade="bf" w:val="2E74B5"/>
          <w:szCs w:val="22"/>
        </w:rPr>
        <w:t>Benthic invertebrates</w:t>
      </w:r>
      <w:bookmarkEnd w:id="156"/>
    </w:p>
    <w:p>
      <w:pPr>
        <w:pStyle w:val="Normal"/>
        <w:rPr/>
      </w:pPr>
      <w:r>
        <w:rPr/>
        <w:t>Benthic invertebrates are key components of aquatic food webs in general and potentially important consumers in the STAs (Cummins 1973, Trexler and Loftus 2016). Two populations of benthic invertebrates were defined in the CASM-STA. One generalized population of benthic infauna was included in the model to represent those organisms (e.g., amphipods, oligochaetes, chironomids) inhabiting floating and settled algal mats and sediments within the FW1. These organisms were assumed to excrete DIP into the DIP</w:t>
      </w:r>
      <w:r>
        <w:rPr>
          <w:vertAlign w:val="subscript"/>
        </w:rPr>
        <w:t>w</w:t>
      </w:r>
      <w:r>
        <w:rPr/>
        <w:t xml:space="preserve"> pool (Kitchell et al. 1979). </w:t>
      </w:r>
    </w:p>
    <w:p>
      <w:pPr>
        <w:pStyle w:val="Normal"/>
        <w:rPr/>
      </w:pPr>
      <w:r>
        <w:rPr/>
        <w:t>A population of grass shrimp (</w:t>
      </w:r>
      <w:r>
        <w:rPr>
          <w:i/>
          <w:iCs/>
        </w:rPr>
        <w:t>Palaemonetes paludosus)</w:t>
      </w:r>
      <w:r>
        <w:rPr/>
        <w:t xml:space="preserve"> was added to the CASM-STA food web per the original specifications of the modeling project and because of the abundance of this species in the STAs – with the potential to influence internal P dynamics as a function of excretion and egestion. Neither the benthic infauna nor the grass shrimp were assumed to physically alter the sediments (bioturbation).</w:t>
      </w:r>
    </w:p>
    <w:p>
      <w:pPr>
        <w:pStyle w:val="Normal"/>
        <w:keepNext w:val="true"/>
        <w:numPr>
          <w:ilvl w:val="2"/>
          <w:numId w:val="1"/>
        </w:numPr>
        <w:spacing w:before="120" w:after="120"/>
        <w:jc w:val="left"/>
        <w:outlineLvl w:val="2"/>
        <w:rPr>
          <w:bCs/>
          <w:i/>
          <w:i/>
          <w:color w:themeColor="accent1" w:themeShade="bf" w:val="2E74B5"/>
          <w:szCs w:val="22"/>
        </w:rPr>
      </w:pPr>
      <w:bookmarkStart w:id="157" w:name="_Toc182252520"/>
      <w:r>
        <w:rPr>
          <w:bCs/>
          <w:i/>
          <w:color w:themeColor="accent1" w:themeShade="bf" w:val="2E74B5"/>
          <w:szCs w:val="22"/>
        </w:rPr>
        <w:t>Fish</w:t>
      </w:r>
      <w:bookmarkEnd w:id="157"/>
    </w:p>
    <w:p>
      <w:pPr>
        <w:pStyle w:val="Normal"/>
        <w:rPr/>
      </w:pPr>
      <w:r>
        <w:rPr/>
        <w:t>The STAs include a diverse and abundant fish community that might impact P cycling (Evans et al. 2020, Barton et al. 2019). Representative large and small fish, and grass shrimp (</w:t>
      </w:r>
      <w:r>
        <w:rPr>
          <w:i/>
          <w:iCs/>
        </w:rPr>
        <w:t>Palaemonetes paludosus)</w:t>
      </w:r>
      <w:r>
        <w:rPr/>
        <w:t xml:space="preserve"> were identified as food web components of interest. Based on reported relative abundance in the STAs (Barton et al. 2020), the eastern mosquitofish (</w:t>
      </w:r>
      <w:r>
        <w:rPr>
          <w:i/>
          <w:iCs/>
        </w:rPr>
        <w:t>Gambusia holbrooki</w:t>
      </w:r>
      <w:r>
        <w:rPr/>
        <w:t>) was identified as a representative small fish, and the largemouth bass (</w:t>
      </w:r>
      <w:r>
        <w:rPr>
          <w:i/>
          <w:iCs/>
        </w:rPr>
        <w:t>Micropterus salmoides</w:t>
      </w:r>
      <w:r>
        <w:rPr/>
        <w:t>) was similarly selected as a representative larger fish (Figure 3-10). Tilapia (</w:t>
      </w:r>
      <w:r>
        <w:rPr>
          <w:i/>
          <w:iCs/>
        </w:rPr>
        <w:t>Oreochromis niloticus</w:t>
      </w:r>
      <w:r>
        <w:rPr/>
        <w:t xml:space="preserve">) was added based on its relative abundance in the STAs and as a species associated with physical disturbance (bioturbation) of the sediments. A key objective in the development and implementation of the CASM-STA was to examine the potential importance of egestion, excretion, and bioturbation in influencing the internal P dynamics within the modeled FW1. Previous work reported by Barton et al. (2020) indicated the potential importance of fish in the cycling of P within the STAs. </w:t>
      </w:r>
    </w:p>
    <w:p>
      <w:pPr>
        <w:pStyle w:val="Normal"/>
        <w:rPr/>
      </w:pPr>
      <w:r>
        <w:rPr/>
        <w:t xml:space="preserve">Representative weights for individuals of the three modeled fish species based on reported average lengths and length-weight functions provided by </w:t>
      </w:r>
      <w:hyperlink r:id="rId177">
        <w:r>
          <w:rPr>
            <w:rStyle w:val="ListLabel73"/>
            <w:color w:val="0000FF"/>
            <w:u w:val="single"/>
          </w:rPr>
          <w:t>www.fishbase.org</w:t>
        </w:r>
      </w:hyperlink>
      <w:r>
        <w:rPr/>
        <w:t xml:space="preserve"> (Table 3-3). These values were used in conjunction with biomass values reported for these species in the STAs (e.g., Barton et al. 2020) for purposes of estimating initial biomass conditions and calibration of fish growth and population sizes.</w:t>
      </w:r>
    </w:p>
    <w:p>
      <w:pPr>
        <w:pStyle w:val="Normal"/>
        <w:rPr/>
      </w:pPr>
      <w:r>
        <w:rPr/>
        <w:t>Specific rates (d</w:t>
      </w:r>
      <w:r>
        <w:rPr>
          <w:vertAlign w:val="superscript"/>
        </w:rPr>
        <w:t>-1</w:t>
      </w:r>
      <w:r>
        <w:rPr/>
        <w:t xml:space="preserve">) of consumption (ingestion) and standard respiration for the selected fish and grass shrimp modeled in the CASM-STA were taken from literature values (Table 3-4). </w:t>
      </w:r>
    </w:p>
    <w:p>
      <w:pPr>
        <w:pStyle w:val="Normal"/>
        <w:keepNext w:val="true"/>
        <w:numPr>
          <w:ilvl w:val="2"/>
          <w:numId w:val="1"/>
        </w:numPr>
        <w:spacing w:before="120" w:after="120"/>
        <w:jc w:val="left"/>
        <w:outlineLvl w:val="2"/>
        <w:rPr>
          <w:bCs/>
          <w:i/>
          <w:i/>
          <w:color w:themeColor="accent1" w:themeShade="bf" w:val="2E74B5"/>
          <w:szCs w:val="22"/>
        </w:rPr>
      </w:pPr>
      <w:bookmarkStart w:id="158" w:name="_Toc182252521"/>
      <w:r>
        <w:rPr>
          <w:bCs/>
          <w:i/>
          <w:color w:themeColor="accent1" w:themeShade="bf" w:val="2E74B5"/>
          <w:szCs w:val="22"/>
        </w:rPr>
        <w:t>Excretion and egestion</w:t>
      </w:r>
      <w:bookmarkEnd w:id="158"/>
    </w:p>
    <w:p>
      <w:pPr>
        <w:pStyle w:val="Normal"/>
        <w:rPr/>
      </w:pPr>
      <w:r>
        <w:rPr/>
        <w:t>The processes of egestion, excretion, and bioturbation constitute the primary influence of consumer populations on the internal P cycling within FW1. Rates of egestion and excretion were estimated from published studies. In addition, it was possible to take more site-specific measures of P excretion rate estimates from Goeke et al. (2023) (mg P/gram wet weight/h) and transform them to the day</w:t>
      </w:r>
      <w:r>
        <w:rPr>
          <w:vertAlign w:val="superscript"/>
        </w:rPr>
        <w:t xml:space="preserve">-1 </w:t>
      </w:r>
      <w:r>
        <w:rPr/>
        <w:t xml:space="preserve">units used by the CASM-STA for largemouth bass and tilapia (Table 3-5). The values measured by Goeke et al. (2023) are very similar to those derived from Deslauriers et al. (2017). The values developed by Goeke et al. (2023) replaced the previous rates of P excretion in the revised CASM-STA, because they are more site-specific than the more general values provided in Deslauriers et al. (2017). </w:t>
      </w:r>
    </w:p>
    <w:p>
      <w:pPr>
        <w:pStyle w:val="Normal"/>
        <w:rPr/>
      </w:pPr>
      <w:r>
        <w:rPr/>
      </w:r>
    </w:p>
    <w:p>
      <w:pPr>
        <w:pStyle w:val="Normal"/>
        <w:rPr/>
      </w:pPr>
      <w:r>
        <w:rPr/>
        <mc:AlternateContent>
          <mc:Choice Requires="wps">
            <w:drawing>
              <wp:anchor behindDoc="0" distT="40640" distB="59690" distL="109220" distR="124460" simplePos="0" locked="0" layoutInCell="0" allowOverlap="1" relativeHeight="110" wp14:anchorId="72D3B552">
                <wp:simplePos x="0" y="0"/>
                <wp:positionH relativeFrom="margin">
                  <wp:align>center</wp:align>
                </wp:positionH>
                <wp:positionV relativeFrom="margin">
                  <wp:align>top</wp:align>
                </wp:positionV>
                <wp:extent cx="5966460" cy="3429000"/>
                <wp:effectExtent l="5080" t="5080" r="5080" b="5080"/>
                <wp:wrapSquare wrapText="bothSides"/>
                <wp:docPr id="175" name="Text Box 2"/>
                <a:graphic xmlns:a="http://schemas.openxmlformats.org/drawingml/2006/main">
                  <a:graphicData uri="http://schemas.microsoft.com/office/word/2010/wordprocessingShape">
                    <wps:wsp>
                      <wps:cNvSpPr/>
                      <wps:spPr>
                        <a:xfrm>
                          <a:off x="0" y="0"/>
                          <a:ext cx="5966640" cy="34290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204460" cy="2808605"/>
                                  <wp:effectExtent l="0" t="0" r="0" b="0"/>
                                  <wp:docPr id="177"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30" descr=""/>
                                          <pic:cNvPicPr>
                                            <a:picLocks noChangeAspect="1" noChangeArrowheads="1"/>
                                          </pic:cNvPicPr>
                                        </pic:nvPicPr>
                                        <pic:blipFill>
                                          <a:blip r:embed="rId178"/>
                                          <a:stretch>
                                            <a:fillRect/>
                                          </a:stretch>
                                        </pic:blipFill>
                                        <pic:spPr bwMode="auto">
                                          <a:xfrm>
                                            <a:off x="0" y="0"/>
                                            <a:ext cx="5204460" cy="2808605"/>
                                          </a:xfrm>
                                          <a:prstGeom prst="rect">
                                            <a:avLst/>
                                          </a:prstGeom>
                                        </pic:spPr>
                                      </pic:pic>
                                    </a:graphicData>
                                  </a:graphic>
                                </wp:inline>
                              </w:drawing>
                            </w:r>
                          </w:p>
                          <w:p>
                            <w:pPr>
                              <w:pStyle w:val="Caption"/>
                              <w:widowControl/>
                              <w:bidi w:val="0"/>
                              <w:spacing w:lineRule="auto" w:line="276" w:before="0" w:after="60"/>
                              <w:jc w:val="center"/>
                              <w:rPr/>
                            </w:pPr>
                            <w:bookmarkStart w:id="159" w:name="_Toc18180267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34</w:t>
                            </w:r>
                            <w:r>
                              <w:rPr/>
                              <w:fldChar w:fldCharType="end"/>
                            </w:r>
                            <w:r>
                              <w:rPr/>
                              <w:t>.  CASM-STA food web structure informed by SFWMD studies (e.g., Barton et al. 2020, 2021; Evans et al. 2019).</w:t>
                            </w:r>
                            <w:bookmarkEnd w:id="159"/>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9pt;margin-top:3.2pt;width:469.75pt;height:269.95pt;mso-wrap-style:square;v-text-anchor:top;mso-position-horizontal:center;mso-position-horizontal-relative:margin;mso-position-vertical:top;mso-position-vertical-relative:margin" wp14:anchorId="72D3B552">
                <v:fill o:detectmouseclick="t" type="solid" color2="black"/>
                <v:stroke color="black" weight="9360" joinstyle="miter" endcap="flat"/>
                <v:textbox>
                  <w:txbxContent>
                    <w:p>
                      <w:pPr>
                        <w:pStyle w:val="FrameContents"/>
                        <w:jc w:val="center"/>
                        <w:rPr/>
                      </w:pPr>
                      <w:r>
                        <w:rPr/>
                        <w:drawing>
                          <wp:inline distT="0" distB="0" distL="0" distR="0">
                            <wp:extent cx="5204460" cy="2808605"/>
                            <wp:effectExtent l="0" t="0" r="0" b="0"/>
                            <wp:docPr id="178"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30" descr=""/>
                                    <pic:cNvPicPr>
                                      <a:picLocks noChangeAspect="1" noChangeArrowheads="1"/>
                                    </pic:cNvPicPr>
                                  </pic:nvPicPr>
                                  <pic:blipFill>
                                    <a:blip r:embed="rId179"/>
                                    <a:stretch>
                                      <a:fillRect/>
                                    </a:stretch>
                                  </pic:blipFill>
                                  <pic:spPr bwMode="auto">
                                    <a:xfrm>
                                      <a:off x="0" y="0"/>
                                      <a:ext cx="5204460" cy="2808605"/>
                                    </a:xfrm>
                                    <a:prstGeom prst="rect">
                                      <a:avLst/>
                                    </a:prstGeom>
                                  </pic:spPr>
                                </pic:pic>
                              </a:graphicData>
                            </a:graphic>
                          </wp:inline>
                        </w:drawing>
                      </w:r>
                    </w:p>
                    <w:p>
                      <w:pPr>
                        <w:pStyle w:val="Caption"/>
                        <w:widowControl/>
                        <w:bidi w:val="0"/>
                        <w:spacing w:lineRule="auto" w:line="276" w:before="0" w:after="60"/>
                        <w:jc w:val="center"/>
                        <w:rPr/>
                      </w:pPr>
                      <w:bookmarkStart w:id="160" w:name="_Toc181802674"/>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34</w:t>
                      </w:r>
                      <w:r>
                        <w:rPr/>
                        <w:fldChar w:fldCharType="end"/>
                      </w:r>
                      <w:r>
                        <w:rPr/>
                        <w:t>.  CASM-STA food web structure informed by SFWMD studies (e.g., Barton et al. 2020, 2021; Evans et al. 2019).</w:t>
                      </w:r>
                      <w:bookmarkEnd w:id="160"/>
                    </w:p>
                  </w:txbxContent>
                </v:textbox>
                <w10:wrap type="square"/>
              </v:rect>
            </w:pict>
          </mc:Fallback>
        </mc:AlternateContent>
      </w:r>
    </w:p>
    <w:p>
      <w:pPr>
        <w:pStyle w:val="Caption"/>
        <w:spacing w:lineRule="auto" w:line="240"/>
        <w:rPr>
          <w:color w:themeColor="text1" w:val="000000"/>
        </w:rPr>
      </w:pPr>
      <w:bookmarkStart w:id="161" w:name="_Toc182250929"/>
      <w:r>
        <w:rPr>
          <w:color w:themeColor="text1" w:val="000000"/>
        </w:rPr>
        <w:t xml:space="preserve">Table </w:t>
      </w:r>
      <w:r>
        <w:rPr>
          <w:color w:themeColor="text1" w:val="000000"/>
        </w:rPr>
        <w:fldChar w:fldCharType="begin"/>
      </w:r>
      <w:r>
        <w:rPr>
          <w:color w:themeColor="text1" w:val="000000"/>
        </w:rPr>
        <w:instrText xml:space="preserve"> STYLEREF "1" </w:instrText>
      </w:r>
      <w:r>
        <w:rPr>
          <w:color w:themeColor="text1" w:val="000000"/>
        </w:rPr>
        <w:fldChar w:fldCharType="separate"/>
      </w:r>
      <w:r>
        <w:rPr>
          <w:color w:themeColor="text1" w:val="000000"/>
        </w:rPr>
        <w:t>CASM-STA MODEL Development</w:t>
      </w:r>
      <w:r>
        <w:rPr>
          <w:color w:themeColor="text1" w:val="000000"/>
        </w:rPr>
        <w:fldChar w:fldCharType="end"/>
      </w:r>
      <w:r>
        <w:rPr>
          <w:color w:themeColor="text1" w:val="000000"/>
        </w:rPr>
        <w:noBreakHyphen/>
      </w:r>
      <w:r>
        <w:rPr>
          <w:color w:themeColor="text1" w:val="000000"/>
        </w:rPr>
        <w:fldChar w:fldCharType="begin"/>
      </w:r>
      <w:r>
        <w:rPr>
          <w:color w:themeColor="text1" w:val="000000"/>
        </w:rPr>
        <w:instrText xml:space="preserve"> SEQ Table \* ARABIC </w:instrText>
      </w:r>
      <w:r>
        <w:rPr>
          <w:color w:themeColor="text1" w:val="000000"/>
        </w:rPr>
        <w:fldChar w:fldCharType="separate"/>
      </w:r>
      <w:r>
        <w:rPr>
          <w:color w:themeColor="text1" w:val="000000"/>
        </w:rPr>
        <w:t>20</w:t>
      </w:r>
      <w:r>
        <w:rPr>
          <w:color w:themeColor="text1" w:val="000000"/>
        </w:rPr>
        <w:fldChar w:fldCharType="end"/>
      </w:r>
      <w:r>
        <w:rPr>
          <w:color w:themeColor="text1" w:val="000000"/>
        </w:rPr>
        <w:t>. Length-weight parameters for fish and grass shrimp included in the CASM-STA food web.</w:t>
      </w:r>
      <w:bookmarkEnd w:id="161"/>
    </w:p>
    <w:tbl>
      <w:tblPr>
        <w:tblStyle w:val="TableGrid"/>
        <w:tblW w:w="896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26"/>
        <w:gridCol w:w="1523"/>
        <w:gridCol w:w="1167"/>
        <w:gridCol w:w="1158"/>
        <w:gridCol w:w="1157"/>
        <w:gridCol w:w="1167"/>
        <w:gridCol w:w="1165"/>
      </w:tblGrid>
      <w:tr>
        <w:trPr/>
        <w:tc>
          <w:tcPr>
            <w:tcW w:w="1626" w:type="dxa"/>
            <w:tcBorders>
              <w:bottom w:val="nil"/>
            </w:tcBorders>
          </w:tcPr>
          <w:p>
            <w:pPr>
              <w:pStyle w:val="Normal"/>
              <w:widowControl w:val="false"/>
              <w:spacing w:lineRule="auto" w:line="240" w:before="0" w:after="0"/>
              <w:rPr>
                <w:rFonts w:ascii="Calibri" w:hAnsi="Calibri" w:cs="Calibri"/>
                <w:szCs w:val="22"/>
              </w:rPr>
            </w:pPr>
            <w:r>
              <w:rPr>
                <w:rFonts w:eastAsia="Times New Roman" w:cs="Calibri" w:ascii="Calibri" w:hAnsi="Calibri"/>
                <w:b/>
                <w:bCs/>
                <w:kern w:val="0"/>
                <w:szCs w:val="22"/>
                <w:lang w:val="en-US" w:eastAsia="en-US" w:bidi="ar-SA"/>
              </w:rPr>
              <w:t xml:space="preserve">Common </w:t>
            </w:r>
          </w:p>
        </w:tc>
        <w:tc>
          <w:tcPr>
            <w:tcW w:w="1523" w:type="dxa"/>
            <w:tcBorders>
              <w:bottom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Species</w:t>
            </w:r>
          </w:p>
        </w:tc>
        <w:tc>
          <w:tcPr>
            <w:tcW w:w="1167"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Length</w:t>
            </w:r>
          </w:p>
        </w:tc>
        <w:tc>
          <w:tcPr>
            <w:tcW w:w="2315" w:type="dxa"/>
            <w:gridSpan w:val="2"/>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 xml:space="preserve">Length-weight </w:t>
            </w:r>
          </w:p>
        </w:tc>
        <w:tc>
          <w:tcPr>
            <w:tcW w:w="2332" w:type="dxa"/>
            <w:gridSpan w:val="2"/>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Weight*</w:t>
            </w:r>
          </w:p>
        </w:tc>
      </w:tr>
      <w:tr>
        <w:trPr/>
        <w:tc>
          <w:tcPr>
            <w:tcW w:w="1626" w:type="dxa"/>
            <w:tcBorders>
              <w:top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Name</w:t>
            </w:r>
          </w:p>
        </w:tc>
        <w:tc>
          <w:tcPr>
            <w:tcW w:w="1523" w:type="dxa"/>
            <w:tcBorders>
              <w:top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Name</w:t>
            </w:r>
          </w:p>
        </w:tc>
        <w:tc>
          <w:tcPr>
            <w:tcW w:w="1167"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cm</w:t>
            </w:r>
          </w:p>
        </w:tc>
        <w:tc>
          <w:tcPr>
            <w:tcW w:w="1158"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a</w:t>
            </w:r>
          </w:p>
        </w:tc>
        <w:tc>
          <w:tcPr>
            <w:tcW w:w="1157"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b</w:t>
            </w:r>
          </w:p>
        </w:tc>
        <w:tc>
          <w:tcPr>
            <w:tcW w:w="1167"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g ww</w:t>
            </w:r>
          </w:p>
        </w:tc>
        <w:tc>
          <w:tcPr>
            <w:tcW w:w="1165"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g C/ind</w:t>
            </w:r>
          </w:p>
        </w:tc>
      </w:tr>
      <w:tr>
        <w:trPr/>
        <w:tc>
          <w:tcPr>
            <w:tcW w:w="1626"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Mosquitofish</w:t>
            </w:r>
          </w:p>
        </w:tc>
        <w:tc>
          <w:tcPr>
            <w:tcW w:w="1523"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t>Gambusia affinis</w:t>
            </w:r>
          </w:p>
        </w:tc>
        <w:tc>
          <w:tcPr>
            <w:tcW w:w="11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4</w:t>
            </w:r>
          </w:p>
        </w:tc>
        <w:tc>
          <w:tcPr>
            <w:tcW w:w="115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0.0068</w:t>
            </w:r>
          </w:p>
        </w:tc>
        <w:tc>
          <w:tcPr>
            <w:tcW w:w="115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3.1</w:t>
            </w:r>
          </w:p>
        </w:tc>
        <w:tc>
          <w:tcPr>
            <w:tcW w:w="116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0.50</w:t>
            </w:r>
          </w:p>
        </w:tc>
        <w:tc>
          <w:tcPr>
            <w:tcW w:w="1165"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0.057</w:t>
            </w:r>
          </w:p>
        </w:tc>
      </w:tr>
      <w:tr>
        <w:trPr/>
        <w:tc>
          <w:tcPr>
            <w:tcW w:w="1626"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Largemouth bass</w:t>
            </w:r>
          </w:p>
        </w:tc>
        <w:tc>
          <w:tcPr>
            <w:tcW w:w="1523"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t>Micropterus salmoides</w:t>
            </w:r>
          </w:p>
        </w:tc>
        <w:tc>
          <w:tcPr>
            <w:tcW w:w="11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40</w:t>
            </w:r>
          </w:p>
        </w:tc>
        <w:tc>
          <w:tcPr>
            <w:tcW w:w="115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0.0105</w:t>
            </w:r>
          </w:p>
        </w:tc>
        <w:tc>
          <w:tcPr>
            <w:tcW w:w="115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3.11</w:t>
            </w:r>
          </w:p>
        </w:tc>
        <w:tc>
          <w:tcPr>
            <w:tcW w:w="116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1008.31</w:t>
            </w:r>
          </w:p>
        </w:tc>
        <w:tc>
          <w:tcPr>
            <w:tcW w:w="1165"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201.663</w:t>
            </w:r>
          </w:p>
        </w:tc>
      </w:tr>
      <w:tr>
        <w:trPr/>
        <w:tc>
          <w:tcPr>
            <w:tcW w:w="1626"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Tilapia</w:t>
            </w:r>
          </w:p>
        </w:tc>
        <w:tc>
          <w:tcPr>
            <w:tcW w:w="1523"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t>Oreochromis niloticus</w:t>
            </w:r>
          </w:p>
        </w:tc>
        <w:tc>
          <w:tcPr>
            <w:tcW w:w="11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16</w:t>
            </w:r>
          </w:p>
        </w:tc>
        <w:tc>
          <w:tcPr>
            <w:tcW w:w="115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0.0355</w:t>
            </w:r>
          </w:p>
        </w:tc>
        <w:tc>
          <w:tcPr>
            <w:tcW w:w="115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2.94</w:t>
            </w:r>
          </w:p>
        </w:tc>
        <w:tc>
          <w:tcPr>
            <w:tcW w:w="116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123.12</w:t>
            </w:r>
          </w:p>
        </w:tc>
        <w:tc>
          <w:tcPr>
            <w:tcW w:w="1165"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24.625</w:t>
            </w:r>
          </w:p>
        </w:tc>
      </w:tr>
      <w:tr>
        <w:trPr/>
        <w:tc>
          <w:tcPr>
            <w:tcW w:w="1626"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Grass shrimp</w:t>
            </w:r>
          </w:p>
        </w:tc>
        <w:tc>
          <w:tcPr>
            <w:tcW w:w="1523"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t>P. pugio</w:t>
            </w:r>
          </w:p>
        </w:tc>
        <w:tc>
          <w:tcPr>
            <w:tcW w:w="11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1.9</w:t>
            </w:r>
          </w:p>
        </w:tc>
        <w:tc>
          <w:tcPr>
            <w:tcW w:w="115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0.0178</w:t>
            </w:r>
          </w:p>
        </w:tc>
        <w:tc>
          <w:tcPr>
            <w:tcW w:w="115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3.025</w:t>
            </w:r>
          </w:p>
        </w:tc>
        <w:tc>
          <w:tcPr>
            <w:tcW w:w="116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0.124</w:t>
            </w:r>
          </w:p>
        </w:tc>
        <w:tc>
          <w:tcPr>
            <w:tcW w:w="1165"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0.028</w:t>
            </w:r>
          </w:p>
        </w:tc>
      </w:tr>
    </w:tbl>
    <w:p>
      <w:pPr>
        <w:pStyle w:val="Normal"/>
        <w:ind w:left="360"/>
        <w:rPr>
          <w:rFonts w:ascii="Calibri" w:hAnsi="Calibri" w:cs="Calibri" w:asciiTheme="minorHAnsi" w:cstheme="minorHAnsi" w:hAnsiTheme="minorHAnsi"/>
          <w:sz w:val="18"/>
          <w:szCs w:val="18"/>
        </w:rPr>
      </w:pPr>
      <w:r>
        <w:rPr>
          <w:rFonts w:cs="Calibri" w:ascii="Calibri" w:hAnsi="Calibri" w:asciiTheme="minorHAnsi" w:cstheme="minorHAnsi" w:hAnsiTheme="minorHAnsi"/>
          <w:sz w:val="18"/>
          <w:szCs w:val="18"/>
        </w:rPr>
        <w:t>*Log(wet weight, g) = log(a) + b log(length, cm); carbon is ~11-20% of wet weight</w:t>
      </w:r>
    </w:p>
    <w:p>
      <w:pPr>
        <w:pStyle w:val="Normal"/>
        <w:spacing w:lineRule="auto" w:line="240" w:before="0" w:after="0"/>
        <w:jc w:val="left"/>
        <w:rPr>
          <w:b/>
          <w:sz w:val="20"/>
        </w:rPr>
      </w:pPr>
      <w:r>
        <w:rPr>
          <w:b/>
          <w:sz w:val="20"/>
        </w:rPr>
      </w:r>
      <w:r>
        <w:br w:type="page"/>
      </w:r>
    </w:p>
    <w:p>
      <w:pPr>
        <w:pStyle w:val="Caption"/>
        <w:spacing w:before="0" w:after="60"/>
        <w:rPr/>
      </w:pPr>
      <w:bookmarkStart w:id="162" w:name="_Toc182250930"/>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21</w:t>
      </w:r>
      <w:r>
        <w:rPr/>
        <w:fldChar w:fldCharType="end"/>
      </w:r>
      <w:r>
        <w:rPr/>
        <w:t>. Bioenergetics parameters for fish species and grass shrimp included in the CASM-STA food web: consumption and respiration.</w:t>
      </w:r>
      <w:bookmarkEnd w:id="162"/>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21"/>
        <w:gridCol w:w="1481"/>
        <w:gridCol w:w="1022"/>
        <w:gridCol w:w="1013"/>
        <w:gridCol w:w="1081"/>
        <w:gridCol w:w="1030"/>
        <w:gridCol w:w="1011"/>
        <w:gridCol w:w="1090"/>
      </w:tblGrid>
      <w:tr>
        <w:trPr/>
        <w:tc>
          <w:tcPr>
            <w:tcW w:w="1621" w:type="dxa"/>
            <w:tcBorders>
              <w:bottom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Common</w:t>
            </w:r>
          </w:p>
        </w:tc>
        <w:tc>
          <w:tcPr>
            <w:tcW w:w="1481" w:type="dxa"/>
            <w:tcBorders>
              <w:bottom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Species</w:t>
            </w:r>
          </w:p>
        </w:tc>
        <w:tc>
          <w:tcPr>
            <w:tcW w:w="3116" w:type="dxa"/>
            <w:gridSpan w:val="3"/>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Consumption</w:t>
            </w:r>
          </w:p>
        </w:tc>
        <w:tc>
          <w:tcPr>
            <w:tcW w:w="3131" w:type="dxa"/>
            <w:gridSpan w:val="3"/>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Respiration</w:t>
            </w:r>
          </w:p>
        </w:tc>
      </w:tr>
      <w:tr>
        <w:trPr/>
        <w:tc>
          <w:tcPr>
            <w:tcW w:w="1621" w:type="dxa"/>
            <w:tcBorders>
              <w:top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name</w:t>
            </w:r>
          </w:p>
        </w:tc>
        <w:tc>
          <w:tcPr>
            <w:tcW w:w="1481" w:type="dxa"/>
            <w:tcBorders>
              <w:top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name</w:t>
            </w:r>
          </w:p>
        </w:tc>
        <w:tc>
          <w:tcPr>
            <w:tcW w:w="1022"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CA</w:t>
            </w:r>
          </w:p>
        </w:tc>
        <w:tc>
          <w:tcPr>
            <w:tcW w:w="1013"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CB</w:t>
            </w:r>
          </w:p>
        </w:tc>
        <w:tc>
          <w:tcPr>
            <w:tcW w:w="1081"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Cmax</w:t>
            </w:r>
          </w:p>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(d</w:t>
            </w:r>
            <w:r>
              <w:rPr>
                <w:rFonts w:eastAsia="Times New Roman" w:cs="Calibri" w:ascii="Calibri" w:hAnsi="Calibri"/>
                <w:b/>
                <w:bCs/>
                <w:kern w:val="0"/>
                <w:szCs w:val="22"/>
                <w:vertAlign w:val="superscript"/>
                <w:lang w:val="en-US" w:eastAsia="en-US" w:bidi="ar-SA"/>
              </w:rPr>
              <w:t>-1</w:t>
            </w:r>
            <w:r>
              <w:rPr>
                <w:rFonts w:eastAsia="Times New Roman" w:cs="Calibri" w:ascii="Calibri" w:hAnsi="Calibri"/>
                <w:b/>
                <w:bCs/>
                <w:kern w:val="0"/>
                <w:szCs w:val="22"/>
                <w:lang w:val="en-US" w:eastAsia="en-US" w:bidi="ar-SA"/>
              </w:rPr>
              <w:t>)</w:t>
            </w:r>
          </w:p>
        </w:tc>
        <w:tc>
          <w:tcPr>
            <w:tcW w:w="1030"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RA</w:t>
            </w:r>
          </w:p>
        </w:tc>
        <w:tc>
          <w:tcPr>
            <w:tcW w:w="1011"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RB</w:t>
            </w:r>
          </w:p>
        </w:tc>
        <w:tc>
          <w:tcPr>
            <w:tcW w:w="1090"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Rmax</w:t>
            </w:r>
          </w:p>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(d</w:t>
            </w:r>
            <w:r>
              <w:rPr>
                <w:rFonts w:eastAsia="Times New Roman" w:cs="Calibri" w:ascii="Calibri" w:hAnsi="Calibri"/>
                <w:b/>
                <w:bCs/>
                <w:kern w:val="0"/>
                <w:szCs w:val="22"/>
                <w:vertAlign w:val="superscript"/>
                <w:lang w:val="en-US" w:eastAsia="en-US" w:bidi="ar-SA"/>
              </w:rPr>
              <w:t>-1</w:t>
            </w:r>
            <w:r>
              <w:rPr>
                <w:rFonts w:eastAsia="Times New Roman" w:cs="Calibri" w:ascii="Calibri" w:hAnsi="Calibri"/>
                <w:b/>
                <w:bCs/>
                <w:kern w:val="0"/>
                <w:szCs w:val="22"/>
                <w:lang w:val="en-US" w:eastAsia="en-US" w:bidi="ar-SA"/>
              </w:rPr>
              <w:t>)</w:t>
            </w:r>
          </w:p>
        </w:tc>
      </w:tr>
      <w:tr>
        <w:trPr/>
        <w:tc>
          <w:tcPr>
            <w:tcW w:w="162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Mosquitofish</w:t>
            </w:r>
            <w:r>
              <w:rPr>
                <w:rFonts w:eastAsia="Times New Roman" w:cs="Calibri" w:ascii="Calibri" w:hAnsi="Calibri"/>
                <w:kern w:val="0"/>
                <w:szCs w:val="22"/>
                <w:vertAlign w:val="superscript"/>
                <w:lang w:val="en-US" w:eastAsia="en-US" w:bidi="ar-SA"/>
              </w:rPr>
              <w:t>a</w:t>
            </w:r>
          </w:p>
        </w:tc>
        <w:tc>
          <w:tcPr>
            <w:tcW w:w="148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i/>
                <w:iCs/>
                <w:kern w:val="0"/>
                <w:szCs w:val="22"/>
                <w:lang w:val="en-US" w:eastAsia="en-US" w:bidi="ar-SA"/>
              </w:rPr>
              <w:t>Gambusia affinis</w:t>
            </w:r>
          </w:p>
        </w:tc>
        <w:tc>
          <w:tcPr>
            <w:tcW w:w="1022"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0.450</w:t>
            </w:r>
          </w:p>
        </w:tc>
        <w:tc>
          <w:tcPr>
            <w:tcW w:w="1013"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-0.670</w:t>
            </w:r>
          </w:p>
        </w:tc>
        <w:tc>
          <w:tcPr>
            <w:tcW w:w="1081"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0.72</w:t>
            </w:r>
          </w:p>
        </w:tc>
        <w:tc>
          <w:tcPr>
            <w:tcW w:w="1030"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0.0196</w:t>
            </w:r>
          </w:p>
        </w:tc>
        <w:tc>
          <w:tcPr>
            <w:tcW w:w="1011"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-0.2</w:t>
            </w:r>
          </w:p>
        </w:tc>
        <w:tc>
          <w:tcPr>
            <w:tcW w:w="1090"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0.03119</w:t>
            </w:r>
          </w:p>
        </w:tc>
      </w:tr>
      <w:tr>
        <w:trPr/>
        <w:tc>
          <w:tcPr>
            <w:tcW w:w="162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Largemouth bass</w:t>
            </w:r>
            <w:r>
              <w:rPr>
                <w:rFonts w:eastAsia="Times New Roman" w:cs="Calibri" w:ascii="Calibri" w:hAnsi="Calibri"/>
                <w:kern w:val="0"/>
                <w:szCs w:val="22"/>
                <w:vertAlign w:val="superscript"/>
                <w:lang w:val="en-US" w:eastAsia="en-US" w:bidi="ar-SA"/>
              </w:rPr>
              <w:t>b</w:t>
            </w:r>
          </w:p>
        </w:tc>
        <w:tc>
          <w:tcPr>
            <w:tcW w:w="148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i/>
                <w:iCs/>
                <w:kern w:val="0"/>
                <w:szCs w:val="22"/>
                <w:lang w:val="en-US" w:eastAsia="en-US" w:bidi="ar-SA"/>
              </w:rPr>
              <w:t>Micropterus salmoides</w:t>
            </w:r>
          </w:p>
        </w:tc>
        <w:tc>
          <w:tcPr>
            <w:tcW w:w="1022"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0.330</w:t>
            </w:r>
          </w:p>
        </w:tc>
        <w:tc>
          <w:tcPr>
            <w:tcW w:w="1013"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-0.325</w:t>
            </w:r>
          </w:p>
        </w:tc>
        <w:tc>
          <w:tcPr>
            <w:tcW w:w="1081"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0.03</w:t>
            </w:r>
          </w:p>
        </w:tc>
        <w:tc>
          <w:tcPr>
            <w:tcW w:w="1030"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0.00279</w:t>
            </w:r>
          </w:p>
        </w:tc>
        <w:tc>
          <w:tcPr>
            <w:tcW w:w="1011"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-0.355</w:t>
            </w:r>
          </w:p>
        </w:tc>
        <w:tc>
          <w:tcPr>
            <w:tcW w:w="1090"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0.00029</w:t>
            </w:r>
          </w:p>
        </w:tc>
      </w:tr>
      <w:tr>
        <w:trPr/>
        <w:tc>
          <w:tcPr>
            <w:tcW w:w="162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Tilapia</w:t>
            </w:r>
            <w:r>
              <w:rPr>
                <w:rFonts w:eastAsia="Times New Roman" w:cs="Calibri" w:ascii="Calibri" w:hAnsi="Calibri"/>
                <w:kern w:val="0"/>
                <w:szCs w:val="22"/>
                <w:vertAlign w:val="superscript"/>
                <w:lang w:val="en-US" w:eastAsia="en-US" w:bidi="ar-SA"/>
              </w:rPr>
              <w:t>b</w:t>
            </w:r>
          </w:p>
        </w:tc>
        <w:tc>
          <w:tcPr>
            <w:tcW w:w="148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i/>
                <w:iCs/>
                <w:kern w:val="0"/>
                <w:szCs w:val="22"/>
                <w:lang w:val="en-US" w:eastAsia="en-US" w:bidi="ar-SA"/>
              </w:rPr>
              <w:t>Oreochromis niloticus</w:t>
            </w:r>
          </w:p>
        </w:tc>
        <w:tc>
          <w:tcPr>
            <w:tcW w:w="1022"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0.150</w:t>
            </w:r>
          </w:p>
        </w:tc>
        <w:tc>
          <w:tcPr>
            <w:tcW w:w="1013"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-0.36</w:t>
            </w:r>
          </w:p>
        </w:tc>
        <w:tc>
          <w:tcPr>
            <w:tcW w:w="1081"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0.03</w:t>
            </w:r>
          </w:p>
        </w:tc>
        <w:tc>
          <w:tcPr>
            <w:tcW w:w="1030"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0.0274</w:t>
            </w:r>
          </w:p>
        </w:tc>
        <w:tc>
          <w:tcPr>
            <w:tcW w:w="1011"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-0.348</w:t>
            </w:r>
          </w:p>
        </w:tc>
        <w:tc>
          <w:tcPr>
            <w:tcW w:w="1090"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0.00484</w:t>
            </w:r>
          </w:p>
        </w:tc>
      </w:tr>
      <w:tr>
        <w:trPr/>
        <w:tc>
          <w:tcPr>
            <w:tcW w:w="162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Grass shrimp</w:t>
            </w:r>
          </w:p>
        </w:tc>
        <w:tc>
          <w:tcPr>
            <w:tcW w:w="1481"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t>Palaemonetes paludosus</w:t>
            </w:r>
          </w:p>
        </w:tc>
        <w:tc>
          <w:tcPr>
            <w:tcW w:w="1022"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013"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081"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0.01</w:t>
            </w:r>
            <w:r>
              <w:rPr>
                <w:rFonts w:eastAsia="Times New Roman" w:cs="Calibri" w:ascii="Calibri" w:hAnsi="Calibri"/>
                <w:kern w:val="0"/>
                <w:szCs w:val="22"/>
                <w:vertAlign w:val="superscript"/>
                <w:lang w:val="en-US" w:eastAsia="en-US" w:bidi="ar-SA"/>
              </w:rPr>
              <w:t>d</w:t>
            </w:r>
          </w:p>
        </w:tc>
        <w:tc>
          <w:tcPr>
            <w:tcW w:w="1030"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011"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090"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0.00229</w:t>
            </w:r>
            <w:r>
              <w:rPr>
                <w:rFonts w:eastAsia="Times New Roman" w:cs="Calibri" w:ascii="Calibri" w:hAnsi="Calibri"/>
                <w:kern w:val="0"/>
                <w:szCs w:val="22"/>
                <w:vertAlign w:val="superscript"/>
                <w:lang w:val="en-US" w:eastAsia="en-US" w:bidi="ar-SA"/>
              </w:rPr>
              <w:t>e</w:t>
            </w:r>
          </w:p>
        </w:tc>
      </w:tr>
    </w:tbl>
    <w:p>
      <w:pPr>
        <w:pStyle w:val="Normal"/>
        <w:spacing w:lineRule="auto" w:line="240" w:before="0" w:after="0"/>
        <w:rPr>
          <w:rFonts w:ascii="Calibri" w:hAnsi="Calibri" w:cs="Calibri"/>
          <w:sz w:val="18"/>
          <w:szCs w:val="18"/>
        </w:rPr>
      </w:pPr>
      <w:r>
        <w:rPr>
          <w:rFonts w:cs="Calibri" w:ascii="Calibri" w:hAnsi="Calibri"/>
          <w:sz w:val="18"/>
          <w:szCs w:val="18"/>
          <w:vertAlign w:val="superscript"/>
        </w:rPr>
        <w:t>a</w:t>
      </w:r>
      <w:r>
        <w:rPr>
          <w:rFonts w:cs="Calibri" w:ascii="Calibri" w:hAnsi="Calibri"/>
          <w:sz w:val="18"/>
          <w:szCs w:val="18"/>
        </w:rPr>
        <w:t>Chipps and Wahl (2004)</w:t>
      </w:r>
    </w:p>
    <w:p>
      <w:pPr>
        <w:pStyle w:val="Normal"/>
        <w:spacing w:lineRule="auto" w:line="240" w:before="0" w:after="0"/>
        <w:rPr>
          <w:rFonts w:ascii="Calibri" w:hAnsi="Calibri" w:cs="Calibri"/>
          <w:sz w:val="18"/>
          <w:szCs w:val="18"/>
        </w:rPr>
      </w:pPr>
      <w:r>
        <w:rPr>
          <w:rFonts w:cs="Calibri" w:ascii="Calibri" w:hAnsi="Calibri"/>
          <w:sz w:val="18"/>
          <w:szCs w:val="18"/>
          <w:vertAlign w:val="superscript"/>
        </w:rPr>
        <w:t>b</w:t>
      </w:r>
      <w:r>
        <w:rPr>
          <w:rFonts w:cs="Calibri" w:ascii="Calibri" w:hAnsi="Calibri"/>
          <w:sz w:val="18"/>
          <w:szCs w:val="18"/>
        </w:rPr>
        <w:t>Deslauriers et al. (2017)</w:t>
      </w:r>
    </w:p>
    <w:p>
      <w:pPr>
        <w:pStyle w:val="Normal"/>
        <w:spacing w:lineRule="auto" w:line="240" w:before="0" w:after="0"/>
        <w:rPr>
          <w:rFonts w:ascii="Calibri" w:hAnsi="Calibri" w:cs="Calibri"/>
          <w:sz w:val="18"/>
          <w:szCs w:val="18"/>
        </w:rPr>
      </w:pPr>
      <w:r>
        <w:rPr>
          <w:rFonts w:cs="Calibri" w:ascii="Calibri" w:hAnsi="Calibri"/>
          <w:sz w:val="18"/>
          <w:szCs w:val="18"/>
          <w:vertAlign w:val="superscript"/>
        </w:rPr>
        <w:t>c</w:t>
      </w:r>
      <w:r>
        <w:rPr>
          <w:rFonts w:cs="Calibri" w:ascii="Calibri" w:hAnsi="Calibri"/>
          <w:sz w:val="18"/>
          <w:szCs w:val="18"/>
        </w:rPr>
        <w:t xml:space="preserve">Cmax = CA (weight </w:t>
      </w:r>
      <w:r>
        <w:rPr>
          <w:rFonts w:cs="Calibri" w:ascii="Calibri" w:hAnsi="Calibri"/>
          <w:sz w:val="18"/>
          <w:szCs w:val="18"/>
          <w:vertAlign w:val="superscript"/>
        </w:rPr>
        <w:t>CB</w:t>
      </w:r>
      <w:r>
        <w:rPr>
          <w:rFonts w:cs="Calibri" w:ascii="Calibri" w:hAnsi="Calibri"/>
          <w:sz w:val="18"/>
          <w:szCs w:val="18"/>
        </w:rPr>
        <w:t>); Rmax = RA (weight</w:t>
      </w:r>
      <w:r>
        <w:rPr>
          <w:rFonts w:cs="Calibri" w:ascii="Calibri" w:hAnsi="Calibri"/>
          <w:sz w:val="18"/>
          <w:szCs w:val="18"/>
          <w:vertAlign w:val="superscript"/>
        </w:rPr>
        <w:t>RB</w:t>
      </w:r>
      <w:r>
        <w:rPr>
          <w:rFonts w:cs="Calibri" w:ascii="Calibri" w:hAnsi="Calibri"/>
          <w:sz w:val="18"/>
          <w:szCs w:val="18"/>
        </w:rPr>
        <w:t>); as in Deslauriers et al. (2017)</w:t>
      </w:r>
    </w:p>
    <w:p>
      <w:pPr>
        <w:pStyle w:val="Normal"/>
        <w:spacing w:lineRule="auto" w:line="240" w:before="0" w:after="0"/>
        <w:rPr>
          <w:rFonts w:ascii="Calibri" w:hAnsi="Calibri" w:cs="Calibri"/>
          <w:sz w:val="18"/>
          <w:szCs w:val="18"/>
          <w:shd w:fill="FFFFFF" w:val="clear"/>
        </w:rPr>
      </w:pPr>
      <w:r>
        <w:rPr>
          <w:rFonts w:cs="Calibri" w:ascii="Calibri" w:hAnsi="Calibri"/>
          <w:sz w:val="18"/>
          <w:szCs w:val="18"/>
          <w:vertAlign w:val="superscript"/>
        </w:rPr>
        <w:t>d</w:t>
      </w:r>
      <w:r>
        <w:rPr>
          <w:rFonts w:cs="Calibri" w:ascii="Calibri" w:hAnsi="Calibri"/>
          <w:sz w:val="18"/>
          <w:szCs w:val="18"/>
          <w:shd w:fill="FFFFFF" w:val="clear"/>
        </w:rPr>
        <w:t>Vernberg and Piyatiratitivorakul (1998)</w:t>
      </w:r>
    </w:p>
    <w:p>
      <w:pPr>
        <w:pStyle w:val="Normal"/>
        <w:spacing w:lineRule="auto" w:line="240" w:before="0" w:after="0"/>
        <w:rPr>
          <w:rFonts w:ascii="Calibri" w:hAnsi="Calibri" w:cs="Calibri"/>
          <w:sz w:val="18"/>
          <w:szCs w:val="18"/>
        </w:rPr>
      </w:pPr>
      <w:r>
        <w:rPr>
          <w:rFonts w:cs="Calibri" w:ascii="Calibri" w:hAnsi="Calibri"/>
          <w:sz w:val="18"/>
          <w:szCs w:val="18"/>
          <w:shd w:fill="FFFFFF" w:val="clear"/>
          <w:vertAlign w:val="superscript"/>
        </w:rPr>
        <w:t>e</w:t>
      </w:r>
      <w:r>
        <w:rPr>
          <w:rFonts w:cs="Calibri" w:ascii="Calibri" w:hAnsi="Calibri"/>
          <w:sz w:val="18"/>
          <w:szCs w:val="18"/>
          <w:shd w:fill="FFFFFF" w:val="clear"/>
        </w:rPr>
        <w:t>Methot et al. (2012)</w:t>
      </w:r>
      <w:r>
        <w:rPr>
          <w:rFonts w:cs="Calibri" w:ascii="Calibri" w:hAnsi="Calibri"/>
          <w:sz w:val="18"/>
          <w:szCs w:val="18"/>
        </w:rPr>
        <w:t xml:space="preserve"> </w:t>
      </w:r>
    </w:p>
    <w:p>
      <w:pPr>
        <w:pStyle w:val="Normal"/>
        <w:rPr/>
      </w:pPr>
      <w:r>
        <w:rPr/>
      </w:r>
    </w:p>
    <w:p>
      <w:pPr>
        <w:pStyle w:val="Normal"/>
        <w:rPr/>
      </w:pPr>
      <w:r>
        <w:rPr/>
      </w:r>
    </w:p>
    <w:p>
      <w:pPr>
        <w:pStyle w:val="Caption"/>
        <w:rPr/>
      </w:pPr>
      <w:bookmarkStart w:id="163" w:name="_Hlk170419449"/>
      <w:bookmarkStart w:id="164" w:name="_Toc182250931"/>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22</w:t>
      </w:r>
      <w:r>
        <w:rPr/>
        <w:fldChar w:fldCharType="end"/>
      </w:r>
      <w:r>
        <w:rPr/>
        <w:t>. Bioenergetics parameters for fish species and grass shrimp included in the Phase II CASM-STA food web: egestion and excretion.</w:t>
      </w:r>
      <w:bookmarkEnd w:id="163"/>
      <w:bookmarkEnd w:id="164"/>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7"/>
        <w:gridCol w:w="2337"/>
        <w:gridCol w:w="2338"/>
        <w:gridCol w:w="2337"/>
      </w:tblGrid>
      <w:tr>
        <w:trPr/>
        <w:tc>
          <w:tcPr>
            <w:tcW w:w="2337" w:type="dxa"/>
            <w:tcBorders>
              <w:bottom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Common</w:t>
            </w:r>
          </w:p>
        </w:tc>
        <w:tc>
          <w:tcPr>
            <w:tcW w:w="2337" w:type="dxa"/>
            <w:tcBorders>
              <w:bottom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Species</w:t>
            </w:r>
          </w:p>
        </w:tc>
        <w:tc>
          <w:tcPr>
            <w:tcW w:w="2338"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Egestion, F</w:t>
            </w:r>
          </w:p>
        </w:tc>
        <w:tc>
          <w:tcPr>
            <w:tcW w:w="2337"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Excretion, U</w:t>
            </w:r>
          </w:p>
        </w:tc>
      </w:tr>
      <w:tr>
        <w:trPr/>
        <w:tc>
          <w:tcPr>
            <w:tcW w:w="2337" w:type="dxa"/>
            <w:tcBorders>
              <w:top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Name</w:t>
            </w:r>
          </w:p>
        </w:tc>
        <w:tc>
          <w:tcPr>
            <w:tcW w:w="2337" w:type="dxa"/>
            <w:tcBorders>
              <w:top w:val="nil"/>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name</w:t>
            </w:r>
          </w:p>
        </w:tc>
        <w:tc>
          <w:tcPr>
            <w:tcW w:w="2338"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(unitless)</w:t>
            </w:r>
          </w:p>
        </w:tc>
        <w:tc>
          <w:tcPr>
            <w:tcW w:w="2337"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(day</w:t>
            </w:r>
            <w:r>
              <w:rPr>
                <w:rFonts w:eastAsia="Times New Roman" w:cs="Calibri" w:ascii="Calibri" w:hAnsi="Calibri"/>
                <w:b/>
                <w:bCs/>
                <w:kern w:val="0"/>
                <w:szCs w:val="22"/>
                <w:vertAlign w:val="superscript"/>
                <w:lang w:val="en-US" w:eastAsia="en-US" w:bidi="ar-SA"/>
              </w:rPr>
              <w:t>-1</w:t>
            </w:r>
            <w:r>
              <w:rPr>
                <w:rFonts w:eastAsia="Times New Roman" w:cs="Calibri" w:ascii="Calibri" w:hAnsi="Calibri"/>
                <w:b/>
                <w:bCs/>
                <w:kern w:val="0"/>
                <w:szCs w:val="22"/>
                <w:lang w:val="en-US" w:eastAsia="en-US" w:bidi="ar-SA"/>
              </w:rPr>
              <w:t>)</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Mosquitofish</w:t>
            </w:r>
            <w:r>
              <w:rPr>
                <w:rFonts w:eastAsia="Times New Roman" w:cs="Calibri" w:ascii="Calibri" w:hAnsi="Calibri"/>
                <w:kern w:val="0"/>
                <w:szCs w:val="22"/>
                <w:vertAlign w:val="superscript"/>
                <w:lang w:val="en-US" w:eastAsia="en-US" w:bidi="ar-SA"/>
              </w:rPr>
              <w:t>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i/>
                <w:iCs/>
                <w:kern w:val="0"/>
                <w:szCs w:val="22"/>
                <w:lang w:val="en-US" w:eastAsia="en-US" w:bidi="ar-SA"/>
              </w:rPr>
              <w:t>Gambusia affinis</w:t>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0.200</w:t>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0.0700</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Largemouth bass</w:t>
            </w:r>
            <w:r>
              <w:rPr>
                <w:rFonts w:eastAsia="Times New Roman" w:cs="Calibri" w:ascii="Calibri" w:hAnsi="Calibri"/>
                <w:kern w:val="0"/>
                <w:szCs w:val="22"/>
                <w:vertAlign w:val="superscript"/>
                <w:lang w:val="en-US" w:eastAsia="en-US" w:bidi="ar-SA"/>
              </w:rPr>
              <w:t>b</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i/>
                <w:iCs/>
                <w:kern w:val="0"/>
                <w:szCs w:val="22"/>
                <w:lang w:val="en-US" w:eastAsia="en-US" w:bidi="ar-SA"/>
              </w:rPr>
              <w:t>Micropterus salmoides</w:t>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0.104</w:t>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0.0680</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Goeke et al. 2023</w:t>
            </w:r>
            <w:r>
              <w:rPr>
                <w:rFonts w:eastAsia="Times New Roman" w:cs="Calibri" w:ascii="Calibri" w:hAnsi="Calibri"/>
                <w:kern w:val="0"/>
                <w:szCs w:val="22"/>
                <w:vertAlign w:val="superscript"/>
                <w:lang w:val="en-US" w:eastAsia="en-US" w:bidi="ar-SA"/>
              </w:rPr>
              <w:t>c</w:t>
            </w:r>
          </w:p>
        </w:tc>
        <w:tc>
          <w:tcPr>
            <w:tcW w:w="2337"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0.0848</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Tilapia</w:t>
            </w:r>
            <w:r>
              <w:rPr>
                <w:rFonts w:eastAsia="Times New Roman" w:cs="Calibri" w:ascii="Calibri" w:hAnsi="Calibri"/>
                <w:kern w:val="0"/>
                <w:szCs w:val="22"/>
                <w:vertAlign w:val="superscript"/>
                <w:lang w:val="en-US" w:eastAsia="en-US" w:bidi="ar-SA"/>
              </w:rPr>
              <w:t>b</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i/>
                <w:iCs/>
                <w:kern w:val="0"/>
                <w:szCs w:val="22"/>
                <w:lang w:val="en-US" w:eastAsia="en-US" w:bidi="ar-SA"/>
              </w:rPr>
              <w:t>Oreochromis niloticus</w:t>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0.194</w:t>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0.0292</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Goeke et al. 2023</w:t>
            </w:r>
          </w:p>
        </w:tc>
        <w:tc>
          <w:tcPr>
            <w:tcW w:w="2337"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0.0273</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Grass shrimp</w:t>
            </w:r>
            <w:r>
              <w:rPr>
                <w:rFonts w:eastAsia="Times New Roman" w:cs="Calibri" w:ascii="Calibri" w:hAnsi="Calibri"/>
                <w:kern w:val="0"/>
                <w:szCs w:val="22"/>
                <w:vertAlign w:val="superscript"/>
                <w:lang w:val="en-US" w:eastAsia="en-US" w:bidi="ar-SA"/>
              </w:rPr>
              <w:t>d</w:t>
            </w:r>
          </w:p>
        </w:tc>
        <w:tc>
          <w:tcPr>
            <w:tcW w:w="2337"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t>Palaemonetes paludosus</w:t>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0.04</w:t>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0.029</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i/>
                <w:i/>
                <w:iCs/>
                <w:szCs w:val="22"/>
              </w:rPr>
            </w:pPr>
            <w:r>
              <w:rPr>
                <w:rFonts w:eastAsia="Times New Roman" w:cs="Calibri" w:ascii="Calibri" w:hAnsi="Calibri"/>
                <w:i/>
                <w:iCs/>
                <w:kern w:val="0"/>
                <w:szCs w:val="22"/>
                <w:lang w:val="en-US" w:eastAsia="en-US" w:bidi="ar-SA"/>
              </w:rPr>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Benthic infauna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Multiple species</w:t>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0.030</w:t>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0.020</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Zooplankton</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Multiple species</w:t>
            </w:r>
          </w:p>
        </w:tc>
        <w:tc>
          <w:tcPr>
            <w:tcW w:w="2338"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0.015</w:t>
            </w:r>
          </w:p>
        </w:tc>
        <w:tc>
          <w:tcPr>
            <w:tcW w:w="2337" w:type="dxa"/>
            <w:tcBorders/>
            <w:vAlign w:val="bottom"/>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0.020</w:t>
            </w:r>
          </w:p>
        </w:tc>
      </w:tr>
    </w:tbl>
    <w:p>
      <w:pPr>
        <w:pStyle w:val="Normal"/>
        <w:spacing w:lineRule="auto" w:line="240" w:before="0" w:after="0"/>
        <w:rPr>
          <w:rFonts w:ascii="Calibri" w:hAnsi="Calibri" w:cs="Calibri"/>
          <w:sz w:val="18"/>
          <w:szCs w:val="18"/>
        </w:rPr>
      </w:pPr>
      <w:r>
        <w:rPr>
          <w:rFonts w:cs="Calibri" w:ascii="Calibri" w:hAnsi="Calibri"/>
          <w:sz w:val="18"/>
          <w:szCs w:val="18"/>
          <w:vertAlign w:val="superscript"/>
        </w:rPr>
        <w:t>a</w:t>
      </w:r>
      <w:r>
        <w:rPr>
          <w:rFonts w:cs="Calibri" w:ascii="Calibri" w:hAnsi="Calibri"/>
          <w:sz w:val="18"/>
          <w:szCs w:val="18"/>
        </w:rPr>
        <w:t>Chipps and Wahl (2004)</w:t>
      </w:r>
    </w:p>
    <w:p>
      <w:pPr>
        <w:pStyle w:val="Normal"/>
        <w:spacing w:lineRule="auto" w:line="240" w:before="0" w:after="0"/>
        <w:rPr>
          <w:rFonts w:ascii="Calibri" w:hAnsi="Calibri" w:cs="Calibri"/>
          <w:sz w:val="18"/>
          <w:szCs w:val="18"/>
        </w:rPr>
      </w:pPr>
      <w:r>
        <w:rPr>
          <w:rFonts w:cs="Calibri" w:ascii="Calibri" w:hAnsi="Calibri"/>
          <w:sz w:val="18"/>
          <w:szCs w:val="18"/>
          <w:vertAlign w:val="superscript"/>
        </w:rPr>
        <w:t>b</w:t>
      </w:r>
      <w:r>
        <w:rPr>
          <w:rFonts w:cs="Calibri" w:ascii="Calibri" w:hAnsi="Calibri"/>
          <w:sz w:val="18"/>
          <w:szCs w:val="18"/>
        </w:rPr>
        <w:t>Deslauriers et al. (2017)</w:t>
      </w:r>
    </w:p>
    <w:p>
      <w:pPr>
        <w:pStyle w:val="Normal"/>
        <w:spacing w:lineRule="auto" w:line="240" w:before="0" w:after="0"/>
        <w:rPr>
          <w:rFonts w:ascii="Calibri" w:hAnsi="Calibri" w:cs="Calibri"/>
          <w:sz w:val="18"/>
          <w:szCs w:val="18"/>
        </w:rPr>
      </w:pPr>
      <w:r>
        <w:rPr>
          <w:rFonts w:cs="Calibri" w:ascii="Calibri" w:hAnsi="Calibri"/>
          <w:sz w:val="18"/>
          <w:szCs w:val="18"/>
          <w:vertAlign w:val="superscript"/>
        </w:rPr>
        <w:t>c</w:t>
      </w:r>
      <w:r>
        <w:rPr>
          <w:rFonts w:cs="Calibri" w:ascii="Calibri" w:hAnsi="Calibri"/>
          <w:sz w:val="18"/>
          <w:szCs w:val="18"/>
        </w:rPr>
        <w:t>Goeke et al. (2023), GEER 2023 presentation</w:t>
      </w:r>
    </w:p>
    <w:p>
      <w:pPr>
        <w:pStyle w:val="Normal"/>
        <w:spacing w:lineRule="auto" w:line="240" w:before="0" w:after="0"/>
        <w:rPr>
          <w:rFonts w:ascii="Calibri" w:hAnsi="Calibri" w:cs="Calibri"/>
          <w:sz w:val="18"/>
          <w:szCs w:val="18"/>
          <w:shd w:fill="FFFFFF" w:val="clear"/>
        </w:rPr>
      </w:pPr>
      <w:r>
        <w:rPr>
          <w:rFonts w:cs="Calibri" w:ascii="Calibri" w:hAnsi="Calibri"/>
          <w:sz w:val="18"/>
          <w:szCs w:val="18"/>
          <w:vertAlign w:val="superscript"/>
        </w:rPr>
        <w:t>d</w:t>
      </w:r>
      <w:r>
        <w:rPr>
          <w:rFonts w:cs="Calibri" w:ascii="Calibri" w:hAnsi="Calibri"/>
          <w:sz w:val="18"/>
          <w:szCs w:val="18"/>
          <w:shd w:fill="FFFFFF" w:val="clear"/>
        </w:rPr>
        <w:t>Vernberg and Piyatiratitivorakul (1998)</w:t>
      </w:r>
    </w:p>
    <w:p>
      <w:pPr>
        <w:pStyle w:val="Normal"/>
        <w:rPr/>
      </w:pPr>
      <w:r>
        <w:rPr/>
      </w:r>
    </w:p>
    <w:p>
      <w:pPr>
        <w:pStyle w:val="Normal"/>
        <w:spacing w:lineRule="auto" w:line="240" w:before="0" w:after="0"/>
        <w:jc w:val="left"/>
        <w:rPr>
          <w:bCs/>
          <w:i/>
          <w:i/>
          <w:color w:themeColor="accent1" w:themeShade="bf" w:val="2E74B5"/>
          <w:szCs w:val="22"/>
        </w:rPr>
      </w:pPr>
      <w:r>
        <w:rPr>
          <w:bCs/>
          <w:i/>
          <w:color w:themeColor="accent1" w:themeShade="bf" w:val="2E74B5"/>
          <w:szCs w:val="22"/>
        </w:rPr>
      </w:r>
      <w:r>
        <w:br w:type="page"/>
      </w:r>
    </w:p>
    <w:p>
      <w:pPr>
        <w:pStyle w:val="Normal"/>
        <w:keepNext w:val="true"/>
        <w:numPr>
          <w:ilvl w:val="2"/>
          <w:numId w:val="1"/>
        </w:numPr>
        <w:spacing w:before="0" w:after="120"/>
        <w:jc w:val="left"/>
        <w:outlineLvl w:val="2"/>
        <w:rPr>
          <w:bCs/>
          <w:i/>
          <w:i/>
          <w:color w:themeColor="accent1" w:themeShade="bf" w:val="2E74B5"/>
          <w:szCs w:val="22"/>
        </w:rPr>
      </w:pPr>
      <w:bookmarkStart w:id="165" w:name="_Toc182252522"/>
      <w:r>
        <w:rPr>
          <w:bCs/>
          <w:i/>
          <w:color w:themeColor="accent1" w:themeShade="bf" w:val="2E74B5"/>
          <w:szCs w:val="22"/>
        </w:rPr>
        <w:t>Bioturbation</w:t>
      </w:r>
      <w:bookmarkEnd w:id="165"/>
    </w:p>
    <w:p>
      <w:pPr>
        <w:pStyle w:val="Normal"/>
        <w:rPr/>
      </w:pPr>
      <w:r>
        <mc:AlternateContent>
          <mc:Choice Requires="wps">
            <w:drawing>
              <wp:anchor behindDoc="0" distT="40640" distB="52070" distL="108585" distR="128270" simplePos="0" locked="0" layoutInCell="0" allowOverlap="1" relativeHeight="112" wp14:anchorId="351DD7EB">
                <wp:simplePos x="0" y="0"/>
                <wp:positionH relativeFrom="column">
                  <wp:posOffset>68580</wp:posOffset>
                </wp:positionH>
                <wp:positionV relativeFrom="paragraph">
                  <wp:posOffset>2102485</wp:posOffset>
                </wp:positionV>
                <wp:extent cx="5829300" cy="3741420"/>
                <wp:effectExtent l="5080" t="5080" r="5080" b="5080"/>
                <wp:wrapTopAndBottom/>
                <wp:docPr id="176" name="Text Box 2"/>
                <a:graphic xmlns:a="http://schemas.openxmlformats.org/drawingml/2006/main">
                  <a:graphicData uri="http://schemas.microsoft.com/office/word/2010/wordprocessingShape">
                    <wps:wsp>
                      <wps:cNvSpPr/>
                      <wps:spPr>
                        <a:xfrm>
                          <a:off x="0" y="0"/>
                          <a:ext cx="5829480" cy="37414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5120640" cy="3077210"/>
                                  <wp:effectExtent l="0" t="0" r="0" b="0"/>
                                  <wp:docPr id="17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31" descr=""/>
                                          <pic:cNvPicPr>
                                            <a:picLocks noChangeAspect="1" noChangeArrowheads="1"/>
                                          </pic:cNvPicPr>
                                        </pic:nvPicPr>
                                        <pic:blipFill>
                                          <a:blip r:embed="rId180"/>
                                          <a:stretch>
                                            <a:fillRect/>
                                          </a:stretch>
                                        </pic:blipFill>
                                        <pic:spPr bwMode="auto">
                                          <a:xfrm>
                                            <a:off x="0" y="0"/>
                                            <a:ext cx="5120640" cy="3077210"/>
                                          </a:xfrm>
                                          <a:prstGeom prst="rect">
                                            <a:avLst/>
                                          </a:prstGeom>
                                        </pic:spPr>
                                      </pic:pic>
                                    </a:graphicData>
                                  </a:graphic>
                                </wp:inline>
                              </w:drawing>
                            </w:r>
                          </w:p>
                          <w:p>
                            <w:pPr>
                              <w:pStyle w:val="Caption"/>
                              <w:widowControl/>
                              <w:bidi w:val="0"/>
                              <w:spacing w:lineRule="auto" w:line="276" w:before="0" w:after="60"/>
                              <w:jc w:val="center"/>
                              <w:rPr/>
                            </w:pPr>
                            <w:bookmarkStart w:id="166" w:name="_Toc181802675"/>
                            <w:bookmarkStart w:id="167" w:name="_Hlk170424027"/>
                            <w:bookmarkStart w:id="168" w:name="_Hlk170424026"/>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35</w:t>
                            </w:r>
                            <w:r>
                              <w:rPr/>
                              <w:fldChar w:fldCharType="end"/>
                            </w:r>
                            <w:r>
                              <w:rPr/>
                              <w:t>.  Regression analysis of total suspended solids versus fish weight based on data gleaned from Jimenez-Montealegre et al. (2002).</w:t>
                            </w:r>
                            <w:bookmarkEnd w:id="166"/>
                            <w:bookmarkEnd w:id="167"/>
                            <w:bookmarkEnd w:id="168"/>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5.4pt;margin-top:165.55pt;width:458.95pt;height:294.55pt;mso-wrap-style:square;v-text-anchor:top" wp14:anchorId="351DD7EB">
                <v:fill o:detectmouseclick="t" type="solid" color2="black"/>
                <v:stroke color="black" weight="9360" joinstyle="miter" endcap="flat"/>
                <v:textbox>
                  <w:txbxContent>
                    <w:p>
                      <w:pPr>
                        <w:pStyle w:val="FrameContents"/>
                        <w:jc w:val="center"/>
                        <w:rPr/>
                      </w:pPr>
                      <w:r>
                        <w:rPr/>
                        <w:drawing>
                          <wp:inline distT="0" distB="0" distL="0" distR="0">
                            <wp:extent cx="5120640" cy="3077210"/>
                            <wp:effectExtent l="0" t="0" r="0" b="0"/>
                            <wp:docPr id="179"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31" descr=""/>
                                    <pic:cNvPicPr>
                                      <a:picLocks noChangeAspect="1" noChangeArrowheads="1"/>
                                    </pic:cNvPicPr>
                                  </pic:nvPicPr>
                                  <pic:blipFill>
                                    <a:blip r:embed="rId181"/>
                                    <a:stretch>
                                      <a:fillRect/>
                                    </a:stretch>
                                  </pic:blipFill>
                                  <pic:spPr bwMode="auto">
                                    <a:xfrm>
                                      <a:off x="0" y="0"/>
                                      <a:ext cx="5120640" cy="3077210"/>
                                    </a:xfrm>
                                    <a:prstGeom prst="rect">
                                      <a:avLst/>
                                    </a:prstGeom>
                                  </pic:spPr>
                                </pic:pic>
                              </a:graphicData>
                            </a:graphic>
                          </wp:inline>
                        </w:drawing>
                      </w:r>
                    </w:p>
                    <w:p>
                      <w:pPr>
                        <w:pStyle w:val="Caption"/>
                        <w:widowControl/>
                        <w:bidi w:val="0"/>
                        <w:spacing w:lineRule="auto" w:line="276" w:before="0" w:after="60"/>
                        <w:jc w:val="center"/>
                        <w:rPr/>
                      </w:pPr>
                      <w:bookmarkStart w:id="169" w:name="_Toc181802675"/>
                      <w:bookmarkStart w:id="170" w:name="_Hlk170424027"/>
                      <w:bookmarkStart w:id="171" w:name="_Hlk170424026"/>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35</w:t>
                      </w:r>
                      <w:r>
                        <w:rPr/>
                        <w:fldChar w:fldCharType="end"/>
                      </w:r>
                      <w:r>
                        <w:rPr/>
                        <w:t>.  Regression analysis of total suspended solids versus fish weight based on data gleaned from Jimenez-Montealegre et al. (2002).</w:t>
                      </w:r>
                      <w:bookmarkEnd w:id="169"/>
                      <w:bookmarkEnd w:id="170"/>
                      <w:bookmarkEnd w:id="171"/>
                    </w:p>
                  </w:txbxContent>
                </v:textbox>
                <w10:wrap type="topAndBottom"/>
              </v:rect>
            </w:pict>
          </mc:Fallback>
        </mc:AlternateContent>
      </w:r>
      <w:r>
        <w:rPr/>
        <w:t>Jimenez-Montealegre et al. (2002) reported the results of pond studies, similar to Avnimelech et al. (1999), that measured bioturbation by tilapia. Jimenez-Montealegre et al. (2002) demonstrated a positive relationship between fish biomass and total suspended solids (Figure 3-11). The regression derived from analysis of the Jimenez-Montealegre et al. (2002) data is used by the current version of the CASM-STA. The function is used to suspend floc, litter, POPs, and PIPs as a function of tilapia biomass. The suspended material is added to the corresponding water column P pools and enters the biogeochemical processing of these pools. The current assumption is that floc, litter, POPs, and PIP</w:t>
      </w:r>
      <w:r>
        <w:rPr>
          <w:vertAlign w:val="subscript"/>
        </w:rPr>
        <w:t>s</w:t>
      </w:r>
      <w:r>
        <w:rPr/>
        <w:t xml:space="preserve"> are equally suspended as a result of bioturbation by tilapia.</w:t>
      </w:r>
    </w:p>
    <w:p>
      <w:pPr>
        <w:pStyle w:val="Normal"/>
        <w:rPr/>
      </w:pPr>
      <w:r>
        <w:rPr/>
      </w:r>
    </w:p>
    <w:p>
      <w:pPr>
        <w:pStyle w:val="Normal"/>
        <w:keepNext w:val="true"/>
        <w:numPr>
          <w:ilvl w:val="2"/>
          <w:numId w:val="1"/>
        </w:numPr>
        <w:spacing w:before="120" w:after="120"/>
        <w:jc w:val="left"/>
        <w:outlineLvl w:val="2"/>
        <w:rPr>
          <w:bCs/>
          <w:i/>
          <w:i/>
          <w:color w:themeColor="accent1" w:themeShade="bf" w:val="2E74B5"/>
          <w:szCs w:val="22"/>
        </w:rPr>
      </w:pPr>
      <w:bookmarkStart w:id="172" w:name="_Toc182252523"/>
      <w:r>
        <w:rPr>
          <w:bCs/>
          <w:i/>
          <w:color w:themeColor="accent1" w:themeShade="bf" w:val="2E74B5"/>
          <w:szCs w:val="22"/>
        </w:rPr>
        <w:t>CASM-STA food web equations</w:t>
      </w:r>
      <w:bookmarkEnd w:id="172"/>
    </w:p>
    <w:p>
      <w:pPr>
        <w:pStyle w:val="Normal"/>
        <w:rPr/>
      </w:pPr>
      <w:r>
        <w:rPr/>
        <w:t>The following differential equation describes the daily change in biomass of the modeled aquatic plant populations (Table 3-6). Nonlinear functions of daily values of water temperature, light intensity, and nutrient availability regulate the expression of plant photosynthesis. A fraction of gross photosynthesis is lost to photorespiration (presp). A fraction of plant biomass is lost daily to temperature-dependent dark respiration. Additional daily losses of population biomass are to sinking (phytoplankton only), non-grazing “natural mortality, and grazing.</w:t>
      </w:r>
    </w:p>
    <w:p>
      <w:pPr>
        <w:pStyle w:val="Normal"/>
        <w:spacing w:lineRule="auto" w:line="240" w:before="0" w:after="0"/>
        <w:jc w:val="left"/>
        <w:rPr>
          <w:b/>
          <w:sz w:val="20"/>
        </w:rPr>
      </w:pPr>
      <w:r>
        <w:rPr>
          <w:b/>
          <w:sz w:val="20"/>
        </w:rPr>
      </w:r>
      <w:r>
        <w:br w:type="page"/>
      </w:r>
    </w:p>
    <w:p>
      <w:pPr>
        <w:pStyle w:val="Caption"/>
        <w:spacing w:before="0" w:after="60"/>
        <w:rPr/>
      </w:pPr>
      <w:bookmarkStart w:id="173" w:name="_Toc182250932"/>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23</w:t>
      </w:r>
      <w:r>
        <w:rPr/>
        <w:fldChar w:fldCharType="end"/>
      </w:r>
      <w:r>
        <w:rPr/>
        <w:t xml:space="preserve">. Governing equation for CASM-STA aquatic plants  </w:t>
        <w:br/>
        <w:t>(phytoplankton,  periphyton,  SAV, EAV).</w:t>
      </w:r>
      <w:bookmarkEnd w:id="173"/>
    </w:p>
    <w:p>
      <w:pPr>
        <w:pStyle w:val="Normal"/>
        <w:rPr/>
      </w:pPr>
      <w:r>
        <w:rPr/>
        <mc:AlternateContent>
          <mc:Choice Requires="wps">
            <w:drawing>
              <wp:anchor behindDoc="0" distT="40640" distB="55880" distL="109220" distR="128270" simplePos="0" locked="0" layoutInCell="0" allowOverlap="1" relativeHeight="114" wp14:anchorId="4337056B">
                <wp:simplePos x="0" y="0"/>
                <wp:positionH relativeFrom="column">
                  <wp:posOffset>30480</wp:posOffset>
                </wp:positionH>
                <wp:positionV relativeFrom="paragraph">
                  <wp:posOffset>271780</wp:posOffset>
                </wp:positionV>
                <wp:extent cx="5905500" cy="5928360"/>
                <wp:effectExtent l="5080" t="5080" r="5080" b="5080"/>
                <wp:wrapTopAndBottom/>
                <wp:docPr id="177" name="Text Box 2"/>
                <a:graphic xmlns:a="http://schemas.openxmlformats.org/drawingml/2006/main">
                  <a:graphicData uri="http://schemas.microsoft.com/office/word/2010/wordprocessingShape">
                    <wps:wsp>
                      <wps:cNvSpPr/>
                      <wps:spPr>
                        <a:xfrm>
                          <a:off x="0" y="0"/>
                          <a:ext cx="5905440" cy="59284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tabs>
                                <w:tab w:val="clear" w:pos="720"/>
                                <w:tab w:val="left" w:pos="990" w:leader="none"/>
                                <w:tab w:val="left" w:pos="549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90" w:leader="none"/>
                                <w:tab w:val="left" w:pos="5490" w:leader="dot"/>
                              </w:tabs>
                              <w:spacing w:lineRule="auto" w:line="240" w:before="0" w:after="0"/>
                              <w:jc w:val="center"/>
                              <w:rPr>
                                <w:rFonts w:ascii="Calibri" w:hAnsi="Calibri" w:cs="Calibri"/>
                                <w:iCs/>
                                <w:szCs w:val="22"/>
                              </w:rPr>
                            </w:pPr>
                            <w:r>
                              <w:rPr>
                                <w:rFonts w:cs="Calibri" w:ascii="Calibri" w:hAnsi="Calibri"/>
                                <w:iCs/>
                                <w:szCs w:val="22"/>
                              </w:rPr>
                              <w:t>dB</w:t>
                            </w:r>
                            <w:r>
                              <w:rPr>
                                <w:rFonts w:cs="Calibri" w:ascii="Calibri" w:hAnsi="Calibri"/>
                                <w:iCs/>
                                <w:szCs w:val="22"/>
                                <w:vertAlign w:val="subscript"/>
                              </w:rPr>
                              <w:t>i</w:t>
                            </w:r>
                            <w:r>
                              <w:rPr>
                                <w:rFonts w:cs="Calibri" w:ascii="Calibri" w:hAnsi="Calibri"/>
                                <w:iCs/>
                                <w:szCs w:val="22"/>
                              </w:rPr>
                              <w:t>/dt = B</w:t>
                            </w:r>
                            <w:r>
                              <w:rPr>
                                <w:rFonts w:cs="Calibri" w:ascii="Calibri" w:hAnsi="Calibri"/>
                                <w:iCs/>
                                <w:szCs w:val="22"/>
                                <w:vertAlign w:val="subscript"/>
                              </w:rPr>
                              <w:t>i</w:t>
                            </w:r>
                            <w:r>
                              <w:rPr>
                                <w:rFonts w:cs="Calibri" w:ascii="Calibri" w:hAnsi="Calibri"/>
                                <w:iCs/>
                                <w:szCs w:val="22"/>
                              </w:rPr>
                              <w:t xml:space="preserve"> [Pmax</w:t>
                            </w:r>
                            <w:r>
                              <w:rPr>
                                <w:rFonts w:cs="Calibri" w:ascii="Calibri" w:hAnsi="Calibri"/>
                                <w:iCs/>
                                <w:szCs w:val="22"/>
                                <w:vertAlign w:val="subscript"/>
                              </w:rPr>
                              <w:t>i</w:t>
                            </w:r>
                            <w:r>
                              <w:rPr>
                                <w:rFonts w:cs="Calibri" w:ascii="Calibri" w:hAnsi="Calibri"/>
                                <w:iCs/>
                                <w:szCs w:val="22"/>
                              </w:rPr>
                              <w:t xml:space="preserve"> {h(Tp), f(I), g(N), hmod}(1-presp</w:t>
                            </w:r>
                            <w:r>
                              <w:rPr>
                                <w:rFonts w:cs="Calibri" w:ascii="Calibri" w:hAnsi="Calibri"/>
                                <w:iCs/>
                                <w:szCs w:val="22"/>
                                <w:vertAlign w:val="subscript"/>
                              </w:rPr>
                              <w:t>i</w:t>
                            </w:r>
                            <w:r>
                              <w:rPr>
                                <w:rFonts w:cs="Calibri" w:ascii="Calibri" w:hAnsi="Calibri"/>
                                <w:iCs/>
                                <w:szCs w:val="22"/>
                              </w:rPr>
                              <w:t xml:space="preserve">)] </w:t>
                            </w:r>
                            <w:r>
                              <w:rPr>
                                <w:rFonts w:cs="Calibri" w:ascii="Calibri" w:hAnsi="Calibri"/>
                                <w:iCs/>
                                <w:szCs w:val="22"/>
                                <w:lang w:val="it-IT"/>
                              </w:rPr>
                              <w:t xml:space="preserve">– </w:t>
                            </w:r>
                            <w:r>
                              <w:rPr>
                                <w:rFonts w:cs="Calibri" w:ascii="Calibri" w:hAnsi="Calibri"/>
                                <w:iCs/>
                                <w:szCs w:val="22"/>
                              </w:rPr>
                              <w:t>B</w:t>
                            </w:r>
                            <w:r>
                              <w:rPr>
                                <w:rFonts w:cs="Calibri" w:ascii="Calibri" w:hAnsi="Calibri"/>
                                <w:iCs/>
                                <w:szCs w:val="22"/>
                                <w:vertAlign w:val="subscript"/>
                              </w:rPr>
                              <w:t xml:space="preserve">i </w:t>
                            </w:r>
                            <w:r>
                              <w:rPr>
                                <w:rFonts w:cs="Calibri" w:ascii="Calibri" w:hAnsi="Calibri"/>
                                <w:iCs/>
                                <w:szCs w:val="22"/>
                              </w:rPr>
                              <w:t>[</w:t>
                            </w:r>
                            <w:r>
                              <w:rPr>
                                <w:rFonts w:cs="Calibri" w:ascii="Calibri" w:hAnsi="Calibri"/>
                                <w:iCs/>
                                <w:szCs w:val="22"/>
                                <w:lang w:val="it-IT"/>
                              </w:rPr>
                              <w:t>dresp</w:t>
                            </w:r>
                            <w:r>
                              <w:rPr>
                                <w:rFonts w:cs="Calibri" w:ascii="Calibri" w:hAnsi="Calibri"/>
                                <w:iCs/>
                                <w:szCs w:val="22"/>
                                <w:vertAlign w:val="subscript"/>
                                <w:lang w:val="it-IT"/>
                              </w:rPr>
                              <w:t>i</w:t>
                            </w:r>
                            <w:r>
                              <w:rPr>
                                <w:rFonts w:cs="Calibri" w:ascii="Calibri" w:hAnsi="Calibri"/>
                                <w:iCs/>
                                <w:szCs w:val="22"/>
                                <w:lang w:val="it-IT"/>
                              </w:rPr>
                              <w:t xml:space="preserve"> , h(Tp)] – </w:t>
                            </w:r>
                            <w:r>
                              <w:rPr>
                                <w:rFonts w:cs="Calibri" w:ascii="Calibri" w:hAnsi="Calibri"/>
                                <w:iCs/>
                                <w:szCs w:val="22"/>
                              </w:rPr>
                              <w:t>B</w:t>
                            </w:r>
                            <w:r>
                              <w:rPr>
                                <w:rFonts w:cs="Calibri" w:ascii="Calibri" w:hAnsi="Calibri"/>
                                <w:iCs/>
                                <w:szCs w:val="22"/>
                                <w:vertAlign w:val="subscript"/>
                              </w:rPr>
                              <w:t>i</w:t>
                            </w:r>
                            <w:r>
                              <w:rPr>
                                <w:rFonts w:cs="Calibri" w:ascii="Calibri" w:hAnsi="Calibri"/>
                                <w:iCs/>
                                <w:szCs w:val="22"/>
                                <w:lang w:val="it-IT"/>
                              </w:rPr>
                              <w:t xml:space="preserve"> (s</w:t>
                            </w:r>
                            <w:r>
                              <w:rPr>
                                <w:rFonts w:cs="Calibri" w:ascii="Calibri" w:hAnsi="Calibri"/>
                                <w:iCs/>
                                <w:szCs w:val="22"/>
                                <w:vertAlign w:val="subscript"/>
                                <w:lang w:val="it-IT"/>
                              </w:rPr>
                              <w:t>i</w:t>
                            </w:r>
                            <w:r>
                              <w:rPr>
                                <w:rFonts w:cs="Calibri" w:ascii="Calibri" w:hAnsi="Calibri"/>
                                <w:iCs/>
                                <w:szCs w:val="22"/>
                                <w:lang w:val="it-IT"/>
                              </w:rPr>
                              <w:t xml:space="preserve"> + m</w:t>
                            </w:r>
                            <w:r>
                              <w:rPr>
                                <w:rFonts w:cs="Calibri" w:ascii="Calibri" w:hAnsi="Calibri"/>
                                <w:iCs/>
                                <w:szCs w:val="22"/>
                                <w:vertAlign w:val="subscript"/>
                                <w:lang w:val="it-IT"/>
                              </w:rPr>
                              <w:t>i</w:t>
                            </w:r>
                            <w:r>
                              <w:rPr>
                                <w:rFonts w:cs="Calibri" w:ascii="Calibri" w:hAnsi="Calibri"/>
                                <w:iCs/>
                                <w:szCs w:val="22"/>
                                <w:lang w:val="it-IT"/>
                              </w:rPr>
                              <w:t xml:space="preserve">) </w:t>
                            </w:r>
                            <w:r>
                              <w:rPr>
                                <w:rFonts w:cs="Calibri" w:ascii="Calibri" w:hAnsi="Calibri"/>
                                <w:iCs/>
                                <w:szCs w:val="22"/>
                              </w:rPr>
                              <w:t>– Gr(B</w:t>
                            </w:r>
                            <w:r>
                              <w:rPr>
                                <w:rFonts w:cs="Calibri" w:ascii="Calibri" w:hAnsi="Calibri"/>
                                <w:iCs/>
                                <w:szCs w:val="22"/>
                                <w:vertAlign w:val="subscript"/>
                              </w:rPr>
                              <w:t>i</w:t>
                            </w:r>
                            <w:r>
                              <w:rPr>
                                <w:rFonts w:cs="Calibri" w:ascii="Calibri" w:hAnsi="Calibri"/>
                                <w:iCs/>
                                <w:szCs w:val="22"/>
                              </w:rPr>
                              <w:t>)</w:t>
                            </w:r>
                          </w:p>
                          <w:p>
                            <w:pPr>
                              <w:pStyle w:val="FrameContents"/>
                              <w:tabs>
                                <w:tab w:val="clear" w:pos="720"/>
                                <w:tab w:val="left" w:pos="990" w:leader="none"/>
                                <w:tab w:val="left" w:pos="5490" w:leader="dot"/>
                              </w:tabs>
                              <w:spacing w:lineRule="auto" w:line="240" w:before="0" w:after="0"/>
                              <w:rPr>
                                <w:rFonts w:ascii="Calibri" w:hAnsi="Calibri" w:cs="Calibri"/>
                                <w:iCs/>
                                <w:szCs w:val="22"/>
                                <w:lang w:val="it-IT"/>
                              </w:rPr>
                            </w:pPr>
                            <w:r>
                              <w:rPr>
                                <w:rFonts w:cs="Calibri" w:ascii="Calibri" w:hAnsi="Calibri"/>
                                <w:iCs/>
                                <w:szCs w:val="22"/>
                                <w:lang w:val="it-IT"/>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90" w:leader="none"/>
                                <w:tab w:val="left" w:pos="5490" w:leader="dot"/>
                              </w:tabs>
                              <w:spacing w:lineRule="auto" w:line="240" w:before="0" w:after="0"/>
                              <w:rPr>
                                <w:rFonts w:ascii="Calibri" w:hAnsi="Calibri" w:cs="Calibri"/>
                                <w:szCs w:val="22"/>
                              </w:rPr>
                            </w:pPr>
                            <w:r>
                              <w:rPr>
                                <w:rFonts w:cs="Calibri" w:ascii="Calibri" w:hAnsi="Calibri"/>
                                <w:szCs w:val="22"/>
                              </w:rPr>
                              <w:t xml:space="preserve">where, for plant population i, </w:t>
                            </w:r>
                          </w:p>
                          <w:p>
                            <w:pPr>
                              <w:pStyle w:val="FrameContents"/>
                              <w:tabs>
                                <w:tab w:val="clear" w:pos="720"/>
                                <w:tab w:val="left" w:pos="990" w:leader="none"/>
                                <w:tab w:val="left" w:pos="5490" w:leader="dot"/>
                              </w:tabs>
                              <w:spacing w:lineRule="auto" w:line="240" w:before="0" w:after="0"/>
                              <w:ind w:firstLine="720"/>
                              <w:rPr>
                                <w:rFonts w:ascii="Calibri" w:hAnsi="Calibri" w:cs="Calibri"/>
                                <w:szCs w:val="22"/>
                              </w:rPr>
                            </w:pPr>
                            <w:r>
                              <w:rPr>
                                <w:rFonts w:cs="Calibri" w:ascii="Calibri" w:hAnsi="Calibri"/>
                                <w:szCs w:val="22"/>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B</w:t>
                            </w:r>
                            <w:r>
                              <w:rPr>
                                <w:rFonts w:cs="Calibri" w:ascii="Calibri" w:hAnsi="Calibri"/>
                                <w:iCs/>
                                <w:szCs w:val="22"/>
                                <w:vertAlign w:val="subscript"/>
                              </w:rPr>
                              <w:t>i</w:t>
                            </w:r>
                            <w:r>
                              <w:rPr>
                                <w:rFonts w:cs="Calibri" w:ascii="Calibri" w:hAnsi="Calibri"/>
                                <w:iCs/>
                                <w:szCs w:val="22"/>
                              </w:rPr>
                              <w:t xml:space="preserve"> </w:t>
                              <w:tab/>
                              <w:t xml:space="preserve"> biomass of plant population i</w:t>
                              <w:tab/>
                              <w:t>g C/m</w:t>
                            </w:r>
                            <w:r>
                              <w:rPr>
                                <w:rFonts w:cs="Calibri" w:ascii="Calibri" w:hAnsi="Calibri"/>
                                <w:iCs/>
                                <w:szCs w:val="22"/>
                                <w:vertAlign w:val="superscript"/>
                              </w:rPr>
                              <w:t>2</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Pmax</w:t>
                            </w:r>
                            <w:r>
                              <w:rPr>
                                <w:rFonts w:cs="Calibri" w:ascii="Calibri" w:hAnsi="Calibri"/>
                                <w:iCs/>
                                <w:szCs w:val="22"/>
                                <w:vertAlign w:val="subscript"/>
                              </w:rPr>
                              <w:t>i</w:t>
                              <w:tab/>
                            </w:r>
                            <w:r>
                              <w:rPr>
                                <w:rFonts w:cs="Calibri" w:ascii="Calibri" w:hAnsi="Calibri"/>
                                <w:iCs/>
                                <w:szCs w:val="22"/>
                              </w:rPr>
                              <w:t xml:space="preserve"> maximum photosynthetic rate</w:t>
                              <w:tab/>
                              <w:t xml:space="preserve">g C/g C/d </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h(Tp) </w:t>
                              <w:tab/>
                              <w:t xml:space="preserve"> temperature dependence of photosynthesis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f(I) </w:t>
                              <w:tab/>
                              <w:t xml:space="preserve"> light dependence of photosynthesis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g(N) </w:t>
                              <w:tab/>
                              <w:t xml:space="preserve"> nutrient dependence of photosynthesis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hmod </w:t>
                              <w:tab/>
                              <w:t xml:space="preserve"> habitat quality modifier of growth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presp</w:t>
                            </w:r>
                            <w:r>
                              <w:rPr>
                                <w:rFonts w:cs="Calibri" w:ascii="Calibri" w:hAnsi="Calibri"/>
                                <w:iCs/>
                                <w:szCs w:val="22"/>
                                <w:vertAlign w:val="subscript"/>
                              </w:rPr>
                              <w:t>i</w:t>
                              <w:tab/>
                            </w:r>
                            <w:r>
                              <w:rPr>
                                <w:rFonts w:cs="Calibri" w:ascii="Calibri" w:hAnsi="Calibri"/>
                                <w:iCs/>
                                <w:szCs w:val="22"/>
                              </w:rPr>
                              <w:t xml:space="preserve"> photorespiration rate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dresp</w:t>
                            </w:r>
                            <w:r>
                              <w:rPr>
                                <w:rFonts w:cs="Calibri" w:ascii="Calibri" w:hAnsi="Calibri"/>
                                <w:iCs/>
                                <w:szCs w:val="22"/>
                                <w:vertAlign w:val="subscript"/>
                              </w:rPr>
                              <w:t>i</w:t>
                              <w:tab/>
                            </w:r>
                            <w:r>
                              <w:rPr>
                                <w:rFonts w:cs="Calibri" w:ascii="Calibri" w:hAnsi="Calibri"/>
                                <w:iCs/>
                                <w:szCs w:val="22"/>
                              </w:rPr>
                              <w:t xml:space="preserve"> dark respiration rate  </w:t>
                              <w:tab/>
                              <w:t>1/d</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s</w:t>
                            </w:r>
                            <w:r>
                              <w:rPr>
                                <w:rFonts w:cs="Calibri" w:ascii="Calibri" w:hAnsi="Calibri"/>
                                <w:iCs/>
                                <w:szCs w:val="22"/>
                                <w:vertAlign w:val="subscript"/>
                              </w:rPr>
                              <w:t>i</w:t>
                            </w:r>
                            <w:r>
                              <w:rPr>
                                <w:rFonts w:cs="Calibri" w:ascii="Calibri" w:hAnsi="Calibri"/>
                                <w:iCs/>
                                <w:szCs w:val="22"/>
                              </w:rPr>
                              <w:t xml:space="preserve"> </w:t>
                              <w:tab/>
                              <w:t xml:space="preserve"> sinking rate (phytoplankton only) </w:t>
                              <w:tab/>
                              <w:t>1/d</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m</w:t>
                            </w:r>
                            <w:r>
                              <w:rPr>
                                <w:rFonts w:cs="Calibri" w:ascii="Calibri" w:hAnsi="Calibri"/>
                                <w:iCs/>
                                <w:szCs w:val="22"/>
                                <w:vertAlign w:val="subscript"/>
                              </w:rPr>
                              <w:t>i</w:t>
                              <w:tab/>
                            </w:r>
                            <w:r>
                              <w:rPr>
                                <w:rFonts w:cs="Calibri" w:ascii="Calibri" w:hAnsi="Calibri"/>
                                <w:iCs/>
                                <w:szCs w:val="22"/>
                              </w:rPr>
                              <w:t xml:space="preserve"> mortality rate </w:t>
                              <w:tab/>
                              <w:t>1/d</w:t>
                            </w:r>
                          </w:p>
                          <w:p>
                            <w:pPr>
                              <w:pStyle w:val="FrameContents"/>
                              <w:tabs>
                                <w:tab w:val="clear" w:pos="720"/>
                                <w:tab w:val="left" w:pos="990" w:leader="none"/>
                                <w:tab w:val="left" w:pos="5490" w:leader="dot"/>
                              </w:tabs>
                              <w:spacing w:lineRule="auto" w:line="240" w:before="0" w:after="0"/>
                              <w:rPr>
                                <w:rFonts w:ascii="Calibri" w:hAnsi="Calibri" w:cs="Calibri"/>
                                <w:i/>
                                <w:i/>
                                <w:szCs w:val="22"/>
                              </w:rPr>
                            </w:pPr>
                            <w:r>
                              <w:rPr>
                                <w:rFonts w:cs="Calibri" w:ascii="Calibri" w:hAnsi="Calibri"/>
                                <w:iCs/>
                                <w:szCs w:val="22"/>
                              </w:rPr>
                              <w:t>Gr</w:t>
                            </w:r>
                            <w:r>
                              <w:rPr>
                                <w:rFonts w:cs="Calibri" w:ascii="Calibri" w:hAnsi="Calibri"/>
                                <w:i/>
                                <w:szCs w:val="22"/>
                              </w:rPr>
                              <w:tab/>
                            </w:r>
                            <w:r>
                              <w:rPr>
                                <w:rFonts w:cs="Calibri" w:ascii="Calibri" w:hAnsi="Calibri"/>
                                <w:iCs/>
                                <w:szCs w:val="22"/>
                              </w:rPr>
                              <w:t>grazing loss</w:t>
                              <w:tab/>
                              <w:t>gC/m</w:t>
                            </w:r>
                            <w:r>
                              <w:rPr>
                                <w:rFonts w:cs="Calibri" w:ascii="Calibri" w:hAnsi="Calibri"/>
                                <w:iCs/>
                                <w:szCs w:val="22"/>
                                <w:vertAlign w:val="superscript"/>
                              </w:rPr>
                              <w:t>2</w:t>
                            </w:r>
                            <w:r>
                              <w:rPr>
                                <w:rFonts w:cs="Calibri" w:ascii="Calibri" w:hAnsi="Calibri"/>
                                <w:iCs/>
                                <w:szCs w:val="22"/>
                              </w:rPr>
                              <w:t>/d</w:t>
                            </w:r>
                          </w:p>
                          <w:p>
                            <w:pPr>
                              <w:pStyle w:val="FrameContents"/>
                              <w:tabs>
                                <w:tab w:val="clear" w:pos="720"/>
                                <w:tab w:val="left" w:pos="990" w:leader="none"/>
                                <w:tab w:val="left" w:pos="5490" w:leader="dot"/>
                              </w:tabs>
                              <w:spacing w:lineRule="auto" w:line="240" w:before="0" w:after="0"/>
                              <w:ind w:left="2160"/>
                              <w:rPr>
                                <w:rFonts w:ascii="Calibri" w:hAnsi="Calibri" w:cs="Calibri"/>
                                <w:i/>
                                <w:i/>
                                <w:szCs w:val="22"/>
                              </w:rPr>
                            </w:pPr>
                            <w:r>
                              <w:rPr>
                                <w:rFonts w:cs="Calibri" w:ascii="Calibri" w:hAnsi="Calibri"/>
                                <w:i/>
                                <w:szCs w:val="22"/>
                              </w:rPr>
                            </w:r>
                          </w:p>
                          <w:p>
                            <w:pPr>
                              <w:pStyle w:val="FrameContents"/>
                              <w:tabs>
                                <w:tab w:val="clear" w:pos="720"/>
                                <w:tab w:val="left" w:pos="990" w:leader="none"/>
                                <w:tab w:val="left" w:pos="5490" w:leader="dot"/>
                              </w:tabs>
                              <w:spacing w:lineRule="auto" w:line="240" w:before="0" w:after="0"/>
                              <w:rPr>
                                <w:rFonts w:ascii="Calibri" w:hAnsi="Calibri" w:cs="Calibri"/>
                                <w:b/>
                                <w:bCs/>
                                <w:iCs/>
                                <w:szCs w:val="22"/>
                              </w:rPr>
                            </w:pPr>
                            <w:r>
                              <w:rPr>
                                <w:rFonts w:cs="Calibri" w:ascii="Calibri" w:hAnsi="Calibri"/>
                                <w:iCs/>
                                <w:szCs w:val="22"/>
                              </w:rPr>
                              <w:t>and,</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90" w:leader="none"/>
                                <w:tab w:val="left" w:pos="549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90" w:leader="none"/>
                                <w:tab w:val="left" w:pos="5490" w:leader="dot"/>
                              </w:tabs>
                              <w:spacing w:lineRule="auto" w:line="240" w:before="0" w:after="0"/>
                              <w:jc w:val="center"/>
                              <w:rPr>
                                <w:rFonts w:ascii="Calibri" w:hAnsi="Calibri" w:cs="Calibri"/>
                                <w:iCs/>
                                <w:szCs w:val="22"/>
                              </w:rPr>
                            </w:pPr>
                            <w:r>
                              <w:rPr>
                                <w:rFonts w:cs="Calibri" w:ascii="Calibri" w:hAnsi="Calibri"/>
                                <w:iCs/>
                                <w:szCs w:val="22"/>
                              </w:rPr>
                              <w:t xml:space="preserve">Gr(Bi) = </w:t>
                            </w:r>
                            <w:r>
                              <w:rPr>
                                <w:rFonts w:eastAsia="Symbol" w:cs="Calibri" w:ascii="Calibri" w:hAnsi="Calibri"/>
                                <w:szCs w:val="22"/>
                              </w:rPr>
                              <w:t>å</w:t>
                            </w:r>
                            <w:r>
                              <w:rPr>
                                <w:rFonts w:cs="Calibri" w:ascii="Calibri" w:hAnsi="Calibri"/>
                                <w:iCs/>
                                <w:szCs w:val="22"/>
                                <w:vertAlign w:val="subscript"/>
                              </w:rPr>
                              <w:t>j</w:t>
                            </w:r>
                            <w:r>
                              <w:rPr>
                                <w:rFonts w:cs="Calibri" w:ascii="Calibri" w:hAnsi="Calibri"/>
                                <w:iCs/>
                                <w:szCs w:val="22"/>
                              </w:rPr>
                              <w:t>[h(Tc) B</w:t>
                            </w:r>
                            <w:r>
                              <w:rPr>
                                <w:rFonts w:cs="Calibri" w:ascii="Calibri" w:hAnsi="Calibri"/>
                                <w:iCs/>
                                <w:szCs w:val="22"/>
                                <w:vertAlign w:val="subscript"/>
                              </w:rPr>
                              <w:t>j</w:t>
                            </w:r>
                            <w:r>
                              <w:rPr>
                                <w:rFonts w:cs="Calibri" w:ascii="Calibri" w:hAnsi="Calibri"/>
                                <w:iCs/>
                                <w:szCs w:val="22"/>
                              </w:rPr>
                              <w:t xml:space="preserve"> Cm</w:t>
                            </w:r>
                            <w:r>
                              <w:rPr>
                                <w:rFonts w:cs="Calibri" w:ascii="Calibri" w:hAnsi="Calibri"/>
                                <w:iCs/>
                                <w:szCs w:val="22"/>
                                <w:vertAlign w:val="subscript"/>
                              </w:rPr>
                              <w:t>j</w:t>
                            </w:r>
                            <w:r>
                              <w:rPr>
                                <w:rFonts w:cs="Calibri" w:ascii="Calibri" w:hAnsi="Calibri"/>
                                <w:iCs/>
                                <w:szCs w:val="22"/>
                              </w:rPr>
                              <w:t xml:space="preserve"> w</w:t>
                            </w:r>
                            <w:r>
                              <w:rPr>
                                <w:rFonts w:cs="Calibri" w:ascii="Calibri" w:hAnsi="Calibri"/>
                                <w:iCs/>
                                <w:szCs w:val="22"/>
                                <w:vertAlign w:val="subscript"/>
                              </w:rPr>
                              <w:t>ij</w:t>
                            </w:r>
                            <w:r>
                              <w:rPr>
                                <w:rFonts w:cs="Calibri" w:ascii="Calibri" w:hAnsi="Calibri"/>
                                <w:iCs/>
                                <w:szCs w:val="22"/>
                              </w:rPr>
                              <w:t xml:space="preserve"> a</w:t>
                            </w:r>
                            <w:r>
                              <w:rPr>
                                <w:rFonts w:cs="Calibri" w:ascii="Calibri" w:hAnsi="Calibri"/>
                                <w:iCs/>
                                <w:szCs w:val="22"/>
                                <w:vertAlign w:val="subscript"/>
                              </w:rPr>
                              <w:t>ij</w:t>
                            </w:r>
                            <w:r>
                              <w:rPr>
                                <w:rFonts w:cs="Calibri" w:ascii="Calibri" w:hAnsi="Calibri"/>
                                <w:iCs/>
                                <w:szCs w:val="22"/>
                              </w:rPr>
                              <w:t xml:space="preserve"> h</w:t>
                            </w:r>
                            <w:r>
                              <w:rPr>
                                <w:rFonts w:cs="Calibri" w:ascii="Calibri" w:hAnsi="Calibri"/>
                                <w:iCs/>
                                <w:szCs w:val="22"/>
                                <w:vertAlign w:val="subscript"/>
                              </w:rPr>
                              <w:t>ij</w:t>
                            </w:r>
                            <w:r>
                              <w:rPr>
                                <w:rFonts w:cs="Calibri" w:ascii="Calibri" w:hAnsi="Calibri"/>
                                <w:iCs/>
                                <w:szCs w:val="22"/>
                              </w:rPr>
                              <w:t xml:space="preserve"> B</w:t>
                            </w:r>
                            <w:r>
                              <w:rPr>
                                <w:rFonts w:cs="Calibri" w:ascii="Calibri" w:hAnsi="Calibri"/>
                                <w:iCs/>
                                <w:szCs w:val="22"/>
                                <w:vertAlign w:val="subscript"/>
                              </w:rPr>
                              <w:t>i</w:t>
                            </w:r>
                            <w:r>
                              <w:rPr>
                                <w:rFonts w:cs="Calibri" w:ascii="Calibri" w:hAnsi="Calibri"/>
                                <w:iCs/>
                                <w:szCs w:val="22"/>
                              </w:rPr>
                              <w:t xml:space="preserve"> )/ (B</w:t>
                            </w:r>
                            <w:r>
                              <w:rPr>
                                <w:rFonts w:cs="Calibri" w:ascii="Calibri" w:hAnsi="Calibri"/>
                                <w:iCs/>
                                <w:szCs w:val="22"/>
                                <w:vertAlign w:val="subscript"/>
                              </w:rPr>
                              <w:t>j</w:t>
                            </w:r>
                            <w:r>
                              <w:rPr>
                                <w:rFonts w:cs="Calibri" w:ascii="Calibri" w:hAnsi="Calibri"/>
                                <w:iCs/>
                                <w:szCs w:val="22"/>
                              </w:rPr>
                              <w:t xml:space="preserve"> + </w:t>
                            </w:r>
                            <w:r>
                              <w:rPr>
                                <w:rFonts w:eastAsia="Symbol" w:cs="Calibri" w:ascii="Calibri" w:hAnsi="Calibri"/>
                                <w:szCs w:val="22"/>
                              </w:rPr>
                              <w:t>å</w:t>
                            </w:r>
                            <w:r>
                              <w:rPr>
                                <w:rFonts w:cs="Calibri" w:ascii="Calibri" w:hAnsi="Calibri"/>
                                <w:iCs/>
                                <w:szCs w:val="22"/>
                                <w:vertAlign w:val="subscript"/>
                              </w:rPr>
                              <w:t>i</w:t>
                            </w:r>
                            <w:r>
                              <w:rPr>
                                <w:rFonts w:cs="Calibri" w:ascii="Calibri" w:hAnsi="Calibri"/>
                                <w:iCs/>
                                <w:szCs w:val="22"/>
                              </w:rPr>
                              <w:t>w</w:t>
                            </w:r>
                            <w:r>
                              <w:rPr>
                                <w:rFonts w:cs="Calibri" w:ascii="Calibri" w:hAnsi="Calibri"/>
                                <w:iCs/>
                                <w:szCs w:val="22"/>
                                <w:vertAlign w:val="subscript"/>
                              </w:rPr>
                              <w:t>ij</w:t>
                            </w:r>
                            <w:r>
                              <w:rPr>
                                <w:rFonts w:cs="Calibri" w:ascii="Calibri" w:hAnsi="Calibri"/>
                                <w:iCs/>
                                <w:szCs w:val="22"/>
                              </w:rPr>
                              <w:t xml:space="preserve"> a</w:t>
                            </w:r>
                            <w:r>
                              <w:rPr>
                                <w:rFonts w:cs="Calibri" w:ascii="Calibri" w:hAnsi="Calibri"/>
                                <w:iCs/>
                                <w:szCs w:val="22"/>
                                <w:vertAlign w:val="subscript"/>
                              </w:rPr>
                              <w:t>ij</w:t>
                            </w:r>
                            <w:r>
                              <w:rPr>
                                <w:rFonts w:cs="Calibri" w:ascii="Calibri" w:hAnsi="Calibri"/>
                                <w:iCs/>
                                <w:szCs w:val="22"/>
                              </w:rPr>
                              <w:t xml:space="preserve"> h</w:t>
                            </w:r>
                            <w:r>
                              <w:rPr>
                                <w:rFonts w:cs="Calibri" w:ascii="Calibri" w:hAnsi="Calibri"/>
                                <w:iCs/>
                                <w:szCs w:val="22"/>
                                <w:vertAlign w:val="subscript"/>
                              </w:rPr>
                              <w:t>ij</w:t>
                            </w:r>
                            <w:r>
                              <w:rPr>
                                <w:rFonts w:cs="Calibri" w:ascii="Calibri" w:hAnsi="Calibri"/>
                                <w:iCs/>
                                <w:szCs w:val="22"/>
                              </w:rPr>
                              <w:t xml:space="preserve"> B</w:t>
                            </w:r>
                            <w:r>
                              <w:rPr>
                                <w:rFonts w:cs="Calibri" w:ascii="Calibri" w:hAnsi="Calibri"/>
                                <w:iCs/>
                                <w:szCs w:val="22"/>
                                <w:vertAlign w:val="subscript"/>
                              </w:rPr>
                              <w:t>i</w:t>
                            </w:r>
                            <w:r>
                              <w:rPr>
                                <w:rFonts w:cs="Calibri" w:ascii="Calibri" w:hAnsi="Calibri"/>
                                <w:iCs/>
                                <w:szCs w:val="22"/>
                              </w:rPr>
                              <w:t>)],</w:t>
                            </w:r>
                          </w:p>
                          <w:p>
                            <w:pPr>
                              <w:pStyle w:val="FrameContents"/>
                              <w:tabs>
                                <w:tab w:val="clear" w:pos="720"/>
                                <w:tab w:val="left" w:pos="990" w:leader="none"/>
                                <w:tab w:val="left" w:pos="549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where,</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B</w:t>
                            </w:r>
                            <w:r>
                              <w:rPr>
                                <w:rFonts w:cs="Calibri" w:ascii="Calibri" w:hAnsi="Calibri"/>
                                <w:iCs/>
                                <w:szCs w:val="22"/>
                                <w:vertAlign w:val="subscript"/>
                              </w:rPr>
                              <w:t>j</w:t>
                            </w:r>
                            <w:r>
                              <w:rPr>
                                <w:rFonts w:cs="Calibri" w:ascii="Calibri" w:hAnsi="Calibri"/>
                                <w:iCs/>
                                <w:szCs w:val="22"/>
                              </w:rPr>
                              <w:tab/>
                              <w:t>biomass of grazer population j</w:t>
                              <w:tab/>
                              <w:t>g C/m</w:t>
                            </w:r>
                            <w:r>
                              <w:rPr>
                                <w:rFonts w:cs="Calibri" w:ascii="Calibri" w:hAnsi="Calibri"/>
                                <w:iCs/>
                                <w:szCs w:val="22"/>
                                <w:vertAlign w:val="superscript"/>
                              </w:rPr>
                              <w:t>2</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h(Tc) </w:t>
                              <w:tab/>
                              <w:t xml:space="preserve"> temperature dependence of consumption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Cm</w:t>
                            </w:r>
                            <w:r>
                              <w:rPr>
                                <w:rFonts w:cs="Calibri" w:ascii="Calibri" w:hAnsi="Calibri"/>
                                <w:iCs/>
                                <w:szCs w:val="22"/>
                                <w:vertAlign w:val="subscript"/>
                              </w:rPr>
                              <w:t>j</w:t>
                              <w:tab/>
                              <w:t xml:space="preserve"> </w:t>
                            </w:r>
                            <w:r>
                              <w:rPr>
                                <w:rFonts w:cs="Calibri" w:ascii="Calibri" w:hAnsi="Calibri"/>
                                <w:iCs/>
                                <w:szCs w:val="22"/>
                              </w:rPr>
                              <w:t xml:space="preserve">max rate of consumption by grazer j </w:t>
                              <w:tab/>
                              <w:t>g C/g C/d</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w</w:t>
                            </w:r>
                            <w:r>
                              <w:rPr>
                                <w:rFonts w:cs="Calibri" w:ascii="Calibri" w:hAnsi="Calibri"/>
                                <w:iCs/>
                                <w:szCs w:val="22"/>
                                <w:vertAlign w:val="subscript"/>
                              </w:rPr>
                              <w:t>ij</w:t>
                              <w:tab/>
                            </w:r>
                            <w:r>
                              <w:rPr>
                                <w:rFonts w:cs="Calibri" w:ascii="Calibri" w:hAnsi="Calibri"/>
                                <w:iCs/>
                                <w:szCs w:val="22"/>
                              </w:rPr>
                              <w:t xml:space="preserve"> preference of grazer j for producer I</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a</w:t>
                            </w:r>
                            <w:r>
                              <w:rPr>
                                <w:rFonts w:cs="Calibri" w:ascii="Calibri" w:hAnsi="Calibri"/>
                                <w:iCs/>
                                <w:szCs w:val="22"/>
                                <w:vertAlign w:val="subscript"/>
                              </w:rPr>
                              <w:t>ij</w:t>
                            </w:r>
                            <w:r>
                              <w:rPr>
                                <w:rFonts w:cs="Calibri" w:ascii="Calibri" w:hAnsi="Calibri"/>
                                <w:iCs/>
                                <w:szCs w:val="22"/>
                              </w:rPr>
                              <w:t xml:space="preserve"> </w:t>
                              <w:tab/>
                              <w:t xml:space="preserve"> assimilation of producer i by grazer j</w:t>
                              <w:tab/>
                              <w:t>unitless</w:t>
                            </w:r>
                          </w:p>
                          <w:p>
                            <w:pPr>
                              <w:pStyle w:val="FrameContents"/>
                              <w:tabs>
                                <w:tab w:val="clear" w:pos="720"/>
                                <w:tab w:val="left" w:pos="990" w:leader="none"/>
                                <w:tab w:val="left" w:pos="5490" w:leader="dot"/>
                              </w:tabs>
                              <w:spacing w:lineRule="auto" w:line="240" w:before="0" w:after="0"/>
                              <w:rPr>
                                <w:rFonts w:ascii="Calibri" w:hAnsi="Calibri" w:cs="Calibri"/>
                                <w:szCs w:val="22"/>
                              </w:rPr>
                            </w:pPr>
                            <w:r>
                              <w:rPr>
                                <w:rFonts w:cs="Calibri" w:ascii="Calibri" w:hAnsi="Calibri"/>
                                <w:iCs/>
                                <w:szCs w:val="22"/>
                              </w:rPr>
                              <w:t>h</w:t>
                            </w:r>
                            <w:r>
                              <w:rPr>
                                <w:rFonts w:cs="Calibri" w:ascii="Calibri" w:hAnsi="Calibri"/>
                                <w:iCs/>
                                <w:szCs w:val="22"/>
                                <w:vertAlign w:val="subscript"/>
                              </w:rPr>
                              <w:t>ij</w:t>
                            </w:r>
                            <w:r>
                              <w:rPr>
                                <w:rFonts w:cs="Calibri" w:ascii="Calibri" w:hAnsi="Calibri"/>
                                <w:iCs/>
                                <w:szCs w:val="22"/>
                              </w:rPr>
                              <w:t xml:space="preserve"> </w:t>
                              <w:tab/>
                              <w:t xml:space="preserve"> handling efficiency</w:t>
                            </w:r>
                            <w:r>
                              <w:rPr>
                                <w:rFonts w:cs="Calibri" w:ascii="Calibri" w:hAnsi="Calibri"/>
                                <w:szCs w:val="22"/>
                              </w:rPr>
                              <w:t xml:space="preserve"> </w:t>
                              <w:tab/>
                              <w:t>unitless</w:t>
                            </w:r>
                          </w:p>
                          <w:p>
                            <w:pPr>
                              <w:pStyle w:val="FrameContents"/>
                              <w:tabs>
                                <w:tab w:val="clear" w:pos="720"/>
                                <w:tab w:val="left" w:pos="990" w:leader="none"/>
                                <w:tab w:val="left" w:pos="5490" w:leader="dot"/>
                              </w:tabs>
                              <w:spacing w:lineRule="auto" w:line="240" w:before="0" w:after="0"/>
                              <w:rPr>
                                <w:rFonts w:ascii="Calibri" w:hAnsi="Calibri" w:cs="Calibri"/>
                                <w:szCs w:val="22"/>
                              </w:rPr>
                            </w:pPr>
                            <w:r>
                              <w:rPr>
                                <w:rFonts w:eastAsia="Symbol" w:cs="Calibri" w:ascii="Calibri" w:hAnsi="Calibri"/>
                                <w:szCs w:val="22"/>
                              </w:rPr>
                              <w:t>å</w:t>
                            </w:r>
                            <w:r>
                              <w:rPr>
                                <w:rFonts w:cs="Calibri" w:ascii="Calibri" w:hAnsi="Calibri"/>
                                <w:iCs/>
                                <w:szCs w:val="22"/>
                                <w:vertAlign w:val="subscript"/>
                              </w:rPr>
                              <w:t>j</w:t>
                            </w:r>
                            <w:r>
                              <w:rPr>
                                <w:rFonts w:cs="Calibri" w:ascii="Calibri" w:hAnsi="Calibri"/>
                                <w:iCs/>
                                <w:szCs w:val="22"/>
                              </w:rPr>
                              <w:t xml:space="preserve"> </w:t>
                              <w:tab/>
                              <w:t xml:space="preserve"> summed over j populations grazing on B</w:t>
                            </w:r>
                            <w:r>
                              <w:rPr>
                                <w:rFonts w:cs="Calibri" w:ascii="Calibri" w:hAnsi="Calibri"/>
                                <w:iCs/>
                                <w:szCs w:val="22"/>
                                <w:vertAlign w:val="subscript"/>
                              </w:rPr>
                              <w:t>i</w:t>
                            </w:r>
                            <w:r>
                              <w:rPr>
                                <w:rFonts w:cs="Calibri" w:ascii="Calibri" w:hAnsi="Calibri"/>
                                <w:szCs w:val="22"/>
                              </w:rPr>
                              <w:t xml:space="preserve"> </w:t>
                            </w:r>
                          </w:p>
                          <w:p>
                            <w:pPr>
                              <w:pStyle w:val="FrameContents"/>
                              <w:spacing w:before="0" w:after="120"/>
                              <w:rPr/>
                            </w:pPr>
                            <w:r>
                              <w:rPr/>
                            </w:r>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2.4pt;margin-top:21.4pt;width:464.95pt;height:466.75pt;mso-wrap-style:square;v-text-anchor:top" wp14:anchorId="4337056B">
                <v:fill o:detectmouseclick="t" type="solid" color2="black"/>
                <v:stroke color="black" weight="9360" joinstyle="miter" endcap="flat"/>
                <v:textbox>
                  <w:txbxContent>
                    <w:p>
                      <w:pPr>
                        <w:pStyle w:val="FrameContents"/>
                        <w:tabs>
                          <w:tab w:val="clear" w:pos="720"/>
                          <w:tab w:val="left" w:pos="990" w:leader="none"/>
                          <w:tab w:val="left" w:pos="549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90" w:leader="none"/>
                          <w:tab w:val="left" w:pos="5490" w:leader="dot"/>
                        </w:tabs>
                        <w:spacing w:lineRule="auto" w:line="240" w:before="0" w:after="0"/>
                        <w:jc w:val="center"/>
                        <w:rPr>
                          <w:rFonts w:ascii="Calibri" w:hAnsi="Calibri" w:cs="Calibri"/>
                          <w:iCs/>
                          <w:szCs w:val="22"/>
                        </w:rPr>
                      </w:pPr>
                      <w:r>
                        <w:rPr>
                          <w:rFonts w:cs="Calibri" w:ascii="Calibri" w:hAnsi="Calibri"/>
                          <w:iCs/>
                          <w:szCs w:val="22"/>
                        </w:rPr>
                        <w:t>dB</w:t>
                      </w:r>
                      <w:r>
                        <w:rPr>
                          <w:rFonts w:cs="Calibri" w:ascii="Calibri" w:hAnsi="Calibri"/>
                          <w:iCs/>
                          <w:szCs w:val="22"/>
                          <w:vertAlign w:val="subscript"/>
                        </w:rPr>
                        <w:t>i</w:t>
                      </w:r>
                      <w:r>
                        <w:rPr>
                          <w:rFonts w:cs="Calibri" w:ascii="Calibri" w:hAnsi="Calibri"/>
                          <w:iCs/>
                          <w:szCs w:val="22"/>
                        </w:rPr>
                        <w:t>/dt = B</w:t>
                      </w:r>
                      <w:r>
                        <w:rPr>
                          <w:rFonts w:cs="Calibri" w:ascii="Calibri" w:hAnsi="Calibri"/>
                          <w:iCs/>
                          <w:szCs w:val="22"/>
                          <w:vertAlign w:val="subscript"/>
                        </w:rPr>
                        <w:t>i</w:t>
                      </w:r>
                      <w:r>
                        <w:rPr>
                          <w:rFonts w:cs="Calibri" w:ascii="Calibri" w:hAnsi="Calibri"/>
                          <w:iCs/>
                          <w:szCs w:val="22"/>
                        </w:rPr>
                        <w:t xml:space="preserve"> [Pmax</w:t>
                      </w:r>
                      <w:r>
                        <w:rPr>
                          <w:rFonts w:cs="Calibri" w:ascii="Calibri" w:hAnsi="Calibri"/>
                          <w:iCs/>
                          <w:szCs w:val="22"/>
                          <w:vertAlign w:val="subscript"/>
                        </w:rPr>
                        <w:t>i</w:t>
                      </w:r>
                      <w:r>
                        <w:rPr>
                          <w:rFonts w:cs="Calibri" w:ascii="Calibri" w:hAnsi="Calibri"/>
                          <w:iCs/>
                          <w:szCs w:val="22"/>
                        </w:rPr>
                        <w:t xml:space="preserve"> {h(Tp), f(I), g(N), hmod}(1-presp</w:t>
                      </w:r>
                      <w:r>
                        <w:rPr>
                          <w:rFonts w:cs="Calibri" w:ascii="Calibri" w:hAnsi="Calibri"/>
                          <w:iCs/>
                          <w:szCs w:val="22"/>
                          <w:vertAlign w:val="subscript"/>
                        </w:rPr>
                        <w:t>i</w:t>
                      </w:r>
                      <w:r>
                        <w:rPr>
                          <w:rFonts w:cs="Calibri" w:ascii="Calibri" w:hAnsi="Calibri"/>
                          <w:iCs/>
                          <w:szCs w:val="22"/>
                        </w:rPr>
                        <w:t xml:space="preserve">)] </w:t>
                      </w:r>
                      <w:r>
                        <w:rPr>
                          <w:rFonts w:cs="Calibri" w:ascii="Calibri" w:hAnsi="Calibri"/>
                          <w:iCs/>
                          <w:szCs w:val="22"/>
                          <w:lang w:val="it-IT"/>
                        </w:rPr>
                        <w:t xml:space="preserve">– </w:t>
                      </w:r>
                      <w:r>
                        <w:rPr>
                          <w:rFonts w:cs="Calibri" w:ascii="Calibri" w:hAnsi="Calibri"/>
                          <w:iCs/>
                          <w:szCs w:val="22"/>
                        </w:rPr>
                        <w:t>B</w:t>
                      </w:r>
                      <w:r>
                        <w:rPr>
                          <w:rFonts w:cs="Calibri" w:ascii="Calibri" w:hAnsi="Calibri"/>
                          <w:iCs/>
                          <w:szCs w:val="22"/>
                          <w:vertAlign w:val="subscript"/>
                        </w:rPr>
                        <w:t xml:space="preserve">i </w:t>
                      </w:r>
                      <w:r>
                        <w:rPr>
                          <w:rFonts w:cs="Calibri" w:ascii="Calibri" w:hAnsi="Calibri"/>
                          <w:iCs/>
                          <w:szCs w:val="22"/>
                        </w:rPr>
                        <w:t>[</w:t>
                      </w:r>
                      <w:r>
                        <w:rPr>
                          <w:rFonts w:cs="Calibri" w:ascii="Calibri" w:hAnsi="Calibri"/>
                          <w:iCs/>
                          <w:szCs w:val="22"/>
                          <w:lang w:val="it-IT"/>
                        </w:rPr>
                        <w:t>dresp</w:t>
                      </w:r>
                      <w:r>
                        <w:rPr>
                          <w:rFonts w:cs="Calibri" w:ascii="Calibri" w:hAnsi="Calibri"/>
                          <w:iCs/>
                          <w:szCs w:val="22"/>
                          <w:vertAlign w:val="subscript"/>
                          <w:lang w:val="it-IT"/>
                        </w:rPr>
                        <w:t>i</w:t>
                      </w:r>
                      <w:r>
                        <w:rPr>
                          <w:rFonts w:cs="Calibri" w:ascii="Calibri" w:hAnsi="Calibri"/>
                          <w:iCs/>
                          <w:szCs w:val="22"/>
                          <w:lang w:val="it-IT"/>
                        </w:rPr>
                        <w:t xml:space="preserve"> , h(Tp)] – </w:t>
                      </w:r>
                      <w:r>
                        <w:rPr>
                          <w:rFonts w:cs="Calibri" w:ascii="Calibri" w:hAnsi="Calibri"/>
                          <w:iCs/>
                          <w:szCs w:val="22"/>
                        </w:rPr>
                        <w:t>B</w:t>
                      </w:r>
                      <w:r>
                        <w:rPr>
                          <w:rFonts w:cs="Calibri" w:ascii="Calibri" w:hAnsi="Calibri"/>
                          <w:iCs/>
                          <w:szCs w:val="22"/>
                          <w:vertAlign w:val="subscript"/>
                        </w:rPr>
                        <w:t>i</w:t>
                      </w:r>
                      <w:r>
                        <w:rPr>
                          <w:rFonts w:cs="Calibri" w:ascii="Calibri" w:hAnsi="Calibri"/>
                          <w:iCs/>
                          <w:szCs w:val="22"/>
                          <w:lang w:val="it-IT"/>
                        </w:rPr>
                        <w:t xml:space="preserve"> (s</w:t>
                      </w:r>
                      <w:r>
                        <w:rPr>
                          <w:rFonts w:cs="Calibri" w:ascii="Calibri" w:hAnsi="Calibri"/>
                          <w:iCs/>
                          <w:szCs w:val="22"/>
                          <w:vertAlign w:val="subscript"/>
                          <w:lang w:val="it-IT"/>
                        </w:rPr>
                        <w:t>i</w:t>
                      </w:r>
                      <w:r>
                        <w:rPr>
                          <w:rFonts w:cs="Calibri" w:ascii="Calibri" w:hAnsi="Calibri"/>
                          <w:iCs/>
                          <w:szCs w:val="22"/>
                          <w:lang w:val="it-IT"/>
                        </w:rPr>
                        <w:t xml:space="preserve"> + m</w:t>
                      </w:r>
                      <w:r>
                        <w:rPr>
                          <w:rFonts w:cs="Calibri" w:ascii="Calibri" w:hAnsi="Calibri"/>
                          <w:iCs/>
                          <w:szCs w:val="22"/>
                          <w:vertAlign w:val="subscript"/>
                          <w:lang w:val="it-IT"/>
                        </w:rPr>
                        <w:t>i</w:t>
                      </w:r>
                      <w:r>
                        <w:rPr>
                          <w:rFonts w:cs="Calibri" w:ascii="Calibri" w:hAnsi="Calibri"/>
                          <w:iCs/>
                          <w:szCs w:val="22"/>
                          <w:lang w:val="it-IT"/>
                        </w:rPr>
                        <w:t xml:space="preserve">) </w:t>
                      </w:r>
                      <w:r>
                        <w:rPr>
                          <w:rFonts w:cs="Calibri" w:ascii="Calibri" w:hAnsi="Calibri"/>
                          <w:iCs/>
                          <w:szCs w:val="22"/>
                        </w:rPr>
                        <w:t>– Gr(B</w:t>
                      </w:r>
                      <w:r>
                        <w:rPr>
                          <w:rFonts w:cs="Calibri" w:ascii="Calibri" w:hAnsi="Calibri"/>
                          <w:iCs/>
                          <w:szCs w:val="22"/>
                          <w:vertAlign w:val="subscript"/>
                        </w:rPr>
                        <w:t>i</w:t>
                      </w:r>
                      <w:r>
                        <w:rPr>
                          <w:rFonts w:cs="Calibri" w:ascii="Calibri" w:hAnsi="Calibri"/>
                          <w:iCs/>
                          <w:szCs w:val="22"/>
                        </w:rPr>
                        <w:t>)</w:t>
                      </w:r>
                    </w:p>
                    <w:p>
                      <w:pPr>
                        <w:pStyle w:val="FrameContents"/>
                        <w:tabs>
                          <w:tab w:val="clear" w:pos="720"/>
                          <w:tab w:val="left" w:pos="990" w:leader="none"/>
                          <w:tab w:val="left" w:pos="5490" w:leader="dot"/>
                        </w:tabs>
                        <w:spacing w:lineRule="auto" w:line="240" w:before="0" w:after="0"/>
                        <w:rPr>
                          <w:rFonts w:ascii="Calibri" w:hAnsi="Calibri" w:cs="Calibri"/>
                          <w:iCs/>
                          <w:szCs w:val="22"/>
                          <w:lang w:val="it-IT"/>
                        </w:rPr>
                      </w:pPr>
                      <w:r>
                        <w:rPr>
                          <w:rFonts w:cs="Calibri" w:ascii="Calibri" w:hAnsi="Calibri"/>
                          <w:iCs/>
                          <w:szCs w:val="22"/>
                          <w:lang w:val="it-IT"/>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90" w:leader="none"/>
                          <w:tab w:val="left" w:pos="5490" w:leader="dot"/>
                        </w:tabs>
                        <w:spacing w:lineRule="auto" w:line="240" w:before="0" w:after="0"/>
                        <w:rPr>
                          <w:rFonts w:ascii="Calibri" w:hAnsi="Calibri" w:cs="Calibri"/>
                          <w:szCs w:val="22"/>
                        </w:rPr>
                      </w:pPr>
                      <w:r>
                        <w:rPr>
                          <w:rFonts w:cs="Calibri" w:ascii="Calibri" w:hAnsi="Calibri"/>
                          <w:szCs w:val="22"/>
                        </w:rPr>
                        <w:t xml:space="preserve">where, for plant population i, </w:t>
                      </w:r>
                    </w:p>
                    <w:p>
                      <w:pPr>
                        <w:pStyle w:val="FrameContents"/>
                        <w:tabs>
                          <w:tab w:val="clear" w:pos="720"/>
                          <w:tab w:val="left" w:pos="990" w:leader="none"/>
                          <w:tab w:val="left" w:pos="5490" w:leader="dot"/>
                        </w:tabs>
                        <w:spacing w:lineRule="auto" w:line="240" w:before="0" w:after="0"/>
                        <w:ind w:firstLine="720"/>
                        <w:rPr>
                          <w:rFonts w:ascii="Calibri" w:hAnsi="Calibri" w:cs="Calibri"/>
                          <w:szCs w:val="22"/>
                        </w:rPr>
                      </w:pPr>
                      <w:r>
                        <w:rPr>
                          <w:rFonts w:cs="Calibri" w:ascii="Calibri" w:hAnsi="Calibri"/>
                          <w:szCs w:val="22"/>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B</w:t>
                      </w:r>
                      <w:r>
                        <w:rPr>
                          <w:rFonts w:cs="Calibri" w:ascii="Calibri" w:hAnsi="Calibri"/>
                          <w:iCs/>
                          <w:szCs w:val="22"/>
                          <w:vertAlign w:val="subscript"/>
                        </w:rPr>
                        <w:t>i</w:t>
                      </w:r>
                      <w:r>
                        <w:rPr>
                          <w:rFonts w:cs="Calibri" w:ascii="Calibri" w:hAnsi="Calibri"/>
                          <w:iCs/>
                          <w:szCs w:val="22"/>
                        </w:rPr>
                        <w:t xml:space="preserve"> </w:t>
                        <w:tab/>
                        <w:t xml:space="preserve"> biomass of plant population i</w:t>
                        <w:tab/>
                        <w:t>g C/m</w:t>
                      </w:r>
                      <w:r>
                        <w:rPr>
                          <w:rFonts w:cs="Calibri" w:ascii="Calibri" w:hAnsi="Calibri"/>
                          <w:iCs/>
                          <w:szCs w:val="22"/>
                          <w:vertAlign w:val="superscript"/>
                        </w:rPr>
                        <w:t>2</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Pmax</w:t>
                      </w:r>
                      <w:r>
                        <w:rPr>
                          <w:rFonts w:cs="Calibri" w:ascii="Calibri" w:hAnsi="Calibri"/>
                          <w:iCs/>
                          <w:szCs w:val="22"/>
                          <w:vertAlign w:val="subscript"/>
                        </w:rPr>
                        <w:t>i</w:t>
                        <w:tab/>
                      </w:r>
                      <w:r>
                        <w:rPr>
                          <w:rFonts w:cs="Calibri" w:ascii="Calibri" w:hAnsi="Calibri"/>
                          <w:iCs/>
                          <w:szCs w:val="22"/>
                        </w:rPr>
                        <w:t xml:space="preserve"> maximum photosynthetic rate</w:t>
                        <w:tab/>
                        <w:t xml:space="preserve">g C/g C/d </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h(Tp) </w:t>
                        <w:tab/>
                        <w:t xml:space="preserve"> temperature dependence of photosynthesis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f(I) </w:t>
                        <w:tab/>
                        <w:t xml:space="preserve"> light dependence of photosynthesis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g(N) </w:t>
                        <w:tab/>
                        <w:t xml:space="preserve"> nutrient dependence of photosynthesis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hmod </w:t>
                        <w:tab/>
                        <w:t xml:space="preserve"> habitat quality modifier of growth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presp</w:t>
                      </w:r>
                      <w:r>
                        <w:rPr>
                          <w:rFonts w:cs="Calibri" w:ascii="Calibri" w:hAnsi="Calibri"/>
                          <w:iCs/>
                          <w:szCs w:val="22"/>
                          <w:vertAlign w:val="subscript"/>
                        </w:rPr>
                        <w:t>i</w:t>
                        <w:tab/>
                      </w:r>
                      <w:r>
                        <w:rPr>
                          <w:rFonts w:cs="Calibri" w:ascii="Calibri" w:hAnsi="Calibri"/>
                          <w:iCs/>
                          <w:szCs w:val="22"/>
                        </w:rPr>
                        <w:t xml:space="preserve"> photorespiration rate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dresp</w:t>
                      </w:r>
                      <w:r>
                        <w:rPr>
                          <w:rFonts w:cs="Calibri" w:ascii="Calibri" w:hAnsi="Calibri"/>
                          <w:iCs/>
                          <w:szCs w:val="22"/>
                          <w:vertAlign w:val="subscript"/>
                        </w:rPr>
                        <w:t>i</w:t>
                        <w:tab/>
                      </w:r>
                      <w:r>
                        <w:rPr>
                          <w:rFonts w:cs="Calibri" w:ascii="Calibri" w:hAnsi="Calibri"/>
                          <w:iCs/>
                          <w:szCs w:val="22"/>
                        </w:rPr>
                        <w:t xml:space="preserve"> dark respiration rate  </w:t>
                        <w:tab/>
                        <w:t>1/d</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s</w:t>
                      </w:r>
                      <w:r>
                        <w:rPr>
                          <w:rFonts w:cs="Calibri" w:ascii="Calibri" w:hAnsi="Calibri"/>
                          <w:iCs/>
                          <w:szCs w:val="22"/>
                          <w:vertAlign w:val="subscript"/>
                        </w:rPr>
                        <w:t>i</w:t>
                      </w:r>
                      <w:r>
                        <w:rPr>
                          <w:rFonts w:cs="Calibri" w:ascii="Calibri" w:hAnsi="Calibri"/>
                          <w:iCs/>
                          <w:szCs w:val="22"/>
                        </w:rPr>
                        <w:t xml:space="preserve"> </w:t>
                        <w:tab/>
                        <w:t xml:space="preserve"> sinking rate (phytoplankton only) </w:t>
                        <w:tab/>
                        <w:t>1/d</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m</w:t>
                      </w:r>
                      <w:r>
                        <w:rPr>
                          <w:rFonts w:cs="Calibri" w:ascii="Calibri" w:hAnsi="Calibri"/>
                          <w:iCs/>
                          <w:szCs w:val="22"/>
                          <w:vertAlign w:val="subscript"/>
                        </w:rPr>
                        <w:t>i</w:t>
                        <w:tab/>
                      </w:r>
                      <w:r>
                        <w:rPr>
                          <w:rFonts w:cs="Calibri" w:ascii="Calibri" w:hAnsi="Calibri"/>
                          <w:iCs/>
                          <w:szCs w:val="22"/>
                        </w:rPr>
                        <w:t xml:space="preserve"> mortality rate </w:t>
                        <w:tab/>
                        <w:t>1/d</w:t>
                      </w:r>
                    </w:p>
                    <w:p>
                      <w:pPr>
                        <w:pStyle w:val="FrameContents"/>
                        <w:tabs>
                          <w:tab w:val="clear" w:pos="720"/>
                          <w:tab w:val="left" w:pos="990" w:leader="none"/>
                          <w:tab w:val="left" w:pos="5490" w:leader="dot"/>
                        </w:tabs>
                        <w:spacing w:lineRule="auto" w:line="240" w:before="0" w:after="0"/>
                        <w:rPr>
                          <w:rFonts w:ascii="Calibri" w:hAnsi="Calibri" w:cs="Calibri"/>
                          <w:i/>
                          <w:i/>
                          <w:szCs w:val="22"/>
                        </w:rPr>
                      </w:pPr>
                      <w:r>
                        <w:rPr>
                          <w:rFonts w:cs="Calibri" w:ascii="Calibri" w:hAnsi="Calibri"/>
                          <w:iCs/>
                          <w:szCs w:val="22"/>
                        </w:rPr>
                        <w:t>Gr</w:t>
                      </w:r>
                      <w:r>
                        <w:rPr>
                          <w:rFonts w:cs="Calibri" w:ascii="Calibri" w:hAnsi="Calibri"/>
                          <w:i/>
                          <w:szCs w:val="22"/>
                        </w:rPr>
                        <w:tab/>
                      </w:r>
                      <w:r>
                        <w:rPr>
                          <w:rFonts w:cs="Calibri" w:ascii="Calibri" w:hAnsi="Calibri"/>
                          <w:iCs/>
                          <w:szCs w:val="22"/>
                        </w:rPr>
                        <w:t>grazing loss</w:t>
                        <w:tab/>
                        <w:t>gC/m</w:t>
                      </w:r>
                      <w:r>
                        <w:rPr>
                          <w:rFonts w:cs="Calibri" w:ascii="Calibri" w:hAnsi="Calibri"/>
                          <w:iCs/>
                          <w:szCs w:val="22"/>
                          <w:vertAlign w:val="superscript"/>
                        </w:rPr>
                        <w:t>2</w:t>
                      </w:r>
                      <w:r>
                        <w:rPr>
                          <w:rFonts w:cs="Calibri" w:ascii="Calibri" w:hAnsi="Calibri"/>
                          <w:iCs/>
                          <w:szCs w:val="22"/>
                        </w:rPr>
                        <w:t>/d</w:t>
                      </w:r>
                    </w:p>
                    <w:p>
                      <w:pPr>
                        <w:pStyle w:val="FrameContents"/>
                        <w:tabs>
                          <w:tab w:val="clear" w:pos="720"/>
                          <w:tab w:val="left" w:pos="990" w:leader="none"/>
                          <w:tab w:val="left" w:pos="5490" w:leader="dot"/>
                        </w:tabs>
                        <w:spacing w:lineRule="auto" w:line="240" w:before="0" w:after="0"/>
                        <w:ind w:left="2160"/>
                        <w:rPr>
                          <w:rFonts w:ascii="Calibri" w:hAnsi="Calibri" w:cs="Calibri"/>
                          <w:i/>
                          <w:i/>
                          <w:szCs w:val="22"/>
                        </w:rPr>
                      </w:pPr>
                      <w:r>
                        <w:rPr>
                          <w:rFonts w:cs="Calibri" w:ascii="Calibri" w:hAnsi="Calibri"/>
                          <w:i/>
                          <w:szCs w:val="22"/>
                        </w:rPr>
                      </w:r>
                    </w:p>
                    <w:p>
                      <w:pPr>
                        <w:pStyle w:val="FrameContents"/>
                        <w:tabs>
                          <w:tab w:val="clear" w:pos="720"/>
                          <w:tab w:val="left" w:pos="990" w:leader="none"/>
                          <w:tab w:val="left" w:pos="5490" w:leader="dot"/>
                        </w:tabs>
                        <w:spacing w:lineRule="auto" w:line="240" w:before="0" w:after="0"/>
                        <w:rPr>
                          <w:rFonts w:ascii="Calibri" w:hAnsi="Calibri" w:cs="Calibri"/>
                          <w:b/>
                          <w:bCs/>
                          <w:iCs/>
                          <w:szCs w:val="22"/>
                        </w:rPr>
                      </w:pPr>
                      <w:r>
                        <w:rPr>
                          <w:rFonts w:cs="Calibri" w:ascii="Calibri" w:hAnsi="Calibri"/>
                          <w:iCs/>
                          <w:szCs w:val="22"/>
                        </w:rPr>
                        <w:t>and,</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90" w:leader="none"/>
                          <w:tab w:val="left" w:pos="549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90" w:leader="none"/>
                          <w:tab w:val="left" w:pos="5490" w:leader="dot"/>
                        </w:tabs>
                        <w:spacing w:lineRule="auto" w:line="240" w:before="0" w:after="0"/>
                        <w:jc w:val="center"/>
                        <w:rPr>
                          <w:rFonts w:ascii="Calibri" w:hAnsi="Calibri" w:cs="Calibri"/>
                          <w:iCs/>
                          <w:szCs w:val="22"/>
                        </w:rPr>
                      </w:pPr>
                      <w:r>
                        <w:rPr>
                          <w:rFonts w:cs="Calibri" w:ascii="Calibri" w:hAnsi="Calibri"/>
                          <w:iCs/>
                          <w:szCs w:val="22"/>
                        </w:rPr>
                        <w:t xml:space="preserve">Gr(Bi) = </w:t>
                      </w:r>
                      <w:r>
                        <w:rPr>
                          <w:rFonts w:eastAsia="Symbol" w:cs="Calibri" w:ascii="Calibri" w:hAnsi="Calibri"/>
                          <w:szCs w:val="22"/>
                        </w:rPr>
                        <w:t>å</w:t>
                      </w:r>
                      <w:r>
                        <w:rPr>
                          <w:rFonts w:cs="Calibri" w:ascii="Calibri" w:hAnsi="Calibri"/>
                          <w:iCs/>
                          <w:szCs w:val="22"/>
                          <w:vertAlign w:val="subscript"/>
                        </w:rPr>
                        <w:t>j</w:t>
                      </w:r>
                      <w:r>
                        <w:rPr>
                          <w:rFonts w:cs="Calibri" w:ascii="Calibri" w:hAnsi="Calibri"/>
                          <w:iCs/>
                          <w:szCs w:val="22"/>
                        </w:rPr>
                        <w:t>[h(Tc) B</w:t>
                      </w:r>
                      <w:r>
                        <w:rPr>
                          <w:rFonts w:cs="Calibri" w:ascii="Calibri" w:hAnsi="Calibri"/>
                          <w:iCs/>
                          <w:szCs w:val="22"/>
                          <w:vertAlign w:val="subscript"/>
                        </w:rPr>
                        <w:t>j</w:t>
                      </w:r>
                      <w:r>
                        <w:rPr>
                          <w:rFonts w:cs="Calibri" w:ascii="Calibri" w:hAnsi="Calibri"/>
                          <w:iCs/>
                          <w:szCs w:val="22"/>
                        </w:rPr>
                        <w:t xml:space="preserve"> Cm</w:t>
                      </w:r>
                      <w:r>
                        <w:rPr>
                          <w:rFonts w:cs="Calibri" w:ascii="Calibri" w:hAnsi="Calibri"/>
                          <w:iCs/>
                          <w:szCs w:val="22"/>
                          <w:vertAlign w:val="subscript"/>
                        </w:rPr>
                        <w:t>j</w:t>
                      </w:r>
                      <w:r>
                        <w:rPr>
                          <w:rFonts w:cs="Calibri" w:ascii="Calibri" w:hAnsi="Calibri"/>
                          <w:iCs/>
                          <w:szCs w:val="22"/>
                        </w:rPr>
                        <w:t xml:space="preserve"> w</w:t>
                      </w:r>
                      <w:r>
                        <w:rPr>
                          <w:rFonts w:cs="Calibri" w:ascii="Calibri" w:hAnsi="Calibri"/>
                          <w:iCs/>
                          <w:szCs w:val="22"/>
                          <w:vertAlign w:val="subscript"/>
                        </w:rPr>
                        <w:t>ij</w:t>
                      </w:r>
                      <w:r>
                        <w:rPr>
                          <w:rFonts w:cs="Calibri" w:ascii="Calibri" w:hAnsi="Calibri"/>
                          <w:iCs/>
                          <w:szCs w:val="22"/>
                        </w:rPr>
                        <w:t xml:space="preserve"> a</w:t>
                      </w:r>
                      <w:r>
                        <w:rPr>
                          <w:rFonts w:cs="Calibri" w:ascii="Calibri" w:hAnsi="Calibri"/>
                          <w:iCs/>
                          <w:szCs w:val="22"/>
                          <w:vertAlign w:val="subscript"/>
                        </w:rPr>
                        <w:t>ij</w:t>
                      </w:r>
                      <w:r>
                        <w:rPr>
                          <w:rFonts w:cs="Calibri" w:ascii="Calibri" w:hAnsi="Calibri"/>
                          <w:iCs/>
                          <w:szCs w:val="22"/>
                        </w:rPr>
                        <w:t xml:space="preserve"> h</w:t>
                      </w:r>
                      <w:r>
                        <w:rPr>
                          <w:rFonts w:cs="Calibri" w:ascii="Calibri" w:hAnsi="Calibri"/>
                          <w:iCs/>
                          <w:szCs w:val="22"/>
                          <w:vertAlign w:val="subscript"/>
                        </w:rPr>
                        <w:t>ij</w:t>
                      </w:r>
                      <w:r>
                        <w:rPr>
                          <w:rFonts w:cs="Calibri" w:ascii="Calibri" w:hAnsi="Calibri"/>
                          <w:iCs/>
                          <w:szCs w:val="22"/>
                        </w:rPr>
                        <w:t xml:space="preserve"> B</w:t>
                      </w:r>
                      <w:r>
                        <w:rPr>
                          <w:rFonts w:cs="Calibri" w:ascii="Calibri" w:hAnsi="Calibri"/>
                          <w:iCs/>
                          <w:szCs w:val="22"/>
                          <w:vertAlign w:val="subscript"/>
                        </w:rPr>
                        <w:t>i</w:t>
                      </w:r>
                      <w:r>
                        <w:rPr>
                          <w:rFonts w:cs="Calibri" w:ascii="Calibri" w:hAnsi="Calibri"/>
                          <w:iCs/>
                          <w:szCs w:val="22"/>
                        </w:rPr>
                        <w:t xml:space="preserve"> )/ (B</w:t>
                      </w:r>
                      <w:r>
                        <w:rPr>
                          <w:rFonts w:cs="Calibri" w:ascii="Calibri" w:hAnsi="Calibri"/>
                          <w:iCs/>
                          <w:szCs w:val="22"/>
                          <w:vertAlign w:val="subscript"/>
                        </w:rPr>
                        <w:t>j</w:t>
                      </w:r>
                      <w:r>
                        <w:rPr>
                          <w:rFonts w:cs="Calibri" w:ascii="Calibri" w:hAnsi="Calibri"/>
                          <w:iCs/>
                          <w:szCs w:val="22"/>
                        </w:rPr>
                        <w:t xml:space="preserve"> + </w:t>
                      </w:r>
                      <w:r>
                        <w:rPr>
                          <w:rFonts w:eastAsia="Symbol" w:cs="Calibri" w:ascii="Calibri" w:hAnsi="Calibri"/>
                          <w:szCs w:val="22"/>
                        </w:rPr>
                        <w:t>å</w:t>
                      </w:r>
                      <w:r>
                        <w:rPr>
                          <w:rFonts w:cs="Calibri" w:ascii="Calibri" w:hAnsi="Calibri"/>
                          <w:iCs/>
                          <w:szCs w:val="22"/>
                          <w:vertAlign w:val="subscript"/>
                        </w:rPr>
                        <w:t>i</w:t>
                      </w:r>
                      <w:r>
                        <w:rPr>
                          <w:rFonts w:cs="Calibri" w:ascii="Calibri" w:hAnsi="Calibri"/>
                          <w:iCs/>
                          <w:szCs w:val="22"/>
                        </w:rPr>
                        <w:t>w</w:t>
                      </w:r>
                      <w:r>
                        <w:rPr>
                          <w:rFonts w:cs="Calibri" w:ascii="Calibri" w:hAnsi="Calibri"/>
                          <w:iCs/>
                          <w:szCs w:val="22"/>
                          <w:vertAlign w:val="subscript"/>
                        </w:rPr>
                        <w:t>ij</w:t>
                      </w:r>
                      <w:r>
                        <w:rPr>
                          <w:rFonts w:cs="Calibri" w:ascii="Calibri" w:hAnsi="Calibri"/>
                          <w:iCs/>
                          <w:szCs w:val="22"/>
                        </w:rPr>
                        <w:t xml:space="preserve"> a</w:t>
                      </w:r>
                      <w:r>
                        <w:rPr>
                          <w:rFonts w:cs="Calibri" w:ascii="Calibri" w:hAnsi="Calibri"/>
                          <w:iCs/>
                          <w:szCs w:val="22"/>
                          <w:vertAlign w:val="subscript"/>
                        </w:rPr>
                        <w:t>ij</w:t>
                      </w:r>
                      <w:r>
                        <w:rPr>
                          <w:rFonts w:cs="Calibri" w:ascii="Calibri" w:hAnsi="Calibri"/>
                          <w:iCs/>
                          <w:szCs w:val="22"/>
                        </w:rPr>
                        <w:t xml:space="preserve"> h</w:t>
                      </w:r>
                      <w:r>
                        <w:rPr>
                          <w:rFonts w:cs="Calibri" w:ascii="Calibri" w:hAnsi="Calibri"/>
                          <w:iCs/>
                          <w:szCs w:val="22"/>
                          <w:vertAlign w:val="subscript"/>
                        </w:rPr>
                        <w:t>ij</w:t>
                      </w:r>
                      <w:r>
                        <w:rPr>
                          <w:rFonts w:cs="Calibri" w:ascii="Calibri" w:hAnsi="Calibri"/>
                          <w:iCs/>
                          <w:szCs w:val="22"/>
                        </w:rPr>
                        <w:t xml:space="preserve"> B</w:t>
                      </w:r>
                      <w:r>
                        <w:rPr>
                          <w:rFonts w:cs="Calibri" w:ascii="Calibri" w:hAnsi="Calibri"/>
                          <w:iCs/>
                          <w:szCs w:val="22"/>
                          <w:vertAlign w:val="subscript"/>
                        </w:rPr>
                        <w:t>i</w:t>
                      </w:r>
                      <w:r>
                        <w:rPr>
                          <w:rFonts w:cs="Calibri" w:ascii="Calibri" w:hAnsi="Calibri"/>
                          <w:iCs/>
                          <w:szCs w:val="22"/>
                        </w:rPr>
                        <w:t>)],</w:t>
                      </w:r>
                    </w:p>
                    <w:p>
                      <w:pPr>
                        <w:pStyle w:val="FrameContents"/>
                        <w:tabs>
                          <w:tab w:val="clear" w:pos="720"/>
                          <w:tab w:val="left" w:pos="990" w:leader="none"/>
                          <w:tab w:val="left" w:pos="549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where,</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B</w:t>
                      </w:r>
                      <w:r>
                        <w:rPr>
                          <w:rFonts w:cs="Calibri" w:ascii="Calibri" w:hAnsi="Calibri"/>
                          <w:iCs/>
                          <w:szCs w:val="22"/>
                          <w:vertAlign w:val="subscript"/>
                        </w:rPr>
                        <w:t>j</w:t>
                      </w:r>
                      <w:r>
                        <w:rPr>
                          <w:rFonts w:cs="Calibri" w:ascii="Calibri" w:hAnsi="Calibri"/>
                          <w:iCs/>
                          <w:szCs w:val="22"/>
                        </w:rPr>
                        <w:tab/>
                        <w:t>biomass of grazer population j</w:t>
                        <w:tab/>
                        <w:t>g C/m</w:t>
                      </w:r>
                      <w:r>
                        <w:rPr>
                          <w:rFonts w:cs="Calibri" w:ascii="Calibri" w:hAnsi="Calibri"/>
                          <w:iCs/>
                          <w:szCs w:val="22"/>
                          <w:vertAlign w:val="superscript"/>
                        </w:rPr>
                        <w:t>2</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 xml:space="preserve">h(Tc) </w:t>
                        <w:tab/>
                        <w:t xml:space="preserve"> temperature dependence of consumption </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Cm</w:t>
                      </w:r>
                      <w:r>
                        <w:rPr>
                          <w:rFonts w:cs="Calibri" w:ascii="Calibri" w:hAnsi="Calibri"/>
                          <w:iCs/>
                          <w:szCs w:val="22"/>
                          <w:vertAlign w:val="subscript"/>
                        </w:rPr>
                        <w:t>j</w:t>
                        <w:tab/>
                        <w:t xml:space="preserve"> </w:t>
                      </w:r>
                      <w:r>
                        <w:rPr>
                          <w:rFonts w:cs="Calibri" w:ascii="Calibri" w:hAnsi="Calibri"/>
                          <w:iCs/>
                          <w:szCs w:val="22"/>
                        </w:rPr>
                        <w:t xml:space="preserve">max rate of consumption by grazer j </w:t>
                        <w:tab/>
                        <w:t>g C/g C/d</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w</w:t>
                      </w:r>
                      <w:r>
                        <w:rPr>
                          <w:rFonts w:cs="Calibri" w:ascii="Calibri" w:hAnsi="Calibri"/>
                          <w:iCs/>
                          <w:szCs w:val="22"/>
                          <w:vertAlign w:val="subscript"/>
                        </w:rPr>
                        <w:t>ij</w:t>
                        <w:tab/>
                      </w:r>
                      <w:r>
                        <w:rPr>
                          <w:rFonts w:cs="Calibri" w:ascii="Calibri" w:hAnsi="Calibri"/>
                          <w:iCs/>
                          <w:szCs w:val="22"/>
                        </w:rPr>
                        <w:t xml:space="preserve"> preference of grazer j for producer I</w:t>
                        <w:tab/>
                        <w:t>unitless</w:t>
                      </w:r>
                    </w:p>
                    <w:p>
                      <w:pPr>
                        <w:pStyle w:val="FrameContents"/>
                        <w:tabs>
                          <w:tab w:val="clear" w:pos="720"/>
                          <w:tab w:val="left" w:pos="990" w:leader="none"/>
                          <w:tab w:val="left" w:pos="5490" w:leader="dot"/>
                        </w:tabs>
                        <w:spacing w:lineRule="auto" w:line="240" w:before="0" w:after="0"/>
                        <w:rPr>
                          <w:rFonts w:ascii="Calibri" w:hAnsi="Calibri" w:cs="Calibri"/>
                          <w:iCs/>
                          <w:szCs w:val="22"/>
                        </w:rPr>
                      </w:pPr>
                      <w:r>
                        <w:rPr>
                          <w:rFonts w:cs="Calibri" w:ascii="Calibri" w:hAnsi="Calibri"/>
                          <w:iCs/>
                          <w:szCs w:val="22"/>
                        </w:rPr>
                        <w:t>a</w:t>
                      </w:r>
                      <w:r>
                        <w:rPr>
                          <w:rFonts w:cs="Calibri" w:ascii="Calibri" w:hAnsi="Calibri"/>
                          <w:iCs/>
                          <w:szCs w:val="22"/>
                          <w:vertAlign w:val="subscript"/>
                        </w:rPr>
                        <w:t>ij</w:t>
                      </w:r>
                      <w:r>
                        <w:rPr>
                          <w:rFonts w:cs="Calibri" w:ascii="Calibri" w:hAnsi="Calibri"/>
                          <w:iCs/>
                          <w:szCs w:val="22"/>
                        </w:rPr>
                        <w:t xml:space="preserve"> </w:t>
                        <w:tab/>
                        <w:t xml:space="preserve"> assimilation of producer i by grazer j</w:t>
                        <w:tab/>
                        <w:t>unitless</w:t>
                      </w:r>
                    </w:p>
                    <w:p>
                      <w:pPr>
                        <w:pStyle w:val="FrameContents"/>
                        <w:tabs>
                          <w:tab w:val="clear" w:pos="720"/>
                          <w:tab w:val="left" w:pos="990" w:leader="none"/>
                          <w:tab w:val="left" w:pos="5490" w:leader="dot"/>
                        </w:tabs>
                        <w:spacing w:lineRule="auto" w:line="240" w:before="0" w:after="0"/>
                        <w:rPr>
                          <w:rFonts w:ascii="Calibri" w:hAnsi="Calibri" w:cs="Calibri"/>
                          <w:szCs w:val="22"/>
                        </w:rPr>
                      </w:pPr>
                      <w:r>
                        <w:rPr>
                          <w:rFonts w:cs="Calibri" w:ascii="Calibri" w:hAnsi="Calibri"/>
                          <w:iCs/>
                          <w:szCs w:val="22"/>
                        </w:rPr>
                        <w:t>h</w:t>
                      </w:r>
                      <w:r>
                        <w:rPr>
                          <w:rFonts w:cs="Calibri" w:ascii="Calibri" w:hAnsi="Calibri"/>
                          <w:iCs/>
                          <w:szCs w:val="22"/>
                          <w:vertAlign w:val="subscript"/>
                        </w:rPr>
                        <w:t>ij</w:t>
                      </w:r>
                      <w:r>
                        <w:rPr>
                          <w:rFonts w:cs="Calibri" w:ascii="Calibri" w:hAnsi="Calibri"/>
                          <w:iCs/>
                          <w:szCs w:val="22"/>
                        </w:rPr>
                        <w:t xml:space="preserve"> </w:t>
                        <w:tab/>
                        <w:t xml:space="preserve"> handling efficiency</w:t>
                      </w:r>
                      <w:r>
                        <w:rPr>
                          <w:rFonts w:cs="Calibri" w:ascii="Calibri" w:hAnsi="Calibri"/>
                          <w:szCs w:val="22"/>
                        </w:rPr>
                        <w:t xml:space="preserve"> </w:t>
                        <w:tab/>
                        <w:t>unitless</w:t>
                      </w:r>
                    </w:p>
                    <w:p>
                      <w:pPr>
                        <w:pStyle w:val="FrameContents"/>
                        <w:tabs>
                          <w:tab w:val="clear" w:pos="720"/>
                          <w:tab w:val="left" w:pos="990" w:leader="none"/>
                          <w:tab w:val="left" w:pos="5490" w:leader="dot"/>
                        </w:tabs>
                        <w:spacing w:lineRule="auto" w:line="240" w:before="0" w:after="0"/>
                        <w:rPr>
                          <w:rFonts w:ascii="Calibri" w:hAnsi="Calibri" w:cs="Calibri"/>
                          <w:szCs w:val="22"/>
                        </w:rPr>
                      </w:pPr>
                      <w:r>
                        <w:rPr>
                          <w:rFonts w:eastAsia="Symbol" w:cs="Calibri" w:ascii="Calibri" w:hAnsi="Calibri"/>
                          <w:szCs w:val="22"/>
                        </w:rPr>
                        <w:t>å</w:t>
                      </w:r>
                      <w:r>
                        <w:rPr>
                          <w:rFonts w:cs="Calibri" w:ascii="Calibri" w:hAnsi="Calibri"/>
                          <w:iCs/>
                          <w:szCs w:val="22"/>
                          <w:vertAlign w:val="subscript"/>
                        </w:rPr>
                        <w:t>j</w:t>
                      </w:r>
                      <w:r>
                        <w:rPr>
                          <w:rFonts w:cs="Calibri" w:ascii="Calibri" w:hAnsi="Calibri"/>
                          <w:iCs/>
                          <w:szCs w:val="22"/>
                        </w:rPr>
                        <w:t xml:space="preserve"> </w:t>
                        <w:tab/>
                        <w:t xml:space="preserve"> summed over j populations grazing on B</w:t>
                      </w:r>
                      <w:r>
                        <w:rPr>
                          <w:rFonts w:cs="Calibri" w:ascii="Calibri" w:hAnsi="Calibri"/>
                          <w:iCs/>
                          <w:szCs w:val="22"/>
                          <w:vertAlign w:val="subscript"/>
                        </w:rPr>
                        <w:t>i</w:t>
                      </w:r>
                      <w:r>
                        <w:rPr>
                          <w:rFonts w:cs="Calibri" w:ascii="Calibri" w:hAnsi="Calibri"/>
                          <w:szCs w:val="22"/>
                        </w:rPr>
                        <w:t xml:space="preserve"> </w:t>
                      </w:r>
                    </w:p>
                    <w:p>
                      <w:pPr>
                        <w:pStyle w:val="FrameContents"/>
                        <w:spacing w:before="0" w:after="120"/>
                        <w:rPr/>
                      </w:pPr>
                      <w:r>
                        <w:rPr/>
                      </w:r>
                    </w:p>
                  </w:txbxContent>
                </v:textbox>
                <w10:wrap type="topAndBottom"/>
              </v:rect>
            </w:pict>
          </mc:Fallback>
        </mc:AlternateContent>
      </w:r>
    </w:p>
    <w:p>
      <w:pPr>
        <w:pStyle w:val="Normal"/>
        <w:rPr/>
      </w:pPr>
      <w:r>
        <w:rPr/>
      </w:r>
    </w:p>
    <w:p>
      <w:pPr>
        <w:pStyle w:val="Normal"/>
        <w:spacing w:lineRule="auto" w:line="240" w:before="0" w:after="0"/>
        <w:jc w:val="left"/>
        <w:rPr/>
      </w:pPr>
      <w:r>
        <w:rPr/>
      </w:r>
      <w:r>
        <w:br w:type="page"/>
      </w:r>
    </w:p>
    <w:p>
      <w:pPr>
        <w:pStyle w:val="Normal"/>
        <w:spacing w:before="0" w:after="120"/>
        <w:rPr/>
      </w:pPr>
      <w:r>
        <w:rPr/>
        <w:t xml:space="preserve">A similar “input – output” differential equation describes daily changes in the population biomass (carbon) of modeled invertebrates and fish (Table 3-7). Inputs to the population are modeled as consumption of prey populations according to a temperature-dependent feeding term. The calculation of consumption includes the relative preferences of the predator (grazer) for its prey populations and an efficiency that transforms consumption into new biomass of the modeled population. A fraction of daily consumption is lost to egestion and specific dynamic action (the energetic cost of digestion, primarily for fishes). Population biomass is lost daily to excretion and non-predatory “natural” mortality, temperature-dependent standard respiration, and predation. </w:t>
      </w:r>
    </w:p>
    <w:p>
      <w:pPr>
        <w:pStyle w:val="Normal"/>
        <w:rPr/>
      </w:pPr>
      <w:r>
        <w:rPr/>
        <w:t>Parameter values required by the food web equations were derived from the technical literature (Table 3-9 and 3-10).</w:t>
      </w:r>
    </w:p>
    <w:p>
      <w:pPr>
        <w:pStyle w:val="Normal"/>
        <w:keepNext w:val="true"/>
        <w:numPr>
          <w:ilvl w:val="1"/>
          <w:numId w:val="1"/>
        </w:numPr>
        <w:spacing w:before="180" w:after="60"/>
        <w:jc w:val="left"/>
        <w:outlineLvl w:val="1"/>
        <w:rPr>
          <w:rFonts w:ascii="Arial" w:hAnsi="Arial"/>
          <w:b/>
          <w:color w:themeColor="text1" w:val="000000"/>
          <w:sz w:val="24"/>
        </w:rPr>
      </w:pPr>
      <w:bookmarkStart w:id="174" w:name="_Toc182252524"/>
      <w:r>
        <w:rPr>
          <w:rFonts w:ascii="Arial" w:hAnsi="Arial"/>
          <w:b/>
          <w:color w:themeColor="text1" w:val="000000"/>
          <w:sz w:val="24"/>
        </w:rPr>
        <w:t>Biogeochemical model</w:t>
      </w:r>
      <w:bookmarkEnd w:id="174"/>
    </w:p>
    <w:p>
      <w:pPr>
        <w:pStyle w:val="Normal"/>
        <w:rPr/>
      </w:pPr>
      <w:r>
        <w:rPr/>
        <w:t>Developing the CASM-STA required the addition of specific soils/sediments and water column P pools as defined by the Biogeochemical model (BGC) modeling effort (Stantec 2024b, CELLC 2024) (Figure 3-12). The resulting CASM-STA added four soils/sediments pools including particulate organic P (POP</w:t>
      </w:r>
      <w:r>
        <w:rPr>
          <w:vertAlign w:val="subscript"/>
        </w:rPr>
        <w:t>s</w:t>
      </w:r>
      <w:r>
        <w:rPr/>
        <w:t>), dissolved organic P (DOP</w:t>
      </w:r>
      <w:r>
        <w:rPr>
          <w:vertAlign w:val="subscript"/>
        </w:rPr>
        <w:t>s</w:t>
      </w:r>
      <w:r>
        <w:rPr/>
        <w:t>), particulate inorganic P (PIPs), and dissolved inorganic P (DIPs). Separate floc and litter P pools were also added to the soils/sediments state variables in the CASM-STA. Corresponding water column P pools were added to the model, including POP</w:t>
      </w:r>
      <w:r>
        <w:rPr>
          <w:vertAlign w:val="subscript"/>
        </w:rPr>
        <w:t>w</w:t>
      </w:r>
      <w:r>
        <w:rPr/>
        <w:t>, DOP</w:t>
      </w:r>
      <w:r>
        <w:rPr>
          <w:vertAlign w:val="subscript"/>
        </w:rPr>
        <w:t>w</w:t>
      </w:r>
      <w:r>
        <w:rPr/>
        <w:t>, PIP</w:t>
      </w:r>
      <w:r>
        <w:rPr>
          <w:vertAlign w:val="subscript"/>
        </w:rPr>
        <w:t>w</w:t>
      </w:r>
      <w:r>
        <w:rPr/>
        <w:t>, and DIPw. The dissolved inorganic pools, DIP</w:t>
      </w:r>
      <w:r>
        <w:rPr>
          <w:vertAlign w:val="subscript"/>
        </w:rPr>
        <w:t>s</w:t>
      </w:r>
      <w:r>
        <w:rPr/>
        <w:t xml:space="preserve"> and DIP</w:t>
      </w:r>
      <w:r>
        <w:rPr>
          <w:vertAlign w:val="subscript"/>
        </w:rPr>
        <w:t>w</w:t>
      </w:r>
      <w:r>
        <w:rPr/>
        <w:t xml:space="preserve"> are the principally bioavailable P pools that contribute to modeled productivity in the CASM-STA. </w:t>
      </w:r>
    </w:p>
    <w:p>
      <w:pPr>
        <w:pStyle w:val="Normal"/>
        <w:rPr/>
      </w:pPr>
      <w:r>
        <w:rPr/>
        <w:t xml:space="preserve">The BGC model specified the detailed physical, chemical and biological processes that transformed the daily values of the soils/sediments and water column P pools (Figure 3-12). </w:t>
      </w:r>
    </w:p>
    <w:p>
      <w:pPr>
        <w:pStyle w:val="Normal"/>
        <w:keepNext w:val="true"/>
        <w:numPr>
          <w:ilvl w:val="1"/>
          <w:numId w:val="1"/>
        </w:numPr>
        <w:spacing w:before="180" w:after="60"/>
        <w:jc w:val="left"/>
        <w:outlineLvl w:val="1"/>
        <w:rPr>
          <w:rFonts w:ascii="Arial" w:hAnsi="Arial"/>
          <w:b/>
          <w:color w:themeColor="text1" w:val="000000"/>
          <w:sz w:val="24"/>
        </w:rPr>
      </w:pPr>
      <w:bookmarkStart w:id="175" w:name="_Toc182252525"/>
      <w:r>
        <w:rPr>
          <w:rFonts w:ascii="Arial" w:hAnsi="Arial"/>
          <w:b/>
          <w:color w:themeColor="text1" w:val="000000"/>
          <w:sz w:val="24"/>
        </w:rPr>
        <w:t>Model integration</w:t>
      </w:r>
      <w:bookmarkEnd w:id="175"/>
    </w:p>
    <w:p>
      <w:pPr>
        <w:pStyle w:val="Normal"/>
        <w:rPr/>
      </w:pPr>
      <w:r>
        <w:rPr/>
        <w:t>A key challenge in the overall modeling effort was the integration of the bioenergetics-based food web model and the detailed biogeochemical model of P dynamics into a working CASM-STA. This was accomplished by completing the following tasks:</w:t>
      </w:r>
    </w:p>
    <w:p>
      <w:pPr>
        <w:pStyle w:val="Normal"/>
        <w:numPr>
          <w:ilvl w:val="0"/>
          <w:numId w:val="6"/>
        </w:numPr>
        <w:spacing w:before="0" w:after="120"/>
        <w:contextualSpacing/>
        <w:rPr/>
      </w:pPr>
      <w:r>
        <w:rPr/>
        <w:t>Cross-walking the CASM-STA with the BGC model to ensure that the CASM-STA included the P state variables identified in the BGC</w:t>
      </w:r>
    </w:p>
    <w:p>
      <w:pPr>
        <w:pStyle w:val="Normal"/>
        <w:numPr>
          <w:ilvl w:val="0"/>
          <w:numId w:val="6"/>
        </w:numPr>
        <w:spacing w:before="0" w:after="120"/>
        <w:contextualSpacing/>
        <w:rPr/>
      </w:pPr>
      <w:r>
        <w:rPr/>
        <w:t>Noting the inclusion of additional food web/ecosystem detail included in the CASM-STA, but represented by more aggregated description in the BGC model</w:t>
      </w:r>
    </w:p>
    <w:p>
      <w:pPr>
        <w:pStyle w:val="Normal"/>
        <w:numPr>
          <w:ilvl w:val="0"/>
          <w:numId w:val="6"/>
        </w:numPr>
        <w:spacing w:before="0" w:after="120"/>
        <w:contextualSpacing/>
        <w:rPr/>
      </w:pPr>
      <w:r>
        <w:rPr/>
        <w:t>Including equations from the BGC model in the CASM-STA model code to create an analog of the BGC model internal to the CASM-STA model</w:t>
      </w:r>
    </w:p>
    <w:p>
      <w:pPr>
        <w:pStyle w:val="Normal"/>
        <w:numPr>
          <w:ilvl w:val="0"/>
          <w:numId w:val="6"/>
        </w:numPr>
        <w:spacing w:before="0" w:after="120"/>
        <w:contextualSpacing/>
        <w:rPr/>
      </w:pPr>
      <w:r>
        <w:rPr/>
        <w:t xml:space="preserve">Making the functional connections to the BGC analog by modifying equations to add source/sink terms from the CASM equations </w:t>
      </w:r>
    </w:p>
    <w:p>
      <w:pPr>
        <w:pStyle w:val="Normal"/>
        <w:numPr>
          <w:ilvl w:val="0"/>
          <w:numId w:val="6"/>
        </w:numPr>
        <w:spacing w:before="0" w:after="120"/>
        <w:contextualSpacing/>
        <w:rPr/>
      </w:pPr>
      <w:r>
        <w:rPr/>
        <w:t>Adding the needed BGC model parameter values to the input data files for the integrated CASM-STA</w:t>
      </w:r>
    </w:p>
    <w:p>
      <w:pPr>
        <w:pStyle w:val="Caption"/>
        <w:rPr/>
      </w:pPr>
      <w:bookmarkStart w:id="176" w:name="_Toc182250933"/>
      <w:r>
        <w:rPr/>
        <w:t xml:space="preserve">Table </w:t>
      </w:r>
      <w:r>
        <w:rPr>
          <w:rStyle w:val="CaptionChar"/>
          <w:b/>
        </w:rPr>
        <w:fldChar w:fldCharType="begin"/>
      </w:r>
      <w:r>
        <w:rPr>
          <w:rStyle w:val="CaptionChar"/>
          <w:b/>
        </w:rPr>
        <w:instrText xml:space="preserve"> STYLEREF "1" </w:instrText>
      </w:r>
      <w:r>
        <w:rPr>
          <w:rStyle w:val="CaptionChar"/>
          <w:b/>
        </w:rPr>
        <w:fldChar w:fldCharType="separate"/>
      </w:r>
      <w:r>
        <w:rPr>
          <w:rStyle w:val="CaptionChar"/>
          <w:b/>
        </w:rPr>
        <w:t>CASM-STA MODEL Development</w:t>
      </w:r>
      <w:r>
        <w:rPr>
          <w:rStyle w:val="CaptionChar"/>
          <w:b/>
        </w:rPr>
        <w:fldChar w:fldCharType="end"/>
      </w:r>
      <w:r>
        <w:rPr/>
        <w:noBreakHyphen/>
      </w:r>
      <w:r>
        <w:rPr>
          <w:rStyle w:val="CaptionChar"/>
          <w:b/>
        </w:rPr>
        <w:fldChar w:fldCharType="begin"/>
      </w:r>
      <w:r>
        <w:rPr>
          <w:rStyle w:val="CaptionChar"/>
          <w:b/>
        </w:rPr>
        <w:instrText xml:space="preserve"> SEQ Table \* ARABIC </w:instrText>
      </w:r>
      <w:r>
        <w:rPr>
          <w:rStyle w:val="CaptionChar"/>
          <w:b/>
        </w:rPr>
        <w:fldChar w:fldCharType="separate"/>
      </w:r>
      <w:r>
        <w:rPr>
          <w:rStyle w:val="CaptionChar"/>
          <w:b/>
        </w:rPr>
        <w:t>24</w:t>
      </w:r>
      <w:r>
        <w:rPr>
          <w:rStyle w:val="CaptionChar"/>
          <w:b/>
        </w:rPr>
        <w:fldChar w:fldCharType="end"/>
      </w:r>
      <w:r>
        <w:rPr/>
        <w:t>. Governing equation for CASM-STA consumers (zooplankton, benthic invertebrates, fish).</w:t>
      </w:r>
      <w:bookmarkEnd w:id="176"/>
    </w:p>
    <w:p>
      <w:pPr>
        <w:pStyle w:val="Normal"/>
        <w:rPr/>
      </w:pPr>
      <w:r>
        <w:rPr/>
      </w:r>
    </w:p>
    <w:p>
      <w:pPr>
        <w:pStyle w:val="Normal"/>
        <w:rPr/>
      </w:pPr>
      <w:r>
        <w:rPr/>
        <mc:AlternateContent>
          <mc:Choice Requires="wps">
            <w:drawing>
              <wp:inline distT="0" distB="0" distL="0" distR="0" wp14:anchorId="5EA2F873">
                <wp:extent cx="5905500" cy="6256020"/>
                <wp:effectExtent l="0" t="0" r="19050" b="11430"/>
                <wp:docPr id="178" name="Text Box 2"/>
                <a:graphic xmlns:a="http://schemas.openxmlformats.org/drawingml/2006/main">
                  <a:graphicData uri="http://schemas.microsoft.com/office/word/2010/wordprocessingShape">
                    <wps:wsp>
                      <wps:cNvSpPr/>
                      <wps:spPr>
                        <a:xfrm>
                          <a:off x="0" y="0"/>
                          <a:ext cx="5905440" cy="62560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tabs>
                                <w:tab w:val="clear" w:pos="720"/>
                                <w:tab w:val="left" w:pos="900" w:leader="dot"/>
                                <w:tab w:val="left" w:pos="5760" w:leader="dot"/>
                              </w:tabs>
                              <w:spacing w:lineRule="auto" w:line="240" w:before="0" w:after="0"/>
                              <w:rPr>
                                <w:rFonts w:ascii="Calibri" w:hAnsi="Calibri" w:cs="Calibri"/>
                                <w:szCs w:val="22"/>
                              </w:rPr>
                            </w:pPr>
                            <w:r>
                              <w:rPr>
                                <w:rFonts w:cs="Calibri" w:ascii="Calibri" w:hAnsi="Calibri"/>
                                <w:szCs w:val="22"/>
                              </w:rPr>
                            </w:r>
                          </w:p>
                          <w:p>
                            <w:pPr>
                              <w:pStyle w:val="FrameContents"/>
                              <w:tabs>
                                <w:tab w:val="clear" w:pos="720"/>
                                <w:tab w:val="left" w:pos="900" w:leader="dot"/>
                                <w:tab w:val="left" w:pos="5760" w:leader="dot"/>
                              </w:tabs>
                              <w:spacing w:lineRule="auto" w:line="240" w:before="0" w:after="0"/>
                              <w:rPr>
                                <w:rFonts w:ascii="Calibri" w:hAnsi="Calibri" w:cs="Calibri"/>
                                <w:iCs/>
                                <w:szCs w:val="22"/>
                                <w:lang w:val="nl-NL"/>
                              </w:rPr>
                            </w:pPr>
                            <w:r>
                              <w:rPr>
                                <w:rFonts w:cs="Calibri" w:ascii="Calibri" w:hAnsi="Calibri"/>
                                <w:iCs/>
                                <w:szCs w:val="22"/>
                                <w:lang w:val="nl-NL"/>
                              </w:rPr>
                              <w:t>dB</w:t>
                            </w:r>
                            <w:r>
                              <w:rPr>
                                <w:rFonts w:cs="Calibri" w:ascii="Calibri" w:hAnsi="Calibri"/>
                                <w:iCs/>
                                <w:szCs w:val="22"/>
                                <w:vertAlign w:val="subscript"/>
                                <w:lang w:val="nl-NL"/>
                              </w:rPr>
                              <w:t>i</w:t>
                            </w:r>
                            <w:r>
                              <w:rPr>
                                <w:rFonts w:cs="Calibri" w:ascii="Calibri" w:hAnsi="Calibri"/>
                                <w:iCs/>
                                <w:szCs w:val="22"/>
                                <w:lang w:val="nl-NL"/>
                              </w:rPr>
                              <w:t xml:space="preserve">/dt =  </w:t>
                            </w:r>
                            <w:r>
                              <w:rPr>
                                <w:rFonts w:eastAsia="Symbol" w:cs="Calibri" w:ascii="Calibri" w:hAnsi="Calibri"/>
                                <w:szCs w:val="22"/>
                              </w:rPr>
                              <w:t>å</w:t>
                            </w:r>
                            <w:r>
                              <w:rPr>
                                <w:rFonts w:cs="Calibri" w:ascii="Calibri" w:hAnsi="Calibri"/>
                                <w:iCs/>
                                <w:szCs w:val="22"/>
                                <w:vertAlign w:val="subscript"/>
                              </w:rPr>
                              <w:t>j</w:t>
                            </w:r>
                            <w:r>
                              <w:rPr>
                                <w:rFonts w:cs="Calibri" w:ascii="Calibri" w:hAnsi="Calibri"/>
                                <w:iCs/>
                                <w:szCs w:val="22"/>
                                <w:lang w:val="nl-NL"/>
                              </w:rPr>
                              <w:t>[(B</w:t>
                            </w:r>
                            <w:r>
                              <w:rPr>
                                <w:rFonts w:cs="Calibri" w:ascii="Calibri" w:hAnsi="Calibri"/>
                                <w:iCs/>
                                <w:szCs w:val="22"/>
                                <w:vertAlign w:val="subscript"/>
                                <w:lang w:val="nl-NL"/>
                              </w:rPr>
                              <w:t>i</w:t>
                            </w:r>
                            <w:r>
                              <w:rPr>
                                <w:rFonts w:cs="Calibri" w:ascii="Calibri" w:hAnsi="Calibri"/>
                                <w:iCs/>
                                <w:szCs w:val="22"/>
                                <w:lang w:val="nl-NL"/>
                              </w:rPr>
                              <w:t xml:space="preserve"> Cm</w:t>
                            </w:r>
                            <w:r>
                              <w:rPr>
                                <w:rFonts w:cs="Calibri" w:ascii="Calibri" w:hAnsi="Calibri"/>
                                <w:iCs/>
                                <w:szCs w:val="22"/>
                                <w:vertAlign w:val="subscript"/>
                                <w:lang w:val="nl-NL"/>
                              </w:rPr>
                              <w:t>i</w:t>
                            </w:r>
                            <w:r>
                              <w:rPr>
                                <w:rFonts w:cs="Calibri" w:ascii="Calibri" w:hAnsi="Calibri"/>
                                <w:iCs/>
                                <w:szCs w:val="22"/>
                                <w:lang w:val="nl-NL"/>
                              </w:rPr>
                              <w:t xml:space="preserve"> h(Tc) w</w:t>
                            </w:r>
                            <w:r>
                              <w:rPr>
                                <w:rFonts w:cs="Calibri" w:ascii="Calibri" w:hAnsi="Calibri"/>
                                <w:iCs/>
                                <w:szCs w:val="22"/>
                                <w:vertAlign w:val="subscript"/>
                                <w:lang w:val="nl-NL"/>
                              </w:rPr>
                              <w:t>ij</w:t>
                            </w:r>
                            <w:r>
                              <w:rPr>
                                <w:rFonts w:cs="Calibri" w:ascii="Calibri" w:hAnsi="Calibri"/>
                                <w:iCs/>
                                <w:szCs w:val="22"/>
                                <w:lang w:val="nl-NL"/>
                              </w:rPr>
                              <w:t xml:space="preserve">  a</w:t>
                            </w:r>
                            <w:r>
                              <w:rPr>
                                <w:rFonts w:cs="Calibri" w:ascii="Calibri" w:hAnsi="Calibri"/>
                                <w:iCs/>
                                <w:szCs w:val="22"/>
                                <w:vertAlign w:val="subscript"/>
                                <w:lang w:val="nl-NL"/>
                              </w:rPr>
                              <w:t>i</w:t>
                            </w:r>
                            <w:r>
                              <w:rPr>
                                <w:rFonts w:cs="Calibri" w:ascii="Calibri" w:hAnsi="Calibri"/>
                                <w:iCs/>
                                <w:szCs w:val="22"/>
                                <w:lang w:val="nl-NL"/>
                              </w:rPr>
                              <w:t xml:space="preserve">  h</w:t>
                            </w:r>
                            <w:r>
                              <w:rPr>
                                <w:rFonts w:cs="Calibri" w:ascii="Calibri" w:hAnsi="Calibri"/>
                                <w:iCs/>
                                <w:szCs w:val="22"/>
                                <w:vertAlign w:val="subscript"/>
                                <w:lang w:val="nl-NL"/>
                              </w:rPr>
                              <w:t>ij</w:t>
                            </w:r>
                            <w:r>
                              <w:rPr>
                                <w:rFonts w:cs="Calibri" w:ascii="Calibri" w:hAnsi="Calibri"/>
                                <w:iCs/>
                                <w:szCs w:val="22"/>
                                <w:lang w:val="nl-NL"/>
                              </w:rPr>
                              <w:t xml:space="preserve"> B</w:t>
                            </w:r>
                            <w:r>
                              <w:rPr>
                                <w:rFonts w:cs="Calibri" w:ascii="Calibri" w:hAnsi="Calibri"/>
                                <w:iCs/>
                                <w:szCs w:val="22"/>
                                <w:vertAlign w:val="subscript"/>
                                <w:lang w:val="nl-NL"/>
                              </w:rPr>
                              <w:t xml:space="preserve">j </w:t>
                            </w:r>
                            <w:r>
                              <w:rPr>
                                <w:rFonts w:cs="Calibri" w:ascii="Calibri" w:hAnsi="Calibri"/>
                                <w:iCs/>
                                <w:szCs w:val="22"/>
                                <w:lang w:val="nl-NL"/>
                              </w:rPr>
                              <w:t>)/(B</w:t>
                            </w:r>
                            <w:r>
                              <w:rPr>
                                <w:rFonts w:cs="Calibri" w:ascii="Calibri" w:hAnsi="Calibri"/>
                                <w:iCs/>
                                <w:szCs w:val="22"/>
                                <w:vertAlign w:val="subscript"/>
                                <w:lang w:val="nl-NL"/>
                              </w:rPr>
                              <w:t>i</w:t>
                            </w:r>
                            <w:r>
                              <w:rPr>
                                <w:rFonts w:cs="Calibri" w:ascii="Calibri" w:hAnsi="Calibri"/>
                                <w:iCs/>
                                <w:szCs w:val="22"/>
                                <w:lang w:val="nl-NL"/>
                              </w:rPr>
                              <w:t xml:space="preserve"> + </w:t>
                            </w:r>
                            <w:r>
                              <w:rPr>
                                <w:rFonts w:eastAsia="Symbol" w:cs="Calibri" w:ascii="Calibri" w:hAnsi="Calibri"/>
                                <w:szCs w:val="22"/>
                              </w:rPr>
                              <w:t>å</w:t>
                            </w:r>
                            <w:r>
                              <w:rPr>
                                <w:rFonts w:cs="Calibri" w:ascii="Calibri" w:hAnsi="Calibri"/>
                                <w:iCs/>
                                <w:szCs w:val="22"/>
                                <w:vertAlign w:val="subscript"/>
                              </w:rPr>
                              <w:t>j</w:t>
                            </w:r>
                            <w:r>
                              <w:rPr>
                                <w:rFonts w:cs="Calibri" w:ascii="Calibri" w:hAnsi="Calibri"/>
                                <w:iCs/>
                                <w:szCs w:val="22"/>
                              </w:rPr>
                              <w:t xml:space="preserve"> </w:t>
                            </w:r>
                            <w:r>
                              <w:rPr>
                                <w:rFonts w:cs="Calibri" w:ascii="Calibri" w:hAnsi="Calibri"/>
                                <w:iCs/>
                                <w:szCs w:val="22"/>
                                <w:lang w:val="nl-NL"/>
                              </w:rPr>
                              <w:t>w</w:t>
                            </w:r>
                            <w:r>
                              <w:rPr>
                                <w:rFonts w:cs="Calibri" w:ascii="Calibri" w:hAnsi="Calibri"/>
                                <w:iCs/>
                                <w:szCs w:val="22"/>
                                <w:vertAlign w:val="subscript"/>
                                <w:lang w:val="nl-NL"/>
                              </w:rPr>
                              <w:t>ij</w:t>
                            </w:r>
                            <w:r>
                              <w:rPr>
                                <w:rFonts w:cs="Calibri" w:ascii="Calibri" w:hAnsi="Calibri"/>
                                <w:iCs/>
                                <w:szCs w:val="22"/>
                                <w:lang w:val="nl-NL"/>
                              </w:rPr>
                              <w:t xml:space="preserve"> a</w:t>
                            </w:r>
                            <w:r>
                              <w:rPr>
                                <w:rFonts w:cs="Calibri" w:ascii="Calibri" w:hAnsi="Calibri"/>
                                <w:iCs/>
                                <w:szCs w:val="22"/>
                                <w:vertAlign w:val="subscript"/>
                                <w:lang w:val="nl-NL"/>
                              </w:rPr>
                              <w:t xml:space="preserve">ij </w:t>
                            </w:r>
                            <w:r>
                              <w:rPr>
                                <w:rFonts w:cs="Calibri" w:ascii="Calibri" w:hAnsi="Calibri"/>
                                <w:iCs/>
                                <w:szCs w:val="22"/>
                                <w:lang w:val="nl-NL"/>
                              </w:rPr>
                              <w:t>h</w:t>
                            </w:r>
                            <w:r>
                              <w:rPr>
                                <w:rFonts w:cs="Calibri" w:ascii="Calibri" w:hAnsi="Calibri"/>
                                <w:iCs/>
                                <w:szCs w:val="22"/>
                                <w:vertAlign w:val="subscript"/>
                                <w:lang w:val="nl-NL"/>
                              </w:rPr>
                              <w:t>ij</w:t>
                            </w:r>
                            <w:r>
                              <w:rPr>
                                <w:rFonts w:cs="Calibri" w:ascii="Calibri" w:hAnsi="Calibri"/>
                                <w:iCs/>
                                <w:szCs w:val="22"/>
                                <w:lang w:val="nl-NL"/>
                              </w:rPr>
                              <w:t xml:space="preserve"> B</w:t>
                            </w:r>
                            <w:r>
                              <w:rPr>
                                <w:rFonts w:cs="Calibri" w:ascii="Calibri" w:hAnsi="Calibri"/>
                                <w:iCs/>
                                <w:szCs w:val="22"/>
                                <w:vertAlign w:val="subscript"/>
                                <w:lang w:val="nl-NL"/>
                              </w:rPr>
                              <w:t>j</w:t>
                            </w:r>
                            <w:r>
                              <w:rPr>
                                <w:rFonts w:cs="Calibri" w:ascii="Calibri" w:hAnsi="Calibri"/>
                                <w:iCs/>
                                <w:szCs w:val="22"/>
                                <w:lang w:val="nl-NL"/>
                              </w:rPr>
                              <w:t>)](1 - f</w:t>
                            </w:r>
                            <w:r>
                              <w:rPr>
                                <w:rFonts w:cs="Calibri" w:ascii="Calibri" w:hAnsi="Calibri"/>
                                <w:iCs/>
                                <w:szCs w:val="22"/>
                                <w:vertAlign w:val="subscript"/>
                                <w:lang w:val="nl-NL"/>
                              </w:rPr>
                              <w:t xml:space="preserve">i </w:t>
                            </w:r>
                            <w:r>
                              <w:rPr>
                                <w:rFonts w:cs="Calibri" w:ascii="Calibri" w:hAnsi="Calibri"/>
                                <w:iCs/>
                                <w:szCs w:val="22"/>
                                <w:lang w:val="nl-NL"/>
                              </w:rPr>
                              <w:t>- rsda</w:t>
                            </w:r>
                            <w:r>
                              <w:rPr>
                                <w:rFonts w:cs="Calibri" w:ascii="Calibri" w:hAnsi="Calibri"/>
                                <w:iCs/>
                                <w:szCs w:val="22"/>
                                <w:vertAlign w:val="subscript"/>
                                <w:lang w:val="nl-NL"/>
                              </w:rPr>
                              <w:t>i</w:t>
                            </w:r>
                            <w:r>
                              <w:rPr>
                                <w:rFonts w:cs="Calibri" w:ascii="Calibri" w:hAnsi="Calibri"/>
                                <w:iCs/>
                                <w:szCs w:val="22"/>
                                <w:lang w:val="nl-NL"/>
                              </w:rPr>
                              <w:t>) – B</w:t>
                            </w:r>
                            <w:r>
                              <w:rPr>
                                <w:rFonts w:cs="Calibri" w:ascii="Calibri" w:hAnsi="Calibri"/>
                                <w:iCs/>
                                <w:szCs w:val="22"/>
                                <w:vertAlign w:val="subscript"/>
                                <w:lang w:val="nl-NL"/>
                              </w:rPr>
                              <w:t xml:space="preserve">i </w:t>
                            </w:r>
                            <w:r>
                              <w:rPr>
                                <w:rFonts w:cs="Calibri" w:ascii="Calibri" w:hAnsi="Calibri"/>
                                <w:iCs/>
                                <w:szCs w:val="22"/>
                                <w:lang w:val="nl-NL"/>
                              </w:rPr>
                              <w:t>(u</w:t>
                            </w:r>
                            <w:r>
                              <w:rPr>
                                <w:rFonts w:cs="Calibri" w:ascii="Calibri" w:hAnsi="Calibri"/>
                                <w:iCs/>
                                <w:szCs w:val="22"/>
                                <w:vertAlign w:val="subscript"/>
                                <w:lang w:val="nl-NL"/>
                              </w:rPr>
                              <w:t xml:space="preserve">i </w:t>
                            </w:r>
                            <w:r>
                              <w:rPr>
                                <w:rFonts w:cs="Calibri" w:ascii="Calibri" w:hAnsi="Calibri"/>
                                <w:iCs/>
                                <w:szCs w:val="22"/>
                                <w:lang w:val="nl-NL"/>
                              </w:rPr>
                              <w:t>+</w:t>
                            </w:r>
                            <w:r>
                              <w:rPr>
                                <w:rFonts w:cs="Calibri" w:ascii="Calibri" w:hAnsi="Calibri"/>
                                <w:iCs/>
                                <w:szCs w:val="22"/>
                                <w:vertAlign w:val="subscript"/>
                                <w:lang w:val="nl-NL"/>
                              </w:rPr>
                              <w:t xml:space="preserve"> </w:t>
                            </w:r>
                            <w:r>
                              <w:rPr>
                                <w:rFonts w:cs="Calibri" w:ascii="Calibri" w:hAnsi="Calibri"/>
                                <w:iCs/>
                                <w:szCs w:val="22"/>
                                <w:lang w:val="nl-NL"/>
                              </w:rPr>
                              <w:t>m</w:t>
                            </w:r>
                            <w:r>
                              <w:rPr>
                                <w:rFonts w:cs="Calibri" w:ascii="Calibri" w:hAnsi="Calibri"/>
                                <w:iCs/>
                                <w:szCs w:val="22"/>
                                <w:vertAlign w:val="subscript"/>
                                <w:lang w:val="nl-NL"/>
                              </w:rPr>
                              <w:t>i</w:t>
                            </w:r>
                            <w:r>
                              <w:rPr>
                                <w:rFonts w:cs="Calibri" w:ascii="Calibri" w:hAnsi="Calibri"/>
                                <w:iCs/>
                                <w:szCs w:val="22"/>
                                <w:lang w:val="nl-NL"/>
                              </w:rPr>
                              <w:t>) – B</w:t>
                            </w:r>
                            <w:r>
                              <w:rPr>
                                <w:rFonts w:cs="Calibri" w:ascii="Calibri" w:hAnsi="Calibri"/>
                                <w:iCs/>
                                <w:szCs w:val="22"/>
                                <w:vertAlign w:val="subscript"/>
                                <w:lang w:val="nl-NL"/>
                              </w:rPr>
                              <w:t xml:space="preserve">i </w:t>
                            </w:r>
                            <w:r>
                              <w:rPr>
                                <w:rFonts w:cs="Calibri" w:ascii="Calibri" w:hAnsi="Calibri"/>
                                <w:iCs/>
                                <w:szCs w:val="22"/>
                                <w:lang w:val="nl-NL"/>
                              </w:rPr>
                              <w:t>[r</w:t>
                            </w:r>
                            <w:r>
                              <w:rPr>
                                <w:rFonts w:cs="Calibri" w:ascii="Calibri" w:hAnsi="Calibri"/>
                                <w:iCs/>
                                <w:szCs w:val="22"/>
                                <w:vertAlign w:val="subscript"/>
                                <w:lang w:val="nl-NL"/>
                              </w:rPr>
                              <w:t>i ,</w:t>
                            </w:r>
                            <w:r>
                              <w:rPr>
                                <w:rFonts w:cs="Calibri" w:ascii="Calibri" w:hAnsi="Calibri"/>
                                <w:iCs/>
                                <w:szCs w:val="22"/>
                                <w:lang w:val="nl-NL"/>
                              </w:rPr>
                              <w:t>h(Tr)] – Pr (B</w:t>
                            </w:r>
                            <w:r>
                              <w:rPr>
                                <w:rFonts w:cs="Calibri" w:ascii="Calibri" w:hAnsi="Calibri"/>
                                <w:iCs/>
                                <w:szCs w:val="22"/>
                                <w:vertAlign w:val="subscript"/>
                                <w:lang w:val="nl-NL"/>
                              </w:rPr>
                              <w:t>i</w:t>
                            </w:r>
                            <w:r>
                              <w:rPr>
                                <w:rFonts w:cs="Calibri" w:ascii="Calibri" w:hAnsi="Calibri"/>
                                <w:iCs/>
                                <w:szCs w:val="22"/>
                                <w:lang w:val="nl-NL"/>
                              </w:rPr>
                              <w:t>)</w:t>
                            </w:r>
                          </w:p>
                          <w:p>
                            <w:pPr>
                              <w:pStyle w:val="FrameContents"/>
                              <w:tabs>
                                <w:tab w:val="clear" w:pos="720"/>
                                <w:tab w:val="left" w:pos="900" w:leader="dot"/>
                                <w:tab w:val="left" w:pos="5760" w:leader="dot"/>
                              </w:tabs>
                              <w:spacing w:lineRule="auto" w:line="240" w:before="0" w:after="0"/>
                              <w:rPr>
                                <w:rFonts w:ascii="Calibri" w:hAnsi="Calibri" w:cs="Calibri"/>
                                <w:szCs w:val="22"/>
                                <w:lang w:val="nl-NL"/>
                              </w:rPr>
                            </w:pPr>
                            <w:r>
                              <w:rPr>
                                <w:rFonts w:cs="Calibri" w:ascii="Calibri" w:hAnsi="Calibri"/>
                                <w:szCs w:val="22"/>
                                <w:lang w:val="nl-NL"/>
                              </w:rPr>
                            </w:r>
                          </w:p>
                          <w:p>
                            <w:pPr>
                              <w:pStyle w:val="FrameContents"/>
                              <w:tabs>
                                <w:tab w:val="clear" w:pos="720"/>
                                <w:tab w:val="left" w:pos="900" w:leader="dot"/>
                                <w:tab w:val="left" w:pos="5760" w:leader="dot"/>
                              </w:tabs>
                              <w:spacing w:lineRule="auto" w:line="240" w:before="0" w:after="0"/>
                              <w:rPr>
                                <w:rFonts w:ascii="Calibri" w:hAnsi="Calibri" w:cs="Calibri"/>
                                <w:szCs w:val="22"/>
                              </w:rPr>
                            </w:pPr>
                            <w:r>
                              <w:rPr>
                                <w:rFonts w:cs="Calibri" w:ascii="Calibri" w:hAnsi="Calibri"/>
                                <w:szCs w:val="22"/>
                              </w:rPr>
                              <w:t>where, for population i</w:t>
                            </w:r>
                          </w:p>
                          <w:p>
                            <w:pPr>
                              <w:pStyle w:val="FrameContents"/>
                              <w:tabs>
                                <w:tab w:val="clear" w:pos="720"/>
                                <w:tab w:val="left" w:pos="900" w:leader="dot"/>
                                <w:tab w:val="left" w:pos="5760" w:leader="dot"/>
                              </w:tabs>
                              <w:spacing w:lineRule="auto" w:line="240" w:before="0" w:after="0"/>
                              <w:rPr>
                                <w:rFonts w:ascii="Calibri" w:hAnsi="Calibri" w:cs="Calibri"/>
                                <w:szCs w:val="22"/>
                              </w:rPr>
                            </w:pPr>
                            <w:r>
                              <w:rPr>
                                <w:rFonts w:cs="Calibri" w:ascii="Calibri" w:hAnsi="Calibri"/>
                                <w:szCs w:val="22"/>
                              </w:rPr>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B</w:t>
                            </w:r>
                            <w:r>
                              <w:rPr>
                                <w:rFonts w:cs="Calibri" w:ascii="Calibri" w:hAnsi="Calibri"/>
                                <w:iCs/>
                                <w:szCs w:val="22"/>
                                <w:vertAlign w:val="subscript"/>
                              </w:rPr>
                              <w:t>i</w:t>
                            </w:r>
                            <w:r>
                              <w:rPr>
                                <w:rFonts w:cs="Calibri" w:ascii="Calibri" w:hAnsi="Calibri"/>
                                <w:iCs/>
                                <w:szCs w:val="22"/>
                              </w:rPr>
                              <w:t xml:space="preserve"> </w:t>
                              <w:tab/>
                              <w:t>consumer population i biomass</w:t>
                              <w:tab/>
                              <w:t>g C/m</w:t>
                            </w:r>
                            <w:r>
                              <w:rPr>
                                <w:rFonts w:cs="Calibri" w:ascii="Calibri" w:hAnsi="Calibri"/>
                                <w:iCs/>
                                <w:szCs w:val="22"/>
                                <w:vertAlign w:val="superscript"/>
                              </w:rPr>
                              <w:t>2</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B</w:t>
                            </w:r>
                            <w:r>
                              <w:rPr>
                                <w:rFonts w:cs="Calibri" w:ascii="Calibri" w:hAnsi="Calibri"/>
                                <w:iCs/>
                                <w:szCs w:val="22"/>
                                <w:vertAlign w:val="subscript"/>
                              </w:rPr>
                              <w:t>j</w:t>
                            </w:r>
                            <w:r>
                              <w:rPr>
                                <w:rFonts w:cs="Calibri" w:ascii="Calibri" w:hAnsi="Calibri"/>
                                <w:iCs/>
                                <w:szCs w:val="22"/>
                              </w:rPr>
                              <w:t xml:space="preserve"> </w:t>
                              <w:tab/>
                              <w:t>prey population(s) biomass value(s)</w:t>
                              <w:tab/>
                              <w:t>g C/m</w:t>
                            </w:r>
                            <w:r>
                              <w:rPr>
                                <w:rFonts w:cs="Calibri" w:ascii="Calibri" w:hAnsi="Calibri"/>
                                <w:iCs/>
                                <w:szCs w:val="22"/>
                                <w:vertAlign w:val="superscript"/>
                              </w:rPr>
                              <w:t>2</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Cm</w:t>
                            </w:r>
                            <w:r>
                              <w:rPr>
                                <w:rFonts w:cs="Calibri" w:ascii="Calibri" w:hAnsi="Calibri"/>
                                <w:iCs/>
                                <w:szCs w:val="22"/>
                                <w:vertAlign w:val="subscript"/>
                              </w:rPr>
                              <w:t>i</w:t>
                            </w:r>
                            <w:r>
                              <w:rPr>
                                <w:rFonts w:cs="Calibri" w:ascii="Calibri" w:hAnsi="Calibri"/>
                                <w:iCs/>
                                <w:szCs w:val="22"/>
                              </w:rPr>
                              <w:t xml:space="preserve"> </w:t>
                              <w:tab/>
                              <w:t>maximum consumption rate</w:t>
                              <w:tab/>
                              <w:t xml:space="preserve">1/d </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h(Tc) </w:t>
                              <w:tab/>
                              <w:t xml:space="preserve">temperature dependence of consumption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w</w:t>
                            </w:r>
                            <w:r>
                              <w:rPr>
                                <w:rFonts w:cs="Calibri" w:ascii="Calibri" w:hAnsi="Calibri"/>
                                <w:iCs/>
                                <w:szCs w:val="22"/>
                                <w:vertAlign w:val="subscript"/>
                              </w:rPr>
                              <w:t>ij</w:t>
                            </w:r>
                            <w:r>
                              <w:rPr>
                                <w:rFonts w:cs="Calibri" w:ascii="Calibri" w:hAnsi="Calibri"/>
                                <w:iCs/>
                                <w:szCs w:val="22"/>
                              </w:rPr>
                              <w:t xml:space="preserve"> </w:t>
                              <w:tab/>
                              <w:t>preference of consumer i for prey j</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a</w:t>
                            </w:r>
                            <w:r>
                              <w:rPr>
                                <w:rFonts w:cs="Calibri" w:ascii="Calibri" w:hAnsi="Calibri"/>
                                <w:iCs/>
                                <w:szCs w:val="22"/>
                                <w:vertAlign w:val="subscript"/>
                              </w:rPr>
                              <w:t>ij</w:t>
                            </w:r>
                            <w:r>
                              <w:rPr>
                                <w:rFonts w:cs="Calibri" w:ascii="Calibri" w:hAnsi="Calibri"/>
                                <w:iCs/>
                                <w:szCs w:val="22"/>
                              </w:rPr>
                              <w:t xml:space="preserve"> </w:t>
                              <w:tab/>
                              <w:t>assimilation efficiency for consumer i and prey j</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h</w:t>
                            </w:r>
                            <w:r>
                              <w:rPr>
                                <w:rFonts w:cs="Calibri" w:ascii="Calibri" w:hAnsi="Calibri"/>
                                <w:iCs/>
                                <w:szCs w:val="22"/>
                                <w:vertAlign w:val="subscript"/>
                              </w:rPr>
                              <w:t>ij</w:t>
                            </w:r>
                            <w:r>
                              <w:rPr>
                                <w:rFonts w:cs="Calibri" w:ascii="Calibri" w:hAnsi="Calibri"/>
                                <w:iCs/>
                                <w:szCs w:val="22"/>
                              </w:rPr>
                              <w:t xml:space="preserve"> </w:t>
                              <w:tab/>
                              <w:t xml:space="preserve">handling efficiency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r</w:t>
                            </w:r>
                            <w:r>
                              <w:rPr>
                                <w:rFonts w:cs="Calibri" w:ascii="Calibri" w:hAnsi="Calibri"/>
                                <w:iCs/>
                                <w:szCs w:val="22"/>
                                <w:vertAlign w:val="subscript"/>
                              </w:rPr>
                              <w:t>i</w:t>
                            </w:r>
                            <w:r>
                              <w:rPr>
                                <w:rFonts w:cs="Calibri" w:ascii="Calibri" w:hAnsi="Calibri"/>
                                <w:iCs/>
                                <w:szCs w:val="22"/>
                              </w:rPr>
                              <w:t xml:space="preserve"> </w:t>
                              <w:tab/>
                              <w:t xml:space="preserve">standard respiration rate </w:t>
                              <w:tab/>
                              <w:t>1/d</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h(Tr) </w:t>
                              <w:tab/>
                              <w:t xml:space="preserve">temperature dependence of respiration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u</w:t>
                            </w:r>
                            <w:r>
                              <w:rPr>
                                <w:rFonts w:cs="Calibri" w:ascii="Calibri" w:hAnsi="Calibri"/>
                                <w:iCs/>
                                <w:szCs w:val="22"/>
                                <w:vertAlign w:val="subscript"/>
                              </w:rPr>
                              <w:t>i</w:t>
                            </w:r>
                            <w:r>
                              <w:rPr>
                                <w:rFonts w:cs="Calibri" w:ascii="Calibri" w:hAnsi="Calibri"/>
                                <w:iCs/>
                                <w:szCs w:val="22"/>
                              </w:rPr>
                              <w:t xml:space="preserve"> </w:t>
                              <w:tab/>
                              <w:t xml:space="preserve">excretion rate </w:t>
                              <w:tab/>
                              <w:t>1/d</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f</w:t>
                            </w:r>
                            <w:r>
                              <w:rPr>
                                <w:rFonts w:cs="Calibri" w:ascii="Calibri" w:hAnsi="Calibri"/>
                                <w:iCs/>
                                <w:szCs w:val="22"/>
                                <w:vertAlign w:val="subscript"/>
                              </w:rPr>
                              <w:t>i</w:t>
                            </w:r>
                            <w:r>
                              <w:rPr>
                                <w:rFonts w:cs="Calibri" w:ascii="Calibri" w:hAnsi="Calibri"/>
                                <w:iCs/>
                                <w:szCs w:val="22"/>
                              </w:rPr>
                              <w:t xml:space="preserve"> </w:t>
                              <w:tab/>
                              <w:t xml:space="preserve">egestion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m</w:t>
                            </w:r>
                            <w:r>
                              <w:rPr>
                                <w:rFonts w:cs="Calibri" w:ascii="Calibri" w:hAnsi="Calibri"/>
                                <w:iCs/>
                                <w:szCs w:val="22"/>
                                <w:vertAlign w:val="subscript"/>
                              </w:rPr>
                              <w:t xml:space="preserve">i </w:t>
                            </w:r>
                            <w:r>
                              <w:rPr>
                                <w:rFonts w:cs="Calibri" w:ascii="Calibri" w:hAnsi="Calibri"/>
                                <w:iCs/>
                                <w:szCs w:val="22"/>
                              </w:rPr>
                              <w:tab/>
                              <w:t>natural mortality rate</w:t>
                              <w:tab/>
                              <w:t>1/d</w:t>
                            </w:r>
                          </w:p>
                          <w:p>
                            <w:pPr>
                              <w:pStyle w:val="FrameContents"/>
                              <w:tabs>
                                <w:tab w:val="clear" w:pos="720"/>
                                <w:tab w:val="left" w:pos="900" w:leader="dot"/>
                                <w:tab w:val="left" w:pos="5760" w:leader="dot"/>
                              </w:tabs>
                              <w:spacing w:lineRule="auto" w:line="240" w:before="0" w:after="0"/>
                              <w:rPr>
                                <w:rFonts w:ascii="Calibri" w:hAnsi="Calibri" w:cs="Calibri"/>
                                <w:szCs w:val="22"/>
                              </w:rPr>
                            </w:pPr>
                            <w:r>
                              <w:rPr>
                                <w:rFonts w:cs="Calibri" w:ascii="Calibri" w:hAnsi="Calibri"/>
                                <w:iCs/>
                                <w:szCs w:val="22"/>
                              </w:rPr>
                              <w:t>rsda</w:t>
                            </w:r>
                            <w:r>
                              <w:rPr>
                                <w:rFonts w:cs="Calibri" w:ascii="Calibri" w:hAnsi="Calibri"/>
                                <w:iCs/>
                                <w:szCs w:val="22"/>
                                <w:vertAlign w:val="subscript"/>
                              </w:rPr>
                              <w:t>i</w:t>
                            </w:r>
                            <w:r>
                              <w:rPr>
                                <w:rFonts w:cs="Calibri" w:ascii="Calibri" w:hAnsi="Calibri"/>
                                <w:i/>
                                <w:szCs w:val="22"/>
                              </w:rPr>
                              <w:t xml:space="preserve"> </w:t>
                              <w:tab/>
                            </w:r>
                            <w:r>
                              <w:rPr>
                                <w:rFonts w:cs="Calibri" w:ascii="Calibri" w:hAnsi="Calibri"/>
                                <w:szCs w:val="22"/>
                              </w:rPr>
                              <w:t>specific dynamic action (fish only)</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szCs w:val="22"/>
                              </w:rPr>
                              <w:t>Pr</w:t>
                              <w:tab/>
                              <w:t xml:space="preserve">loss to predation                                                                   </w:t>
                            </w:r>
                            <w:r>
                              <w:rPr>
                                <w:rFonts w:cs="Calibri" w:ascii="Calibri" w:hAnsi="Calibri"/>
                                <w:iCs/>
                                <w:szCs w:val="22"/>
                              </w:rPr>
                              <w:t>g C/m</w:t>
                            </w:r>
                            <w:r>
                              <w:rPr>
                                <w:rFonts w:cs="Calibri" w:ascii="Calibri" w:hAnsi="Calibri"/>
                                <w:iCs/>
                                <w:szCs w:val="22"/>
                                <w:vertAlign w:val="superscript"/>
                              </w:rPr>
                              <w:t>2</w:t>
                            </w:r>
                            <w:r>
                              <w:rPr>
                                <w:rFonts w:cs="Calibri" w:ascii="Calibri" w:hAnsi="Calibri"/>
                                <w:iCs/>
                                <w:szCs w:val="22"/>
                              </w:rPr>
                              <w:t>/</w:t>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iCs/>
                                <w:szCs w:val="22"/>
                              </w:rPr>
                              <w:t>and,</w:t>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00" w:leader="dot"/>
                                <w:tab w:val="left" w:pos="5760" w:leader="dot"/>
                              </w:tabs>
                              <w:spacing w:lineRule="auto" w:line="240" w:before="0" w:after="0"/>
                              <w:jc w:val="center"/>
                              <w:rPr>
                                <w:rFonts w:ascii="Calibri" w:hAnsi="Calibri" w:cs="Calibri"/>
                                <w:b/>
                                <w:bCs/>
                                <w:iCs/>
                                <w:szCs w:val="22"/>
                              </w:rPr>
                            </w:pPr>
                            <w:r>
                              <w:rPr>
                                <w:rFonts w:cs="Calibri" w:ascii="Calibri" w:hAnsi="Calibri"/>
                                <w:iCs/>
                                <w:szCs w:val="22"/>
                              </w:rPr>
                              <w:t>Pr(Bi) = åi[(Bj Cmj h(Tc) wij aij hij Bi )/(Bj + åiwij aij hij Bi)]</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where,</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Bj</w:t>
                              <w:tab/>
                              <w:t>biomass of predator population j</w:t>
                              <w:tab/>
                              <w:t>g C/m2</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h(Tc) </w:t>
                              <w:tab/>
                              <w:t xml:space="preserve"> temperature dependence of consumption</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Cij</w:t>
                              <w:tab/>
                              <w:t xml:space="preserve"> rate of consumption by grazer j </w:t>
                              <w:tab/>
                              <w:t>g C/m2/d</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wij</w:t>
                              <w:tab/>
                              <w:t xml:space="preserve"> preference of grazer j for producer i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aij </w:t>
                              <w:tab/>
                              <w:t xml:space="preserve"> assimilation of producer i by grazer j</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hij </w:t>
                              <w:tab/>
                              <w:t xml:space="preserve"> handling efficiency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åi</w:t>
                              <w:tab/>
                              <w:t xml:space="preserve"> sum over prey populations </w:t>
                            </w:r>
                          </w:p>
                          <w:p>
                            <w:pPr>
                              <w:pStyle w:val="FrameContents"/>
                              <w:tabs>
                                <w:tab w:val="clear" w:pos="720"/>
                                <w:tab w:val="left" w:pos="900" w:leader="dot"/>
                                <w:tab w:val="left" w:pos="5760" w:leader="dot"/>
                              </w:tabs>
                              <w:spacing w:before="0" w:after="120"/>
                              <w:rPr/>
                            </w:pPr>
                            <w:r>
                              <w:rPr/>
                            </w:r>
                          </w:p>
                        </w:txbxContent>
                      </wps:txbx>
                      <wps:bodyPr anchor="t">
                        <a:noAutofit/>
                      </wps:bodyPr>
                    </wps:wsp>
                  </a:graphicData>
                </a:graphic>
              </wp:inline>
            </w:drawing>
          </mc:Choice>
          <mc:Fallback>
            <w:pict>
              <v:rect id="shape_0" ID="Text Box 2" path="m0,0l-2147483645,0l-2147483645,-2147483646l0,-2147483646xe" fillcolor="white" stroked="t" o:allowincell="f" style="position:absolute;margin-left:0pt;margin-top:-493.55pt;width:464.95pt;height:492.55pt;mso-wrap-style:square;v-text-anchor:top;mso-position-vertical:top" wp14:anchorId="5EA2F873">
                <v:fill o:detectmouseclick="t" type="solid" color2="black"/>
                <v:stroke color="black" weight="9360" joinstyle="miter" endcap="flat"/>
                <v:textbox>
                  <w:txbxContent>
                    <w:p>
                      <w:pPr>
                        <w:pStyle w:val="FrameContents"/>
                        <w:tabs>
                          <w:tab w:val="clear" w:pos="720"/>
                          <w:tab w:val="left" w:pos="900" w:leader="dot"/>
                          <w:tab w:val="left" w:pos="5760" w:leader="dot"/>
                        </w:tabs>
                        <w:spacing w:lineRule="auto" w:line="240" w:before="0" w:after="0"/>
                        <w:rPr>
                          <w:rFonts w:ascii="Calibri" w:hAnsi="Calibri" w:cs="Calibri"/>
                          <w:szCs w:val="22"/>
                        </w:rPr>
                      </w:pPr>
                      <w:r>
                        <w:rPr>
                          <w:rFonts w:cs="Calibri" w:ascii="Calibri" w:hAnsi="Calibri"/>
                          <w:szCs w:val="22"/>
                        </w:rPr>
                      </w:r>
                    </w:p>
                    <w:p>
                      <w:pPr>
                        <w:pStyle w:val="FrameContents"/>
                        <w:tabs>
                          <w:tab w:val="clear" w:pos="720"/>
                          <w:tab w:val="left" w:pos="900" w:leader="dot"/>
                          <w:tab w:val="left" w:pos="5760" w:leader="dot"/>
                        </w:tabs>
                        <w:spacing w:lineRule="auto" w:line="240" w:before="0" w:after="0"/>
                        <w:rPr>
                          <w:rFonts w:ascii="Calibri" w:hAnsi="Calibri" w:cs="Calibri"/>
                          <w:iCs/>
                          <w:szCs w:val="22"/>
                          <w:lang w:val="nl-NL"/>
                        </w:rPr>
                      </w:pPr>
                      <w:r>
                        <w:rPr>
                          <w:rFonts w:cs="Calibri" w:ascii="Calibri" w:hAnsi="Calibri"/>
                          <w:iCs/>
                          <w:szCs w:val="22"/>
                          <w:lang w:val="nl-NL"/>
                        </w:rPr>
                        <w:t>dB</w:t>
                      </w:r>
                      <w:r>
                        <w:rPr>
                          <w:rFonts w:cs="Calibri" w:ascii="Calibri" w:hAnsi="Calibri"/>
                          <w:iCs/>
                          <w:szCs w:val="22"/>
                          <w:vertAlign w:val="subscript"/>
                          <w:lang w:val="nl-NL"/>
                        </w:rPr>
                        <w:t>i</w:t>
                      </w:r>
                      <w:r>
                        <w:rPr>
                          <w:rFonts w:cs="Calibri" w:ascii="Calibri" w:hAnsi="Calibri"/>
                          <w:iCs/>
                          <w:szCs w:val="22"/>
                          <w:lang w:val="nl-NL"/>
                        </w:rPr>
                        <w:t xml:space="preserve">/dt =  </w:t>
                      </w:r>
                      <w:r>
                        <w:rPr>
                          <w:rFonts w:eastAsia="Symbol" w:cs="Calibri" w:ascii="Calibri" w:hAnsi="Calibri"/>
                          <w:szCs w:val="22"/>
                        </w:rPr>
                        <w:t>å</w:t>
                      </w:r>
                      <w:r>
                        <w:rPr>
                          <w:rFonts w:cs="Calibri" w:ascii="Calibri" w:hAnsi="Calibri"/>
                          <w:iCs/>
                          <w:szCs w:val="22"/>
                          <w:vertAlign w:val="subscript"/>
                        </w:rPr>
                        <w:t>j</w:t>
                      </w:r>
                      <w:r>
                        <w:rPr>
                          <w:rFonts w:cs="Calibri" w:ascii="Calibri" w:hAnsi="Calibri"/>
                          <w:iCs/>
                          <w:szCs w:val="22"/>
                          <w:lang w:val="nl-NL"/>
                        </w:rPr>
                        <w:t>[(B</w:t>
                      </w:r>
                      <w:r>
                        <w:rPr>
                          <w:rFonts w:cs="Calibri" w:ascii="Calibri" w:hAnsi="Calibri"/>
                          <w:iCs/>
                          <w:szCs w:val="22"/>
                          <w:vertAlign w:val="subscript"/>
                          <w:lang w:val="nl-NL"/>
                        </w:rPr>
                        <w:t>i</w:t>
                      </w:r>
                      <w:r>
                        <w:rPr>
                          <w:rFonts w:cs="Calibri" w:ascii="Calibri" w:hAnsi="Calibri"/>
                          <w:iCs/>
                          <w:szCs w:val="22"/>
                          <w:lang w:val="nl-NL"/>
                        </w:rPr>
                        <w:t xml:space="preserve"> Cm</w:t>
                      </w:r>
                      <w:r>
                        <w:rPr>
                          <w:rFonts w:cs="Calibri" w:ascii="Calibri" w:hAnsi="Calibri"/>
                          <w:iCs/>
                          <w:szCs w:val="22"/>
                          <w:vertAlign w:val="subscript"/>
                          <w:lang w:val="nl-NL"/>
                        </w:rPr>
                        <w:t>i</w:t>
                      </w:r>
                      <w:r>
                        <w:rPr>
                          <w:rFonts w:cs="Calibri" w:ascii="Calibri" w:hAnsi="Calibri"/>
                          <w:iCs/>
                          <w:szCs w:val="22"/>
                          <w:lang w:val="nl-NL"/>
                        </w:rPr>
                        <w:t xml:space="preserve"> h(Tc) w</w:t>
                      </w:r>
                      <w:r>
                        <w:rPr>
                          <w:rFonts w:cs="Calibri" w:ascii="Calibri" w:hAnsi="Calibri"/>
                          <w:iCs/>
                          <w:szCs w:val="22"/>
                          <w:vertAlign w:val="subscript"/>
                          <w:lang w:val="nl-NL"/>
                        </w:rPr>
                        <w:t>ij</w:t>
                      </w:r>
                      <w:r>
                        <w:rPr>
                          <w:rFonts w:cs="Calibri" w:ascii="Calibri" w:hAnsi="Calibri"/>
                          <w:iCs/>
                          <w:szCs w:val="22"/>
                          <w:lang w:val="nl-NL"/>
                        </w:rPr>
                        <w:t xml:space="preserve">  a</w:t>
                      </w:r>
                      <w:r>
                        <w:rPr>
                          <w:rFonts w:cs="Calibri" w:ascii="Calibri" w:hAnsi="Calibri"/>
                          <w:iCs/>
                          <w:szCs w:val="22"/>
                          <w:vertAlign w:val="subscript"/>
                          <w:lang w:val="nl-NL"/>
                        </w:rPr>
                        <w:t>i</w:t>
                      </w:r>
                      <w:r>
                        <w:rPr>
                          <w:rFonts w:cs="Calibri" w:ascii="Calibri" w:hAnsi="Calibri"/>
                          <w:iCs/>
                          <w:szCs w:val="22"/>
                          <w:lang w:val="nl-NL"/>
                        </w:rPr>
                        <w:t xml:space="preserve">  h</w:t>
                      </w:r>
                      <w:r>
                        <w:rPr>
                          <w:rFonts w:cs="Calibri" w:ascii="Calibri" w:hAnsi="Calibri"/>
                          <w:iCs/>
                          <w:szCs w:val="22"/>
                          <w:vertAlign w:val="subscript"/>
                          <w:lang w:val="nl-NL"/>
                        </w:rPr>
                        <w:t>ij</w:t>
                      </w:r>
                      <w:r>
                        <w:rPr>
                          <w:rFonts w:cs="Calibri" w:ascii="Calibri" w:hAnsi="Calibri"/>
                          <w:iCs/>
                          <w:szCs w:val="22"/>
                          <w:lang w:val="nl-NL"/>
                        </w:rPr>
                        <w:t xml:space="preserve"> B</w:t>
                      </w:r>
                      <w:r>
                        <w:rPr>
                          <w:rFonts w:cs="Calibri" w:ascii="Calibri" w:hAnsi="Calibri"/>
                          <w:iCs/>
                          <w:szCs w:val="22"/>
                          <w:vertAlign w:val="subscript"/>
                          <w:lang w:val="nl-NL"/>
                        </w:rPr>
                        <w:t xml:space="preserve">j </w:t>
                      </w:r>
                      <w:r>
                        <w:rPr>
                          <w:rFonts w:cs="Calibri" w:ascii="Calibri" w:hAnsi="Calibri"/>
                          <w:iCs/>
                          <w:szCs w:val="22"/>
                          <w:lang w:val="nl-NL"/>
                        </w:rPr>
                        <w:t>)/(B</w:t>
                      </w:r>
                      <w:r>
                        <w:rPr>
                          <w:rFonts w:cs="Calibri" w:ascii="Calibri" w:hAnsi="Calibri"/>
                          <w:iCs/>
                          <w:szCs w:val="22"/>
                          <w:vertAlign w:val="subscript"/>
                          <w:lang w:val="nl-NL"/>
                        </w:rPr>
                        <w:t>i</w:t>
                      </w:r>
                      <w:r>
                        <w:rPr>
                          <w:rFonts w:cs="Calibri" w:ascii="Calibri" w:hAnsi="Calibri"/>
                          <w:iCs/>
                          <w:szCs w:val="22"/>
                          <w:lang w:val="nl-NL"/>
                        </w:rPr>
                        <w:t xml:space="preserve"> + </w:t>
                      </w:r>
                      <w:r>
                        <w:rPr>
                          <w:rFonts w:eastAsia="Symbol" w:cs="Calibri" w:ascii="Calibri" w:hAnsi="Calibri"/>
                          <w:szCs w:val="22"/>
                        </w:rPr>
                        <w:t>å</w:t>
                      </w:r>
                      <w:r>
                        <w:rPr>
                          <w:rFonts w:cs="Calibri" w:ascii="Calibri" w:hAnsi="Calibri"/>
                          <w:iCs/>
                          <w:szCs w:val="22"/>
                          <w:vertAlign w:val="subscript"/>
                        </w:rPr>
                        <w:t>j</w:t>
                      </w:r>
                      <w:r>
                        <w:rPr>
                          <w:rFonts w:cs="Calibri" w:ascii="Calibri" w:hAnsi="Calibri"/>
                          <w:iCs/>
                          <w:szCs w:val="22"/>
                        </w:rPr>
                        <w:t xml:space="preserve"> </w:t>
                      </w:r>
                      <w:r>
                        <w:rPr>
                          <w:rFonts w:cs="Calibri" w:ascii="Calibri" w:hAnsi="Calibri"/>
                          <w:iCs/>
                          <w:szCs w:val="22"/>
                          <w:lang w:val="nl-NL"/>
                        </w:rPr>
                        <w:t>w</w:t>
                      </w:r>
                      <w:r>
                        <w:rPr>
                          <w:rFonts w:cs="Calibri" w:ascii="Calibri" w:hAnsi="Calibri"/>
                          <w:iCs/>
                          <w:szCs w:val="22"/>
                          <w:vertAlign w:val="subscript"/>
                          <w:lang w:val="nl-NL"/>
                        </w:rPr>
                        <w:t>ij</w:t>
                      </w:r>
                      <w:r>
                        <w:rPr>
                          <w:rFonts w:cs="Calibri" w:ascii="Calibri" w:hAnsi="Calibri"/>
                          <w:iCs/>
                          <w:szCs w:val="22"/>
                          <w:lang w:val="nl-NL"/>
                        </w:rPr>
                        <w:t xml:space="preserve"> a</w:t>
                      </w:r>
                      <w:r>
                        <w:rPr>
                          <w:rFonts w:cs="Calibri" w:ascii="Calibri" w:hAnsi="Calibri"/>
                          <w:iCs/>
                          <w:szCs w:val="22"/>
                          <w:vertAlign w:val="subscript"/>
                          <w:lang w:val="nl-NL"/>
                        </w:rPr>
                        <w:t xml:space="preserve">ij </w:t>
                      </w:r>
                      <w:r>
                        <w:rPr>
                          <w:rFonts w:cs="Calibri" w:ascii="Calibri" w:hAnsi="Calibri"/>
                          <w:iCs/>
                          <w:szCs w:val="22"/>
                          <w:lang w:val="nl-NL"/>
                        </w:rPr>
                        <w:t>h</w:t>
                      </w:r>
                      <w:r>
                        <w:rPr>
                          <w:rFonts w:cs="Calibri" w:ascii="Calibri" w:hAnsi="Calibri"/>
                          <w:iCs/>
                          <w:szCs w:val="22"/>
                          <w:vertAlign w:val="subscript"/>
                          <w:lang w:val="nl-NL"/>
                        </w:rPr>
                        <w:t>ij</w:t>
                      </w:r>
                      <w:r>
                        <w:rPr>
                          <w:rFonts w:cs="Calibri" w:ascii="Calibri" w:hAnsi="Calibri"/>
                          <w:iCs/>
                          <w:szCs w:val="22"/>
                          <w:lang w:val="nl-NL"/>
                        </w:rPr>
                        <w:t xml:space="preserve"> B</w:t>
                      </w:r>
                      <w:r>
                        <w:rPr>
                          <w:rFonts w:cs="Calibri" w:ascii="Calibri" w:hAnsi="Calibri"/>
                          <w:iCs/>
                          <w:szCs w:val="22"/>
                          <w:vertAlign w:val="subscript"/>
                          <w:lang w:val="nl-NL"/>
                        </w:rPr>
                        <w:t>j</w:t>
                      </w:r>
                      <w:r>
                        <w:rPr>
                          <w:rFonts w:cs="Calibri" w:ascii="Calibri" w:hAnsi="Calibri"/>
                          <w:iCs/>
                          <w:szCs w:val="22"/>
                          <w:lang w:val="nl-NL"/>
                        </w:rPr>
                        <w:t>)](1 - f</w:t>
                      </w:r>
                      <w:r>
                        <w:rPr>
                          <w:rFonts w:cs="Calibri" w:ascii="Calibri" w:hAnsi="Calibri"/>
                          <w:iCs/>
                          <w:szCs w:val="22"/>
                          <w:vertAlign w:val="subscript"/>
                          <w:lang w:val="nl-NL"/>
                        </w:rPr>
                        <w:t xml:space="preserve">i </w:t>
                      </w:r>
                      <w:r>
                        <w:rPr>
                          <w:rFonts w:cs="Calibri" w:ascii="Calibri" w:hAnsi="Calibri"/>
                          <w:iCs/>
                          <w:szCs w:val="22"/>
                          <w:lang w:val="nl-NL"/>
                        </w:rPr>
                        <w:t>- rsda</w:t>
                      </w:r>
                      <w:r>
                        <w:rPr>
                          <w:rFonts w:cs="Calibri" w:ascii="Calibri" w:hAnsi="Calibri"/>
                          <w:iCs/>
                          <w:szCs w:val="22"/>
                          <w:vertAlign w:val="subscript"/>
                          <w:lang w:val="nl-NL"/>
                        </w:rPr>
                        <w:t>i</w:t>
                      </w:r>
                      <w:r>
                        <w:rPr>
                          <w:rFonts w:cs="Calibri" w:ascii="Calibri" w:hAnsi="Calibri"/>
                          <w:iCs/>
                          <w:szCs w:val="22"/>
                          <w:lang w:val="nl-NL"/>
                        </w:rPr>
                        <w:t>) – B</w:t>
                      </w:r>
                      <w:r>
                        <w:rPr>
                          <w:rFonts w:cs="Calibri" w:ascii="Calibri" w:hAnsi="Calibri"/>
                          <w:iCs/>
                          <w:szCs w:val="22"/>
                          <w:vertAlign w:val="subscript"/>
                          <w:lang w:val="nl-NL"/>
                        </w:rPr>
                        <w:t xml:space="preserve">i </w:t>
                      </w:r>
                      <w:r>
                        <w:rPr>
                          <w:rFonts w:cs="Calibri" w:ascii="Calibri" w:hAnsi="Calibri"/>
                          <w:iCs/>
                          <w:szCs w:val="22"/>
                          <w:lang w:val="nl-NL"/>
                        </w:rPr>
                        <w:t>(u</w:t>
                      </w:r>
                      <w:r>
                        <w:rPr>
                          <w:rFonts w:cs="Calibri" w:ascii="Calibri" w:hAnsi="Calibri"/>
                          <w:iCs/>
                          <w:szCs w:val="22"/>
                          <w:vertAlign w:val="subscript"/>
                          <w:lang w:val="nl-NL"/>
                        </w:rPr>
                        <w:t xml:space="preserve">i </w:t>
                      </w:r>
                      <w:r>
                        <w:rPr>
                          <w:rFonts w:cs="Calibri" w:ascii="Calibri" w:hAnsi="Calibri"/>
                          <w:iCs/>
                          <w:szCs w:val="22"/>
                          <w:lang w:val="nl-NL"/>
                        </w:rPr>
                        <w:t>+</w:t>
                      </w:r>
                      <w:r>
                        <w:rPr>
                          <w:rFonts w:cs="Calibri" w:ascii="Calibri" w:hAnsi="Calibri"/>
                          <w:iCs/>
                          <w:szCs w:val="22"/>
                          <w:vertAlign w:val="subscript"/>
                          <w:lang w:val="nl-NL"/>
                        </w:rPr>
                        <w:t xml:space="preserve"> </w:t>
                      </w:r>
                      <w:r>
                        <w:rPr>
                          <w:rFonts w:cs="Calibri" w:ascii="Calibri" w:hAnsi="Calibri"/>
                          <w:iCs/>
                          <w:szCs w:val="22"/>
                          <w:lang w:val="nl-NL"/>
                        </w:rPr>
                        <w:t>m</w:t>
                      </w:r>
                      <w:r>
                        <w:rPr>
                          <w:rFonts w:cs="Calibri" w:ascii="Calibri" w:hAnsi="Calibri"/>
                          <w:iCs/>
                          <w:szCs w:val="22"/>
                          <w:vertAlign w:val="subscript"/>
                          <w:lang w:val="nl-NL"/>
                        </w:rPr>
                        <w:t>i</w:t>
                      </w:r>
                      <w:r>
                        <w:rPr>
                          <w:rFonts w:cs="Calibri" w:ascii="Calibri" w:hAnsi="Calibri"/>
                          <w:iCs/>
                          <w:szCs w:val="22"/>
                          <w:lang w:val="nl-NL"/>
                        </w:rPr>
                        <w:t>) – B</w:t>
                      </w:r>
                      <w:r>
                        <w:rPr>
                          <w:rFonts w:cs="Calibri" w:ascii="Calibri" w:hAnsi="Calibri"/>
                          <w:iCs/>
                          <w:szCs w:val="22"/>
                          <w:vertAlign w:val="subscript"/>
                          <w:lang w:val="nl-NL"/>
                        </w:rPr>
                        <w:t xml:space="preserve">i </w:t>
                      </w:r>
                      <w:r>
                        <w:rPr>
                          <w:rFonts w:cs="Calibri" w:ascii="Calibri" w:hAnsi="Calibri"/>
                          <w:iCs/>
                          <w:szCs w:val="22"/>
                          <w:lang w:val="nl-NL"/>
                        </w:rPr>
                        <w:t>[r</w:t>
                      </w:r>
                      <w:r>
                        <w:rPr>
                          <w:rFonts w:cs="Calibri" w:ascii="Calibri" w:hAnsi="Calibri"/>
                          <w:iCs/>
                          <w:szCs w:val="22"/>
                          <w:vertAlign w:val="subscript"/>
                          <w:lang w:val="nl-NL"/>
                        </w:rPr>
                        <w:t>i ,</w:t>
                      </w:r>
                      <w:r>
                        <w:rPr>
                          <w:rFonts w:cs="Calibri" w:ascii="Calibri" w:hAnsi="Calibri"/>
                          <w:iCs/>
                          <w:szCs w:val="22"/>
                          <w:lang w:val="nl-NL"/>
                        </w:rPr>
                        <w:t>h(Tr)] – Pr (B</w:t>
                      </w:r>
                      <w:r>
                        <w:rPr>
                          <w:rFonts w:cs="Calibri" w:ascii="Calibri" w:hAnsi="Calibri"/>
                          <w:iCs/>
                          <w:szCs w:val="22"/>
                          <w:vertAlign w:val="subscript"/>
                          <w:lang w:val="nl-NL"/>
                        </w:rPr>
                        <w:t>i</w:t>
                      </w:r>
                      <w:r>
                        <w:rPr>
                          <w:rFonts w:cs="Calibri" w:ascii="Calibri" w:hAnsi="Calibri"/>
                          <w:iCs/>
                          <w:szCs w:val="22"/>
                          <w:lang w:val="nl-NL"/>
                        </w:rPr>
                        <w:t>)</w:t>
                      </w:r>
                    </w:p>
                    <w:p>
                      <w:pPr>
                        <w:pStyle w:val="FrameContents"/>
                        <w:tabs>
                          <w:tab w:val="clear" w:pos="720"/>
                          <w:tab w:val="left" w:pos="900" w:leader="dot"/>
                          <w:tab w:val="left" w:pos="5760" w:leader="dot"/>
                        </w:tabs>
                        <w:spacing w:lineRule="auto" w:line="240" w:before="0" w:after="0"/>
                        <w:rPr>
                          <w:rFonts w:ascii="Calibri" w:hAnsi="Calibri" w:cs="Calibri"/>
                          <w:szCs w:val="22"/>
                          <w:lang w:val="nl-NL"/>
                        </w:rPr>
                      </w:pPr>
                      <w:r>
                        <w:rPr>
                          <w:rFonts w:cs="Calibri" w:ascii="Calibri" w:hAnsi="Calibri"/>
                          <w:szCs w:val="22"/>
                          <w:lang w:val="nl-NL"/>
                        </w:rPr>
                      </w:r>
                    </w:p>
                    <w:p>
                      <w:pPr>
                        <w:pStyle w:val="FrameContents"/>
                        <w:tabs>
                          <w:tab w:val="clear" w:pos="720"/>
                          <w:tab w:val="left" w:pos="900" w:leader="dot"/>
                          <w:tab w:val="left" w:pos="5760" w:leader="dot"/>
                        </w:tabs>
                        <w:spacing w:lineRule="auto" w:line="240" w:before="0" w:after="0"/>
                        <w:rPr>
                          <w:rFonts w:ascii="Calibri" w:hAnsi="Calibri" w:cs="Calibri"/>
                          <w:szCs w:val="22"/>
                        </w:rPr>
                      </w:pPr>
                      <w:r>
                        <w:rPr>
                          <w:rFonts w:cs="Calibri" w:ascii="Calibri" w:hAnsi="Calibri"/>
                          <w:szCs w:val="22"/>
                        </w:rPr>
                        <w:t>where, for population i</w:t>
                      </w:r>
                    </w:p>
                    <w:p>
                      <w:pPr>
                        <w:pStyle w:val="FrameContents"/>
                        <w:tabs>
                          <w:tab w:val="clear" w:pos="720"/>
                          <w:tab w:val="left" w:pos="900" w:leader="dot"/>
                          <w:tab w:val="left" w:pos="5760" w:leader="dot"/>
                        </w:tabs>
                        <w:spacing w:lineRule="auto" w:line="240" w:before="0" w:after="0"/>
                        <w:rPr>
                          <w:rFonts w:ascii="Calibri" w:hAnsi="Calibri" w:cs="Calibri"/>
                          <w:szCs w:val="22"/>
                        </w:rPr>
                      </w:pPr>
                      <w:r>
                        <w:rPr>
                          <w:rFonts w:cs="Calibri" w:ascii="Calibri" w:hAnsi="Calibri"/>
                          <w:szCs w:val="22"/>
                        </w:rPr>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B</w:t>
                      </w:r>
                      <w:r>
                        <w:rPr>
                          <w:rFonts w:cs="Calibri" w:ascii="Calibri" w:hAnsi="Calibri"/>
                          <w:iCs/>
                          <w:szCs w:val="22"/>
                          <w:vertAlign w:val="subscript"/>
                        </w:rPr>
                        <w:t>i</w:t>
                      </w:r>
                      <w:r>
                        <w:rPr>
                          <w:rFonts w:cs="Calibri" w:ascii="Calibri" w:hAnsi="Calibri"/>
                          <w:iCs/>
                          <w:szCs w:val="22"/>
                        </w:rPr>
                        <w:t xml:space="preserve"> </w:t>
                        <w:tab/>
                        <w:t>consumer population i biomass</w:t>
                        <w:tab/>
                        <w:t>g C/m</w:t>
                      </w:r>
                      <w:r>
                        <w:rPr>
                          <w:rFonts w:cs="Calibri" w:ascii="Calibri" w:hAnsi="Calibri"/>
                          <w:iCs/>
                          <w:szCs w:val="22"/>
                          <w:vertAlign w:val="superscript"/>
                        </w:rPr>
                        <w:t>2</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B</w:t>
                      </w:r>
                      <w:r>
                        <w:rPr>
                          <w:rFonts w:cs="Calibri" w:ascii="Calibri" w:hAnsi="Calibri"/>
                          <w:iCs/>
                          <w:szCs w:val="22"/>
                          <w:vertAlign w:val="subscript"/>
                        </w:rPr>
                        <w:t>j</w:t>
                      </w:r>
                      <w:r>
                        <w:rPr>
                          <w:rFonts w:cs="Calibri" w:ascii="Calibri" w:hAnsi="Calibri"/>
                          <w:iCs/>
                          <w:szCs w:val="22"/>
                        </w:rPr>
                        <w:t xml:space="preserve"> </w:t>
                        <w:tab/>
                        <w:t>prey population(s) biomass value(s)</w:t>
                        <w:tab/>
                        <w:t>g C/m</w:t>
                      </w:r>
                      <w:r>
                        <w:rPr>
                          <w:rFonts w:cs="Calibri" w:ascii="Calibri" w:hAnsi="Calibri"/>
                          <w:iCs/>
                          <w:szCs w:val="22"/>
                          <w:vertAlign w:val="superscript"/>
                        </w:rPr>
                        <w:t>2</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Cm</w:t>
                      </w:r>
                      <w:r>
                        <w:rPr>
                          <w:rFonts w:cs="Calibri" w:ascii="Calibri" w:hAnsi="Calibri"/>
                          <w:iCs/>
                          <w:szCs w:val="22"/>
                          <w:vertAlign w:val="subscript"/>
                        </w:rPr>
                        <w:t>i</w:t>
                      </w:r>
                      <w:r>
                        <w:rPr>
                          <w:rFonts w:cs="Calibri" w:ascii="Calibri" w:hAnsi="Calibri"/>
                          <w:iCs/>
                          <w:szCs w:val="22"/>
                        </w:rPr>
                        <w:t xml:space="preserve"> </w:t>
                        <w:tab/>
                        <w:t>maximum consumption rate</w:t>
                        <w:tab/>
                        <w:t xml:space="preserve">1/d </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h(Tc) </w:t>
                        <w:tab/>
                        <w:t xml:space="preserve">temperature dependence of consumption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w</w:t>
                      </w:r>
                      <w:r>
                        <w:rPr>
                          <w:rFonts w:cs="Calibri" w:ascii="Calibri" w:hAnsi="Calibri"/>
                          <w:iCs/>
                          <w:szCs w:val="22"/>
                          <w:vertAlign w:val="subscript"/>
                        </w:rPr>
                        <w:t>ij</w:t>
                      </w:r>
                      <w:r>
                        <w:rPr>
                          <w:rFonts w:cs="Calibri" w:ascii="Calibri" w:hAnsi="Calibri"/>
                          <w:iCs/>
                          <w:szCs w:val="22"/>
                        </w:rPr>
                        <w:t xml:space="preserve"> </w:t>
                        <w:tab/>
                        <w:t>preference of consumer i for prey j</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a</w:t>
                      </w:r>
                      <w:r>
                        <w:rPr>
                          <w:rFonts w:cs="Calibri" w:ascii="Calibri" w:hAnsi="Calibri"/>
                          <w:iCs/>
                          <w:szCs w:val="22"/>
                          <w:vertAlign w:val="subscript"/>
                        </w:rPr>
                        <w:t>ij</w:t>
                      </w:r>
                      <w:r>
                        <w:rPr>
                          <w:rFonts w:cs="Calibri" w:ascii="Calibri" w:hAnsi="Calibri"/>
                          <w:iCs/>
                          <w:szCs w:val="22"/>
                        </w:rPr>
                        <w:t xml:space="preserve"> </w:t>
                        <w:tab/>
                        <w:t>assimilation efficiency for consumer i and prey j</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h</w:t>
                      </w:r>
                      <w:r>
                        <w:rPr>
                          <w:rFonts w:cs="Calibri" w:ascii="Calibri" w:hAnsi="Calibri"/>
                          <w:iCs/>
                          <w:szCs w:val="22"/>
                          <w:vertAlign w:val="subscript"/>
                        </w:rPr>
                        <w:t>ij</w:t>
                      </w:r>
                      <w:r>
                        <w:rPr>
                          <w:rFonts w:cs="Calibri" w:ascii="Calibri" w:hAnsi="Calibri"/>
                          <w:iCs/>
                          <w:szCs w:val="22"/>
                        </w:rPr>
                        <w:t xml:space="preserve"> </w:t>
                        <w:tab/>
                        <w:t xml:space="preserve">handling efficiency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r</w:t>
                      </w:r>
                      <w:r>
                        <w:rPr>
                          <w:rFonts w:cs="Calibri" w:ascii="Calibri" w:hAnsi="Calibri"/>
                          <w:iCs/>
                          <w:szCs w:val="22"/>
                          <w:vertAlign w:val="subscript"/>
                        </w:rPr>
                        <w:t>i</w:t>
                      </w:r>
                      <w:r>
                        <w:rPr>
                          <w:rFonts w:cs="Calibri" w:ascii="Calibri" w:hAnsi="Calibri"/>
                          <w:iCs/>
                          <w:szCs w:val="22"/>
                        </w:rPr>
                        <w:t xml:space="preserve"> </w:t>
                        <w:tab/>
                        <w:t xml:space="preserve">standard respiration rate </w:t>
                        <w:tab/>
                        <w:t>1/d</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h(Tr) </w:t>
                        <w:tab/>
                        <w:t xml:space="preserve">temperature dependence of respiration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u</w:t>
                      </w:r>
                      <w:r>
                        <w:rPr>
                          <w:rFonts w:cs="Calibri" w:ascii="Calibri" w:hAnsi="Calibri"/>
                          <w:iCs/>
                          <w:szCs w:val="22"/>
                          <w:vertAlign w:val="subscript"/>
                        </w:rPr>
                        <w:t>i</w:t>
                      </w:r>
                      <w:r>
                        <w:rPr>
                          <w:rFonts w:cs="Calibri" w:ascii="Calibri" w:hAnsi="Calibri"/>
                          <w:iCs/>
                          <w:szCs w:val="22"/>
                        </w:rPr>
                        <w:t xml:space="preserve"> </w:t>
                        <w:tab/>
                        <w:t xml:space="preserve">excretion rate </w:t>
                        <w:tab/>
                        <w:t>1/d</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f</w:t>
                      </w:r>
                      <w:r>
                        <w:rPr>
                          <w:rFonts w:cs="Calibri" w:ascii="Calibri" w:hAnsi="Calibri"/>
                          <w:iCs/>
                          <w:szCs w:val="22"/>
                          <w:vertAlign w:val="subscript"/>
                        </w:rPr>
                        <w:t>i</w:t>
                      </w:r>
                      <w:r>
                        <w:rPr>
                          <w:rFonts w:cs="Calibri" w:ascii="Calibri" w:hAnsi="Calibri"/>
                          <w:iCs/>
                          <w:szCs w:val="22"/>
                        </w:rPr>
                        <w:t xml:space="preserve"> </w:t>
                        <w:tab/>
                        <w:t xml:space="preserve">egestion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m</w:t>
                      </w:r>
                      <w:r>
                        <w:rPr>
                          <w:rFonts w:cs="Calibri" w:ascii="Calibri" w:hAnsi="Calibri"/>
                          <w:iCs/>
                          <w:szCs w:val="22"/>
                          <w:vertAlign w:val="subscript"/>
                        </w:rPr>
                        <w:t xml:space="preserve">i </w:t>
                      </w:r>
                      <w:r>
                        <w:rPr>
                          <w:rFonts w:cs="Calibri" w:ascii="Calibri" w:hAnsi="Calibri"/>
                          <w:iCs/>
                          <w:szCs w:val="22"/>
                        </w:rPr>
                        <w:tab/>
                        <w:t>natural mortality rate</w:t>
                        <w:tab/>
                        <w:t>1/d</w:t>
                      </w:r>
                    </w:p>
                    <w:p>
                      <w:pPr>
                        <w:pStyle w:val="FrameContents"/>
                        <w:tabs>
                          <w:tab w:val="clear" w:pos="720"/>
                          <w:tab w:val="left" w:pos="900" w:leader="dot"/>
                          <w:tab w:val="left" w:pos="5760" w:leader="dot"/>
                        </w:tabs>
                        <w:spacing w:lineRule="auto" w:line="240" w:before="0" w:after="0"/>
                        <w:rPr>
                          <w:rFonts w:ascii="Calibri" w:hAnsi="Calibri" w:cs="Calibri"/>
                          <w:szCs w:val="22"/>
                        </w:rPr>
                      </w:pPr>
                      <w:r>
                        <w:rPr>
                          <w:rFonts w:cs="Calibri" w:ascii="Calibri" w:hAnsi="Calibri"/>
                          <w:iCs/>
                          <w:szCs w:val="22"/>
                        </w:rPr>
                        <w:t>rsda</w:t>
                      </w:r>
                      <w:r>
                        <w:rPr>
                          <w:rFonts w:cs="Calibri" w:ascii="Calibri" w:hAnsi="Calibri"/>
                          <w:iCs/>
                          <w:szCs w:val="22"/>
                          <w:vertAlign w:val="subscript"/>
                        </w:rPr>
                        <w:t>i</w:t>
                      </w:r>
                      <w:r>
                        <w:rPr>
                          <w:rFonts w:cs="Calibri" w:ascii="Calibri" w:hAnsi="Calibri"/>
                          <w:i/>
                          <w:szCs w:val="22"/>
                        </w:rPr>
                        <w:t xml:space="preserve"> </w:t>
                        <w:tab/>
                      </w:r>
                      <w:r>
                        <w:rPr>
                          <w:rFonts w:cs="Calibri" w:ascii="Calibri" w:hAnsi="Calibri"/>
                          <w:szCs w:val="22"/>
                        </w:rPr>
                        <w:t>specific dynamic action (fish only)</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szCs w:val="22"/>
                        </w:rPr>
                        <w:t>Pr</w:t>
                        <w:tab/>
                        <w:t xml:space="preserve">loss to predation                                                                   </w:t>
                      </w:r>
                      <w:r>
                        <w:rPr>
                          <w:rFonts w:cs="Calibri" w:ascii="Calibri" w:hAnsi="Calibri"/>
                          <w:iCs/>
                          <w:szCs w:val="22"/>
                        </w:rPr>
                        <w:t>g C/m</w:t>
                      </w:r>
                      <w:r>
                        <w:rPr>
                          <w:rFonts w:cs="Calibri" w:ascii="Calibri" w:hAnsi="Calibri"/>
                          <w:iCs/>
                          <w:szCs w:val="22"/>
                          <w:vertAlign w:val="superscript"/>
                        </w:rPr>
                        <w:t>2</w:t>
                      </w:r>
                      <w:r>
                        <w:rPr>
                          <w:rFonts w:cs="Calibri" w:ascii="Calibri" w:hAnsi="Calibri"/>
                          <w:iCs/>
                          <w:szCs w:val="22"/>
                        </w:rPr>
                        <w:t>/</w:t>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iCs/>
                          <w:szCs w:val="22"/>
                        </w:rPr>
                        <w:t>and,</w:t>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00" w:leader="dot"/>
                          <w:tab w:val="left" w:pos="5760" w:leader="dot"/>
                        </w:tabs>
                        <w:spacing w:lineRule="auto" w:line="240" w:before="0" w:after="0"/>
                        <w:jc w:val="center"/>
                        <w:rPr>
                          <w:rFonts w:ascii="Calibri" w:hAnsi="Calibri" w:cs="Calibri"/>
                          <w:b/>
                          <w:bCs/>
                          <w:iCs/>
                          <w:szCs w:val="22"/>
                        </w:rPr>
                      </w:pPr>
                      <w:r>
                        <w:rPr>
                          <w:rFonts w:cs="Calibri" w:ascii="Calibri" w:hAnsi="Calibri"/>
                          <w:iCs/>
                          <w:szCs w:val="22"/>
                        </w:rPr>
                        <w:t>Pr(Bi) = åi[(Bj Cmj h(Tc) wij aij hij Bi )/(Bj + åiwij aij hij Bi)]</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00" w:leader="dot"/>
                          <w:tab w:val="left" w:pos="5760" w:leader="dot"/>
                        </w:tabs>
                        <w:spacing w:lineRule="auto" w:line="240" w:before="0" w:after="0"/>
                        <w:rPr>
                          <w:rFonts w:ascii="Calibri" w:hAnsi="Calibri" w:cs="Calibri"/>
                          <w:b/>
                          <w:bCs/>
                          <w:iCs/>
                          <w:szCs w:val="22"/>
                        </w:rPr>
                      </w:pPr>
                      <w:r>
                        <w:rPr>
                          <w:rFonts w:cs="Calibri" w:ascii="Calibri" w:hAnsi="Calibri"/>
                          <w:b/>
                          <w:bCs/>
                          <w:iCs/>
                          <w:szCs w:val="22"/>
                        </w:rPr>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where,</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Bj</w:t>
                        <w:tab/>
                        <w:t>biomass of predator population j</w:t>
                        <w:tab/>
                        <w:t>g C/m2</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h(Tc) </w:t>
                        <w:tab/>
                        <w:t xml:space="preserve"> temperature dependence of consumption</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Cij</w:t>
                        <w:tab/>
                        <w:t xml:space="preserve"> rate of consumption by grazer j </w:t>
                        <w:tab/>
                        <w:t>g C/m2/d</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wij</w:t>
                        <w:tab/>
                        <w:t xml:space="preserve"> preference of grazer j for producer i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aij </w:t>
                        <w:tab/>
                        <w:t xml:space="preserve"> assimilation of producer i by grazer j</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 xml:space="preserve">hij </w:t>
                        <w:tab/>
                        <w:t xml:space="preserve"> handling efficiency </w:t>
                        <w:tab/>
                        <w:t>unitless</w:t>
                      </w:r>
                    </w:p>
                    <w:p>
                      <w:pPr>
                        <w:pStyle w:val="FrameContents"/>
                        <w:tabs>
                          <w:tab w:val="clear" w:pos="720"/>
                          <w:tab w:val="left" w:pos="900" w:leader="dot"/>
                          <w:tab w:val="left" w:pos="5760" w:leader="dot"/>
                        </w:tabs>
                        <w:spacing w:lineRule="auto" w:line="240" w:before="0" w:after="0"/>
                        <w:rPr>
                          <w:rFonts w:ascii="Calibri" w:hAnsi="Calibri" w:cs="Calibri"/>
                          <w:iCs/>
                          <w:szCs w:val="22"/>
                        </w:rPr>
                      </w:pPr>
                      <w:r>
                        <w:rPr>
                          <w:rFonts w:cs="Calibri" w:ascii="Calibri" w:hAnsi="Calibri"/>
                          <w:iCs/>
                          <w:szCs w:val="22"/>
                        </w:rPr>
                        <w:t>åi</w:t>
                        <w:tab/>
                        <w:t xml:space="preserve"> sum over prey populations </w:t>
                      </w:r>
                    </w:p>
                    <w:p>
                      <w:pPr>
                        <w:pStyle w:val="FrameContents"/>
                        <w:tabs>
                          <w:tab w:val="clear" w:pos="720"/>
                          <w:tab w:val="left" w:pos="900" w:leader="dot"/>
                          <w:tab w:val="left" w:pos="5760" w:leader="dot"/>
                        </w:tabs>
                        <w:spacing w:before="0" w:after="120"/>
                        <w:rPr/>
                      </w:pPr>
                      <w:r>
                        <w:rPr/>
                      </w:r>
                    </w:p>
                  </w:txbxContent>
                </v:textbox>
                <w10:wrap type="square"/>
              </v:rect>
            </w:pict>
          </mc:Fallback>
        </mc:AlternateContent>
      </w:r>
    </w:p>
    <w:p>
      <w:pPr>
        <w:pStyle w:val="Normal"/>
        <w:spacing w:lineRule="auto" w:line="240" w:before="0" w:after="0"/>
        <w:jc w:val="left"/>
        <w:rPr/>
      </w:pPr>
      <w:r>
        <w:rPr/>
      </w:r>
    </w:p>
    <w:p>
      <w:pPr>
        <w:pStyle w:val="Normal"/>
        <w:spacing w:lineRule="auto" w:line="240" w:before="0" w:after="0"/>
        <w:jc w:val="left"/>
        <w:rPr/>
      </w:pPr>
      <w:r>
        <w:rPr/>
      </w:r>
      <w:r>
        <w:br w:type="page"/>
      </w:r>
    </w:p>
    <w:p>
      <w:pPr>
        <w:pStyle w:val="Normal"/>
        <w:spacing w:before="0" w:after="120"/>
        <w:rPr/>
      </w:pPr>
      <w:r>
        <w:rPr/>
      </w:r>
    </w:p>
    <w:p>
      <w:pPr>
        <w:pStyle w:val="Caption"/>
        <w:rPr/>
      </w:pPr>
      <w:bookmarkStart w:id="177" w:name="_Toc182250934"/>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25</w:t>
      </w:r>
      <w:r>
        <w:rPr/>
        <w:fldChar w:fldCharType="end"/>
      </w:r>
      <w:r>
        <w:rPr/>
        <w:t>. Cross-comparison of CASM and Biogeochemical Model state variables and modeled consumer populations.</w:t>
      </w:r>
      <w:bookmarkEnd w:id="177"/>
    </w:p>
    <w:p>
      <w:pPr>
        <w:pStyle w:val="Normal"/>
        <w:rPr/>
      </w:pPr>
      <w:r>
        <w:rPr/>
      </w:r>
    </w:p>
    <w:tbl>
      <w:tblPr>
        <w:tblStyle w:val="TableGrid"/>
        <w:tblW w:w="561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69"/>
        <w:gridCol w:w="105"/>
        <w:gridCol w:w="1711"/>
        <w:gridCol w:w="55"/>
        <w:gridCol w:w="1835"/>
        <w:gridCol w:w="34"/>
      </w:tblGrid>
      <w:tr>
        <w:trPr/>
        <w:tc>
          <w:tcPr>
            <w:tcW w:w="5609" w:type="dxa"/>
            <w:gridSpan w:val="6"/>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Model State Variables</w:t>
            </w:r>
          </w:p>
        </w:tc>
      </w:tr>
      <w:tr>
        <w:trPr/>
        <w:tc>
          <w:tcPr>
            <w:tcW w:w="1869"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 xml:space="preserve">State variable </w:t>
            </w:r>
          </w:p>
        </w:tc>
        <w:tc>
          <w:tcPr>
            <w:tcW w:w="1871" w:type="dxa"/>
            <w:gridSpan w:val="3"/>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BGC</w:t>
            </w:r>
          </w:p>
        </w:tc>
        <w:tc>
          <w:tcPr>
            <w:tcW w:w="1869"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CASM-STA</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DIPw</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DOPw</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PIPw</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POPw</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XX</w:t>
            </w:r>
            <w:r>
              <w:rPr>
                <w:rFonts w:eastAsia="Times New Roman" w:cs="Calibri" w:ascii="Calibri" w:hAnsi="Calibri"/>
                <w:kern w:val="0"/>
                <w:szCs w:val="22"/>
                <w:vertAlign w:val="superscript"/>
                <w:lang w:val="en-US" w:eastAsia="en-US" w:bidi="ar-SA"/>
              </w:rPr>
              <w:t>a</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DIPs</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DOPs</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PIPs</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POPs</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Floc</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Litter</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EAV shoots</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EAV roots</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SAV</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Periphyton</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1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Phytoplankton</w:t>
            </w:r>
          </w:p>
        </w:tc>
        <w:tc>
          <w:tcPr>
            <w:tcW w:w="1871" w:type="dxa"/>
            <w:gridSpan w:val="3"/>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1869"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r>
      <w:tr>
        <w:trPr/>
        <w:tc>
          <w:tcPr>
            <w:tcW w:w="5575" w:type="dxa"/>
            <w:gridSpan w:val="5"/>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r>
          </w:p>
        </w:tc>
        <w:tc>
          <w:tcPr>
            <w:tcW w:w="34" w:type="dxa"/>
            <w:tcBorders>
              <w:top w:val="nil"/>
              <w:left w:val="nil"/>
              <w:bottom w:val="nil"/>
              <w:right w:val="nil"/>
            </w:tcBorders>
          </w:tcPr>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r>
        <w:trPr/>
        <w:tc>
          <w:tcPr>
            <w:tcW w:w="5575" w:type="dxa"/>
            <w:gridSpan w:val="5"/>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Modeled Consumer Populations</w:t>
            </w:r>
          </w:p>
        </w:tc>
        <w:tc>
          <w:tcPr>
            <w:tcW w:w="34" w:type="dxa"/>
            <w:tcBorders>
              <w:top w:val="nil"/>
              <w:left w:val="nil"/>
              <w:bottom w:val="nil"/>
              <w:right w:val="nil"/>
            </w:tcBorders>
          </w:tcPr>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r>
        <w:trPr/>
        <w:tc>
          <w:tcPr>
            <w:tcW w:w="1974" w:type="dxa"/>
            <w:gridSpan w:val="2"/>
            <w:tcBorders/>
          </w:tcPr>
          <w:p>
            <w:pPr>
              <w:pStyle w:val="Normal"/>
              <w:widowControl w:val="false"/>
              <w:spacing w:lineRule="auto" w:line="240" w:before="0" w:after="0"/>
              <w:rPr>
                <w:rFonts w:ascii="Calibri" w:hAnsi="Calibri" w:cs="Calibri"/>
                <w:szCs w:val="22"/>
              </w:rPr>
            </w:pPr>
            <w:r>
              <w:rPr>
                <w:rFonts w:eastAsia="Times New Roman" w:cs="Calibri" w:ascii="Calibri" w:hAnsi="Calibri"/>
                <w:b/>
                <w:bCs/>
                <w:kern w:val="0"/>
                <w:szCs w:val="22"/>
                <w:lang w:val="en-US" w:eastAsia="en-US" w:bidi="ar-SA"/>
              </w:rPr>
              <w:t xml:space="preserve">State variable </w:t>
            </w:r>
          </w:p>
        </w:tc>
        <w:tc>
          <w:tcPr>
            <w:tcW w:w="171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b/>
                <w:bCs/>
                <w:kern w:val="0"/>
                <w:szCs w:val="22"/>
                <w:lang w:val="en-US" w:eastAsia="en-US" w:bidi="ar-SA"/>
              </w:rPr>
              <w:t>BGC</w:t>
            </w:r>
          </w:p>
        </w:tc>
        <w:tc>
          <w:tcPr>
            <w:tcW w:w="1890"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b/>
                <w:bCs/>
                <w:kern w:val="0"/>
                <w:szCs w:val="22"/>
                <w:lang w:val="en-US" w:eastAsia="en-US" w:bidi="ar-SA"/>
              </w:rPr>
              <w:t>CASM-STA</w:t>
            </w:r>
          </w:p>
        </w:tc>
        <w:tc>
          <w:tcPr>
            <w:tcW w:w="34" w:type="dxa"/>
            <w:tcBorders>
              <w:top w:val="nil"/>
              <w:left w:val="nil"/>
              <w:bottom w:val="nil"/>
              <w:right w:val="nil"/>
            </w:tcBorders>
          </w:tcPr>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r>
        <w:trPr/>
        <w:tc>
          <w:tcPr>
            <w:tcW w:w="1974" w:type="dxa"/>
            <w:gridSpan w:val="2"/>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Zooplankton</w:t>
            </w:r>
          </w:p>
        </w:tc>
        <w:tc>
          <w:tcPr>
            <w:tcW w:w="1711" w:type="dxa"/>
            <w:vMerge w:val="restart"/>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grazing</w:t>
            </w:r>
          </w:p>
        </w:tc>
        <w:tc>
          <w:tcPr>
            <w:tcW w:w="1890"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34" w:type="dxa"/>
            <w:tcBorders>
              <w:top w:val="nil"/>
              <w:left w:val="nil"/>
              <w:bottom w:val="nil"/>
              <w:right w:val="nil"/>
            </w:tcBorders>
          </w:tcPr>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r>
        <w:trPr/>
        <w:tc>
          <w:tcPr>
            <w:tcW w:w="1974" w:type="dxa"/>
            <w:gridSpan w:val="2"/>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 xml:space="preserve">Infauna </w:t>
            </w:r>
          </w:p>
        </w:tc>
        <w:tc>
          <w:tcPr>
            <w:tcW w:w="1711" w:type="dxa"/>
            <w:vMerge w:val="continue"/>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890"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34" w:type="dxa"/>
            <w:tcBorders>
              <w:top w:val="nil"/>
              <w:left w:val="nil"/>
              <w:bottom w:val="nil"/>
              <w:right w:val="nil"/>
            </w:tcBorders>
          </w:tcPr>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r>
        <w:trPr/>
        <w:tc>
          <w:tcPr>
            <w:tcW w:w="1974" w:type="dxa"/>
            <w:gridSpan w:val="2"/>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Grass shrimp</w:t>
            </w:r>
          </w:p>
        </w:tc>
        <w:tc>
          <w:tcPr>
            <w:tcW w:w="1711" w:type="dxa"/>
            <w:vMerge w:val="continue"/>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890"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34" w:type="dxa"/>
            <w:tcBorders>
              <w:top w:val="nil"/>
              <w:left w:val="nil"/>
              <w:bottom w:val="nil"/>
              <w:right w:val="nil"/>
            </w:tcBorders>
          </w:tcPr>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r>
        <w:trPr/>
        <w:tc>
          <w:tcPr>
            <w:tcW w:w="1974" w:type="dxa"/>
            <w:gridSpan w:val="2"/>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Largemouth bass</w:t>
            </w:r>
          </w:p>
        </w:tc>
        <w:tc>
          <w:tcPr>
            <w:tcW w:w="1711" w:type="dxa"/>
            <w:vMerge w:val="continue"/>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890"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34" w:type="dxa"/>
            <w:tcBorders>
              <w:top w:val="nil"/>
              <w:left w:val="nil"/>
              <w:bottom w:val="nil"/>
              <w:right w:val="nil"/>
            </w:tcBorders>
          </w:tcPr>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r>
        <w:trPr/>
        <w:tc>
          <w:tcPr>
            <w:tcW w:w="1974" w:type="dxa"/>
            <w:gridSpan w:val="2"/>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Tilapia</w:t>
            </w:r>
          </w:p>
        </w:tc>
        <w:tc>
          <w:tcPr>
            <w:tcW w:w="1711" w:type="dxa"/>
            <w:vMerge w:val="continue"/>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890"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34" w:type="dxa"/>
            <w:tcBorders>
              <w:top w:val="nil"/>
              <w:left w:val="nil"/>
              <w:bottom w:val="nil"/>
              <w:right w:val="nil"/>
            </w:tcBorders>
          </w:tcPr>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r>
        <w:trPr/>
        <w:tc>
          <w:tcPr>
            <w:tcW w:w="1974" w:type="dxa"/>
            <w:gridSpan w:val="2"/>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Mosquitofish</w:t>
            </w:r>
          </w:p>
        </w:tc>
        <w:tc>
          <w:tcPr>
            <w:tcW w:w="1711" w:type="dxa"/>
            <w:vMerge w:val="continue"/>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890" w:type="dxa"/>
            <w:gridSpan w:val="2"/>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X</w:t>
            </w:r>
          </w:p>
        </w:tc>
        <w:tc>
          <w:tcPr>
            <w:tcW w:w="34" w:type="dxa"/>
            <w:tcBorders>
              <w:top w:val="nil"/>
              <w:left w:val="nil"/>
              <w:bottom w:val="nil"/>
              <w:right w:val="nil"/>
            </w:tcBorders>
          </w:tcPr>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bl>
    <w:p>
      <w:pPr>
        <w:pStyle w:val="Normal"/>
        <w:spacing w:lineRule="auto" w:line="240" w:before="0" w:after="0"/>
        <w:ind w:left="1890"/>
        <w:jc w:val="left"/>
        <w:rPr>
          <w:rFonts w:ascii="Calibri" w:hAnsi="Calibri" w:cs="Calibri"/>
          <w:sz w:val="18"/>
          <w:szCs w:val="18"/>
        </w:rPr>
      </w:pPr>
      <w:r>
        <w:rPr>
          <w:rFonts w:cs="Calibri" w:ascii="Calibri" w:hAnsi="Calibri"/>
          <w:sz w:val="18"/>
          <w:szCs w:val="18"/>
          <w:vertAlign w:val="superscript"/>
        </w:rPr>
        <w:t>a</w:t>
      </w:r>
      <w:r>
        <w:rPr>
          <w:rFonts w:cs="Calibri" w:ascii="Calibri" w:hAnsi="Calibri"/>
          <w:sz w:val="18"/>
          <w:szCs w:val="18"/>
        </w:rPr>
        <w:t xml:space="preserve">XX denotes additional complexity in CASM-STA which includes suspended </w:t>
        <w:br/>
        <w:t xml:space="preserve">        POC and sediment POC</w:t>
      </w:r>
    </w:p>
    <w:p>
      <w:pPr>
        <w:pStyle w:val="Normal"/>
        <w:rPr/>
      </w:pPr>
      <w:r>
        <w:rPr/>
      </w:r>
    </w:p>
    <w:p>
      <w:pPr>
        <w:pStyle w:val="Normal"/>
        <w:spacing w:lineRule="auto" w:line="240" w:before="0" w:after="0"/>
        <w:jc w:val="left"/>
        <w:rPr/>
      </w:pPr>
      <w:r>
        <w:rPr/>
      </w:r>
      <w:r>
        <w:br w:type="page"/>
      </w:r>
    </w:p>
    <w:p>
      <w:pPr>
        <w:pStyle w:val="Caption"/>
        <w:spacing w:before="0" w:after="60"/>
        <w:rPr/>
      </w:pPr>
      <w:bookmarkStart w:id="178" w:name="_Hlk170470742"/>
      <w:bookmarkStart w:id="179" w:name="_Toc182250935"/>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26</w:t>
      </w:r>
      <w:r>
        <w:rPr/>
        <w:fldChar w:fldCharType="end"/>
      </w:r>
      <w:r>
        <w:rPr/>
        <w:t>. List of CASM-STA bioenergetics-based parameters for aquatic plants.</w:t>
      </w:r>
      <w:bookmarkEnd w:id="178"/>
      <w:bookmarkEnd w:id="179"/>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5"/>
        <w:gridCol w:w="810"/>
        <w:gridCol w:w="899"/>
        <w:gridCol w:w="1170"/>
        <w:gridCol w:w="963"/>
        <w:gridCol w:w="856"/>
        <w:gridCol w:w="881"/>
        <w:gridCol w:w="991"/>
        <w:gridCol w:w="809"/>
        <w:gridCol w:w="905"/>
      </w:tblGrid>
      <w:tr>
        <w:trPr/>
        <w:tc>
          <w:tcPr>
            <w:tcW w:w="1075"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Plant</w:t>
            </w:r>
          </w:p>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population</w:t>
            </w:r>
          </w:p>
        </w:tc>
        <w:tc>
          <w:tcPr>
            <w:tcW w:w="810"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Pmax</w:t>
            </w:r>
          </w:p>
        </w:tc>
        <w:tc>
          <w:tcPr>
            <w:tcW w:w="89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Topt</w:t>
            </w:r>
          </w:p>
        </w:tc>
        <w:tc>
          <w:tcPr>
            <w:tcW w:w="1170"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Light</w:t>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Sat-uration</w:t>
            </w:r>
          </w:p>
        </w:tc>
        <w:tc>
          <w:tcPr>
            <w:tcW w:w="963"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kP</w:t>
            </w:r>
          </w:p>
        </w:tc>
        <w:tc>
          <w:tcPr>
            <w:tcW w:w="856"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kN</w:t>
            </w:r>
          </w:p>
        </w:tc>
        <w:tc>
          <w:tcPr>
            <w:tcW w:w="881"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Mort</w:t>
            </w:r>
          </w:p>
        </w:tc>
        <w:tc>
          <w:tcPr>
            <w:tcW w:w="991"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Photo-resp</w:t>
            </w:r>
          </w:p>
        </w:tc>
        <w:tc>
          <w:tcPr>
            <w:tcW w:w="80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Dark-</w:t>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Resp</w:t>
            </w:r>
          </w:p>
        </w:tc>
        <w:tc>
          <w:tcPr>
            <w:tcW w:w="905"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Sinking</w:t>
            </w:r>
          </w:p>
        </w:tc>
      </w:tr>
      <w:tr>
        <w:trPr/>
        <w:tc>
          <w:tcPr>
            <w:tcW w:w="1075"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810"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1/d</w:t>
            </w:r>
          </w:p>
        </w:tc>
        <w:tc>
          <w:tcPr>
            <w:tcW w:w="89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deg C</w:t>
            </w:r>
          </w:p>
        </w:tc>
        <w:tc>
          <w:tcPr>
            <w:tcW w:w="1170"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Eins/m2/d</w:t>
            </w:r>
          </w:p>
        </w:tc>
        <w:tc>
          <w:tcPr>
            <w:tcW w:w="963"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mg P/L</w:t>
            </w:r>
          </w:p>
        </w:tc>
        <w:tc>
          <w:tcPr>
            <w:tcW w:w="856"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mg N/L</w:t>
            </w:r>
          </w:p>
        </w:tc>
        <w:tc>
          <w:tcPr>
            <w:tcW w:w="881"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1/d</w:t>
            </w:r>
          </w:p>
        </w:tc>
        <w:tc>
          <w:tcPr>
            <w:tcW w:w="991"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unitless</w:t>
            </w:r>
          </w:p>
        </w:tc>
        <w:tc>
          <w:tcPr>
            <w:tcW w:w="80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1/d</w:t>
            </w:r>
          </w:p>
        </w:tc>
        <w:tc>
          <w:tcPr>
            <w:tcW w:w="905"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m/d</w:t>
            </w:r>
          </w:p>
        </w:tc>
      </w:tr>
      <w:tr>
        <w:trPr/>
        <w:tc>
          <w:tcPr>
            <w:tcW w:w="1075"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Phyto-plankton</w:t>
            </w:r>
          </w:p>
        </w:tc>
        <w:tc>
          <w:tcPr>
            <w:tcW w:w="81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1.150</w:t>
            </w:r>
          </w:p>
        </w:tc>
        <w:tc>
          <w:tcPr>
            <w:tcW w:w="89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14-34</w:t>
            </w:r>
          </w:p>
        </w:tc>
        <w:tc>
          <w:tcPr>
            <w:tcW w:w="117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10</w:t>
            </w:r>
          </w:p>
        </w:tc>
        <w:tc>
          <w:tcPr>
            <w:tcW w:w="9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0.010</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w:t>
            </w:r>
          </w:p>
        </w:tc>
        <w:tc>
          <w:tcPr>
            <w:tcW w:w="88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0.071</w:t>
            </w:r>
          </w:p>
        </w:tc>
        <w:tc>
          <w:tcPr>
            <w:tcW w:w="99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0.020</w:t>
            </w:r>
          </w:p>
        </w:tc>
        <w:tc>
          <w:tcPr>
            <w:tcW w:w="80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0.002</w:t>
            </w:r>
          </w:p>
        </w:tc>
        <w:tc>
          <w:tcPr>
            <w:tcW w:w="90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0.25</w:t>
            </w:r>
            <w:r>
              <w:rPr>
                <w:rFonts w:eastAsia="Times New Roman" w:cs="Calibri" w:ascii="Calibri" w:hAnsi="Calibri"/>
                <w:kern w:val="0"/>
                <w:szCs w:val="22"/>
                <w:vertAlign w:val="superscript"/>
                <w:lang w:val="en-US" w:eastAsia="en-US" w:bidi="ar-SA"/>
              </w:rPr>
              <w:t>c</w:t>
            </w:r>
          </w:p>
        </w:tc>
      </w:tr>
      <w:tr>
        <w:trPr/>
        <w:tc>
          <w:tcPr>
            <w:tcW w:w="1075"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Peri-phyton</w:t>
            </w:r>
          </w:p>
        </w:tc>
        <w:tc>
          <w:tcPr>
            <w:tcW w:w="81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0.250</w:t>
            </w:r>
          </w:p>
        </w:tc>
        <w:tc>
          <w:tcPr>
            <w:tcW w:w="89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14-32</w:t>
            </w:r>
          </w:p>
        </w:tc>
        <w:tc>
          <w:tcPr>
            <w:tcW w:w="117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8</w:t>
            </w:r>
          </w:p>
        </w:tc>
        <w:tc>
          <w:tcPr>
            <w:tcW w:w="9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0.020</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0.40</w:t>
            </w:r>
          </w:p>
        </w:tc>
        <w:tc>
          <w:tcPr>
            <w:tcW w:w="88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0.063</w:t>
            </w:r>
          </w:p>
        </w:tc>
        <w:tc>
          <w:tcPr>
            <w:tcW w:w="99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0.030</w:t>
            </w:r>
          </w:p>
        </w:tc>
        <w:tc>
          <w:tcPr>
            <w:tcW w:w="80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0.005</w:t>
            </w:r>
          </w:p>
        </w:tc>
        <w:tc>
          <w:tcPr>
            <w:tcW w:w="90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w:t>
            </w:r>
          </w:p>
        </w:tc>
      </w:tr>
      <w:tr>
        <w:trPr/>
        <w:tc>
          <w:tcPr>
            <w:tcW w:w="1075"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SAV</w:t>
            </w:r>
          </w:p>
        </w:tc>
        <w:tc>
          <w:tcPr>
            <w:tcW w:w="81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0.026</w:t>
            </w:r>
          </w:p>
        </w:tc>
        <w:tc>
          <w:tcPr>
            <w:tcW w:w="89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16-34</w:t>
            </w:r>
          </w:p>
        </w:tc>
        <w:tc>
          <w:tcPr>
            <w:tcW w:w="117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8</w:t>
            </w:r>
          </w:p>
        </w:tc>
        <w:tc>
          <w:tcPr>
            <w:tcW w:w="9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0.005</w:t>
            </w:r>
            <w:r>
              <w:rPr>
                <w:rFonts w:eastAsia="Times New Roman" w:cs="Calibri" w:ascii="Calibri" w:hAnsi="Calibri"/>
                <w:kern w:val="0"/>
                <w:szCs w:val="22"/>
                <w:vertAlign w:val="superscript"/>
                <w:lang w:val="en-US" w:eastAsia="en-US" w:bidi="ar-SA"/>
              </w:rPr>
              <w:t>b</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w:t>
            </w:r>
            <w:r>
              <w:rPr>
                <w:rFonts w:eastAsia="Times New Roman" w:cs="Calibri" w:ascii="Calibri" w:hAnsi="Calibri"/>
                <w:kern w:val="0"/>
                <w:szCs w:val="22"/>
                <w:vertAlign w:val="superscript"/>
                <w:lang w:val="en-US" w:eastAsia="en-US" w:bidi="ar-SA"/>
              </w:rPr>
              <w:t>b</w:t>
            </w:r>
          </w:p>
        </w:tc>
        <w:tc>
          <w:tcPr>
            <w:tcW w:w="88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0.004</w:t>
            </w:r>
          </w:p>
        </w:tc>
        <w:tc>
          <w:tcPr>
            <w:tcW w:w="99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0.035</w:t>
            </w:r>
          </w:p>
        </w:tc>
        <w:tc>
          <w:tcPr>
            <w:tcW w:w="80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0.005</w:t>
            </w:r>
          </w:p>
        </w:tc>
        <w:tc>
          <w:tcPr>
            <w:tcW w:w="90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w:t>
            </w:r>
          </w:p>
        </w:tc>
      </w:tr>
      <w:tr>
        <w:trPr/>
        <w:tc>
          <w:tcPr>
            <w:tcW w:w="1075"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EAV</w:t>
            </w:r>
          </w:p>
        </w:tc>
        <w:tc>
          <w:tcPr>
            <w:tcW w:w="81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0.024</w:t>
            </w:r>
          </w:p>
        </w:tc>
        <w:tc>
          <w:tcPr>
            <w:tcW w:w="89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20-30</w:t>
            </w:r>
          </w:p>
        </w:tc>
        <w:tc>
          <w:tcPr>
            <w:tcW w:w="117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w:t>
            </w:r>
            <w:r>
              <w:rPr>
                <w:rFonts w:eastAsia="Times New Roman" w:cs="Calibri" w:ascii="Calibri" w:hAnsi="Calibri"/>
                <w:kern w:val="0"/>
                <w:szCs w:val="22"/>
                <w:vertAlign w:val="superscript"/>
                <w:lang w:val="en-US" w:eastAsia="en-US" w:bidi="ar-SA"/>
              </w:rPr>
              <w:t>a</w:t>
            </w:r>
          </w:p>
        </w:tc>
        <w:tc>
          <w:tcPr>
            <w:tcW w:w="9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0.004</w:t>
            </w:r>
            <w:r>
              <w:rPr>
                <w:rFonts w:eastAsia="Times New Roman" w:cs="Calibri" w:ascii="Calibri" w:hAnsi="Calibri"/>
                <w:kern w:val="0"/>
                <w:szCs w:val="22"/>
                <w:vertAlign w:val="superscript"/>
                <w:lang w:val="en-US" w:eastAsia="en-US" w:bidi="ar-SA"/>
              </w:rPr>
              <w:t>b</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w:t>
            </w:r>
            <w:r>
              <w:rPr>
                <w:rFonts w:eastAsia="Times New Roman" w:cs="Calibri" w:ascii="Calibri" w:hAnsi="Calibri"/>
                <w:kern w:val="0"/>
                <w:szCs w:val="22"/>
                <w:vertAlign w:val="superscript"/>
                <w:lang w:val="en-US" w:eastAsia="en-US" w:bidi="ar-SA"/>
              </w:rPr>
              <w:t>b</w:t>
            </w:r>
          </w:p>
        </w:tc>
        <w:tc>
          <w:tcPr>
            <w:tcW w:w="88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0.004</w:t>
            </w:r>
          </w:p>
        </w:tc>
        <w:tc>
          <w:tcPr>
            <w:tcW w:w="99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0.035</w:t>
            </w:r>
          </w:p>
        </w:tc>
        <w:tc>
          <w:tcPr>
            <w:tcW w:w="80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0.004</w:t>
            </w:r>
          </w:p>
        </w:tc>
        <w:tc>
          <w:tcPr>
            <w:tcW w:w="90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w:t>
            </w:r>
          </w:p>
        </w:tc>
      </w:tr>
    </w:tbl>
    <w:p>
      <w:pPr>
        <w:pStyle w:val="Normal"/>
        <w:spacing w:lineRule="auto" w:line="240" w:before="0" w:after="0"/>
        <w:rPr>
          <w:rFonts w:ascii="Calibri" w:hAnsi="Calibri" w:cs="Calibri" w:asciiTheme="minorHAnsi" w:cstheme="minorHAnsi" w:hAnsiTheme="minorHAnsi"/>
          <w:sz w:val="20"/>
        </w:rPr>
      </w:pPr>
      <w:r>
        <w:rPr>
          <w:rFonts w:cs="Calibri" w:ascii="Calibri" w:hAnsi="Calibri" w:asciiTheme="minorHAnsi" w:cstheme="minorHAnsi" w:hAnsiTheme="minorHAnsi"/>
          <w:sz w:val="20"/>
          <w:vertAlign w:val="superscript"/>
        </w:rPr>
        <w:t>a</w:t>
      </w:r>
      <w:r>
        <w:rPr>
          <w:rFonts w:cs="Calibri" w:ascii="Calibri" w:hAnsi="Calibri" w:asciiTheme="minorHAnsi" w:cstheme="minorHAnsi" w:hAnsiTheme="minorHAnsi"/>
          <w:sz w:val="20"/>
        </w:rPr>
        <w:t>EAV assumed not light limited; BGC model uses a light saturation value of 150 µmoles m</w:t>
      </w:r>
      <w:r>
        <w:rPr>
          <w:rFonts w:cs="Calibri" w:ascii="Calibri" w:hAnsi="Calibri" w:asciiTheme="minorHAnsi" w:cstheme="minorHAnsi" w:hAnsiTheme="minorHAnsi"/>
          <w:sz w:val="20"/>
          <w:vertAlign w:val="superscript"/>
        </w:rPr>
        <w:t>-2</w:t>
      </w:r>
      <w:r>
        <w:rPr>
          <w:rFonts w:cs="Calibri" w:ascii="Calibri" w:hAnsi="Calibri" w:asciiTheme="minorHAnsi" w:cstheme="minorHAnsi" w:hAnsiTheme="minorHAnsi"/>
          <w:sz w:val="20"/>
        </w:rPr>
        <w:t xml:space="preserve"> s</w:t>
      </w:r>
      <w:r>
        <w:rPr>
          <w:rFonts w:cs="Calibri" w:ascii="Calibri" w:hAnsi="Calibri" w:asciiTheme="minorHAnsi" w:cstheme="minorHAnsi" w:hAnsiTheme="minorHAnsi"/>
          <w:sz w:val="20"/>
          <w:vertAlign w:val="superscript"/>
        </w:rPr>
        <w:t>-1</w:t>
      </w:r>
    </w:p>
    <w:p>
      <w:pPr>
        <w:pStyle w:val="Normal"/>
        <w:spacing w:lineRule="auto" w:line="240" w:before="0" w:after="0"/>
        <w:rPr>
          <w:rFonts w:ascii="Calibri" w:hAnsi="Calibri" w:cs="Calibri" w:asciiTheme="minorHAnsi" w:cstheme="minorHAnsi" w:hAnsiTheme="minorHAnsi"/>
          <w:sz w:val="20"/>
        </w:rPr>
      </w:pPr>
      <w:r>
        <w:rPr>
          <w:rFonts w:cs="Calibri" w:ascii="Calibri" w:hAnsi="Calibri" w:asciiTheme="minorHAnsi" w:cstheme="minorHAnsi" w:hAnsiTheme="minorHAnsi"/>
          <w:sz w:val="20"/>
          <w:vertAlign w:val="superscript"/>
        </w:rPr>
        <w:t>b</w:t>
      </w:r>
      <w:r>
        <w:rPr>
          <w:rFonts w:cs="Calibri" w:ascii="Calibri" w:hAnsi="Calibri" w:asciiTheme="minorHAnsi" w:cstheme="minorHAnsi" w:hAnsiTheme="minorHAnsi"/>
          <w:sz w:val="20"/>
        </w:rPr>
        <w:t>units are g P/m</w:t>
      </w:r>
      <w:r>
        <w:rPr>
          <w:rFonts w:cs="Calibri" w:ascii="Calibri" w:hAnsi="Calibri" w:asciiTheme="minorHAnsi" w:cstheme="minorHAnsi" w:hAnsiTheme="minorHAnsi"/>
          <w:sz w:val="20"/>
          <w:vertAlign w:val="superscript"/>
        </w:rPr>
        <w:t>2</w:t>
      </w:r>
      <w:r>
        <w:rPr>
          <w:rFonts w:cs="Calibri" w:ascii="Calibri" w:hAnsi="Calibri" w:asciiTheme="minorHAnsi" w:cstheme="minorHAnsi" w:hAnsiTheme="minorHAnsi"/>
          <w:sz w:val="20"/>
        </w:rPr>
        <w:t xml:space="preserve"> for SAV and EAV; kP values taken from the BGC model (Table 2-7).</w:t>
      </w:r>
    </w:p>
    <w:p>
      <w:pPr>
        <w:pStyle w:val="Normal"/>
        <w:spacing w:lineRule="auto" w:line="240" w:before="0" w:after="0"/>
        <w:rPr>
          <w:rFonts w:ascii="Calibri" w:hAnsi="Calibri" w:cs="Calibri" w:asciiTheme="minorHAnsi" w:cstheme="minorHAnsi" w:hAnsiTheme="minorHAnsi"/>
          <w:sz w:val="20"/>
        </w:rPr>
      </w:pPr>
      <w:r>
        <w:rPr>
          <w:rFonts w:cs="Calibri" w:ascii="Calibri" w:hAnsi="Calibri" w:asciiTheme="minorHAnsi" w:cstheme="minorHAnsi" w:hAnsiTheme="minorHAnsi"/>
          <w:sz w:val="20"/>
          <w:vertAlign w:val="superscript"/>
        </w:rPr>
        <w:t>c</w:t>
      </w:r>
      <w:r>
        <w:rPr>
          <w:rFonts w:cs="Calibri" w:ascii="Calibri" w:hAnsi="Calibri" w:asciiTheme="minorHAnsi" w:cstheme="minorHAnsi" w:hAnsiTheme="minorHAnsi"/>
          <w:sz w:val="20"/>
        </w:rPr>
        <w:t>phytoplankton only</w:t>
      </w:r>
    </w:p>
    <w:p>
      <w:pPr>
        <w:pStyle w:val="Normal"/>
        <w:rPr/>
      </w:pPr>
      <w:r>
        <w:rPr/>
      </w:r>
    </w:p>
    <w:p>
      <w:pPr>
        <w:pStyle w:val="Caption"/>
        <w:rPr/>
      </w:pPr>
      <w:bookmarkStart w:id="180" w:name="_Toc182250936"/>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27</w:t>
      </w:r>
      <w:r>
        <w:rPr/>
        <w:fldChar w:fldCharType="end"/>
      </w:r>
      <w:r>
        <w:rPr/>
        <w:t>. List of CASM-STA bioenergetics-based parameters for aquatic consumer populations.</w:t>
      </w:r>
      <w:bookmarkEnd w:id="180"/>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19"/>
        <w:gridCol w:w="1185"/>
        <w:gridCol w:w="901"/>
        <w:gridCol w:w="1174"/>
        <w:gridCol w:w="1422"/>
        <w:gridCol w:w="1063"/>
        <w:gridCol w:w="1061"/>
        <w:gridCol w:w="1134"/>
      </w:tblGrid>
      <w:tr>
        <w:trPr/>
        <w:tc>
          <w:tcPr>
            <w:tcW w:w="1419"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Consumer</w:t>
            </w:r>
          </w:p>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population</w:t>
            </w:r>
          </w:p>
        </w:tc>
        <w:tc>
          <w:tcPr>
            <w:tcW w:w="1185"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Cmax</w:t>
            </w:r>
          </w:p>
        </w:tc>
        <w:tc>
          <w:tcPr>
            <w:tcW w:w="901"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Topt</w:t>
            </w:r>
          </w:p>
        </w:tc>
        <w:tc>
          <w:tcPr>
            <w:tcW w:w="1174"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Specific dynamic action</w:t>
            </w:r>
          </w:p>
        </w:tc>
        <w:tc>
          <w:tcPr>
            <w:tcW w:w="1422"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Standard resp</w:t>
            </w:r>
          </w:p>
        </w:tc>
        <w:tc>
          <w:tcPr>
            <w:tcW w:w="1063"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Egestion</w:t>
            </w:r>
          </w:p>
        </w:tc>
        <w:tc>
          <w:tcPr>
            <w:tcW w:w="1061"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Excretion</w:t>
            </w:r>
          </w:p>
        </w:tc>
        <w:tc>
          <w:tcPr>
            <w:tcW w:w="1134"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Mortality</w:t>
            </w:r>
          </w:p>
        </w:tc>
      </w:tr>
      <w:tr>
        <w:trPr/>
        <w:tc>
          <w:tcPr>
            <w:tcW w:w="1419"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r>
          </w:p>
        </w:tc>
        <w:tc>
          <w:tcPr>
            <w:tcW w:w="118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1/d</w:t>
            </w:r>
          </w:p>
        </w:tc>
        <w:tc>
          <w:tcPr>
            <w:tcW w:w="90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deg C</w:t>
            </w:r>
          </w:p>
        </w:tc>
        <w:tc>
          <w:tcPr>
            <w:tcW w:w="117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unitless</w:t>
            </w:r>
          </w:p>
        </w:tc>
        <w:tc>
          <w:tcPr>
            <w:tcW w:w="142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1/d</w:t>
            </w:r>
          </w:p>
        </w:tc>
        <w:tc>
          <w:tcPr>
            <w:tcW w:w="10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1/d</w:t>
            </w:r>
          </w:p>
        </w:tc>
        <w:tc>
          <w:tcPr>
            <w:tcW w:w="106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1/d</w:t>
            </w:r>
          </w:p>
        </w:tc>
        <w:tc>
          <w:tcPr>
            <w:tcW w:w="113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1/d</w:t>
            </w:r>
          </w:p>
        </w:tc>
      </w:tr>
      <w:tr>
        <w:trPr/>
        <w:tc>
          <w:tcPr>
            <w:tcW w:w="1419"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Zooplankton</w:t>
            </w:r>
          </w:p>
        </w:tc>
        <w:tc>
          <w:tcPr>
            <w:tcW w:w="118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1.150</w:t>
            </w:r>
          </w:p>
        </w:tc>
        <w:tc>
          <w:tcPr>
            <w:tcW w:w="90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16-33</w:t>
            </w:r>
          </w:p>
        </w:tc>
        <w:tc>
          <w:tcPr>
            <w:tcW w:w="117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w:t>
            </w:r>
          </w:p>
        </w:tc>
        <w:tc>
          <w:tcPr>
            <w:tcW w:w="142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0.0125</w:t>
            </w:r>
          </w:p>
        </w:tc>
        <w:tc>
          <w:tcPr>
            <w:tcW w:w="10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0.015</w:t>
            </w:r>
          </w:p>
        </w:tc>
        <w:tc>
          <w:tcPr>
            <w:tcW w:w="106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0.020</w:t>
            </w:r>
          </w:p>
        </w:tc>
        <w:tc>
          <w:tcPr>
            <w:tcW w:w="113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0.0100</w:t>
            </w:r>
          </w:p>
        </w:tc>
      </w:tr>
      <w:tr>
        <w:trPr/>
        <w:tc>
          <w:tcPr>
            <w:tcW w:w="1419"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Mosquitofish</w:t>
            </w:r>
          </w:p>
        </w:tc>
        <w:tc>
          <w:tcPr>
            <w:tcW w:w="118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0.250</w:t>
            </w:r>
          </w:p>
        </w:tc>
        <w:tc>
          <w:tcPr>
            <w:tcW w:w="90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18-32</w:t>
            </w:r>
          </w:p>
        </w:tc>
        <w:tc>
          <w:tcPr>
            <w:tcW w:w="117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0.172</w:t>
            </w:r>
          </w:p>
        </w:tc>
        <w:tc>
          <w:tcPr>
            <w:tcW w:w="142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0.0196</w:t>
            </w:r>
          </w:p>
        </w:tc>
        <w:tc>
          <w:tcPr>
            <w:tcW w:w="10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0.200</w:t>
            </w:r>
          </w:p>
        </w:tc>
        <w:tc>
          <w:tcPr>
            <w:tcW w:w="106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0.030</w:t>
            </w:r>
          </w:p>
        </w:tc>
        <w:tc>
          <w:tcPr>
            <w:tcW w:w="113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0.0016</w:t>
            </w:r>
          </w:p>
        </w:tc>
      </w:tr>
      <w:tr>
        <w:trPr/>
        <w:tc>
          <w:tcPr>
            <w:tcW w:w="1419"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Largemouth bass</w:t>
            </w:r>
          </w:p>
        </w:tc>
        <w:tc>
          <w:tcPr>
            <w:tcW w:w="118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0.026</w:t>
            </w:r>
          </w:p>
        </w:tc>
        <w:tc>
          <w:tcPr>
            <w:tcW w:w="90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16-33</w:t>
            </w:r>
          </w:p>
        </w:tc>
        <w:tc>
          <w:tcPr>
            <w:tcW w:w="117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0.140</w:t>
            </w:r>
          </w:p>
        </w:tc>
        <w:tc>
          <w:tcPr>
            <w:tcW w:w="142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0.0028</w:t>
            </w:r>
          </w:p>
        </w:tc>
        <w:tc>
          <w:tcPr>
            <w:tcW w:w="10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0.200</w:t>
            </w:r>
          </w:p>
        </w:tc>
        <w:tc>
          <w:tcPr>
            <w:tcW w:w="106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0.030</w:t>
            </w:r>
          </w:p>
        </w:tc>
        <w:tc>
          <w:tcPr>
            <w:tcW w:w="113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r>
          </w:p>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0.0003</w:t>
            </w:r>
          </w:p>
        </w:tc>
      </w:tr>
      <w:tr>
        <w:trPr/>
        <w:tc>
          <w:tcPr>
            <w:tcW w:w="1419"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Tilapia</w:t>
            </w:r>
          </w:p>
        </w:tc>
        <w:tc>
          <w:tcPr>
            <w:tcW w:w="118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0.024</w:t>
            </w:r>
          </w:p>
        </w:tc>
        <w:tc>
          <w:tcPr>
            <w:tcW w:w="90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18-32</w:t>
            </w:r>
          </w:p>
        </w:tc>
        <w:tc>
          <w:tcPr>
            <w:tcW w:w="117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0.172</w:t>
            </w:r>
          </w:p>
        </w:tc>
        <w:tc>
          <w:tcPr>
            <w:tcW w:w="142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0.0020</w:t>
            </w:r>
          </w:p>
        </w:tc>
        <w:tc>
          <w:tcPr>
            <w:tcW w:w="10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0.019</w:t>
            </w:r>
          </w:p>
        </w:tc>
        <w:tc>
          <w:tcPr>
            <w:tcW w:w="106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0.029</w:t>
            </w:r>
          </w:p>
        </w:tc>
        <w:tc>
          <w:tcPr>
            <w:tcW w:w="113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0.0013</w:t>
            </w:r>
          </w:p>
        </w:tc>
      </w:tr>
      <w:tr>
        <w:trPr/>
        <w:tc>
          <w:tcPr>
            <w:tcW w:w="1419"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Infauna</w:t>
            </w:r>
          </w:p>
        </w:tc>
        <w:tc>
          <w:tcPr>
            <w:tcW w:w="118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0.200</w:t>
            </w:r>
          </w:p>
        </w:tc>
        <w:tc>
          <w:tcPr>
            <w:tcW w:w="90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18-30</w:t>
            </w:r>
          </w:p>
        </w:tc>
        <w:tc>
          <w:tcPr>
            <w:tcW w:w="117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w:t>
            </w:r>
          </w:p>
        </w:tc>
        <w:tc>
          <w:tcPr>
            <w:tcW w:w="142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0.0200</w:t>
            </w:r>
          </w:p>
        </w:tc>
        <w:tc>
          <w:tcPr>
            <w:tcW w:w="10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0.030</w:t>
            </w:r>
          </w:p>
        </w:tc>
        <w:tc>
          <w:tcPr>
            <w:tcW w:w="106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0.020</w:t>
            </w:r>
          </w:p>
        </w:tc>
        <w:tc>
          <w:tcPr>
            <w:tcW w:w="113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0.0100</w:t>
            </w:r>
          </w:p>
        </w:tc>
      </w:tr>
      <w:tr>
        <w:trPr/>
        <w:tc>
          <w:tcPr>
            <w:tcW w:w="1419"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Grass shrimp</w:t>
            </w:r>
          </w:p>
        </w:tc>
        <w:tc>
          <w:tcPr>
            <w:tcW w:w="118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0.080</w:t>
            </w:r>
          </w:p>
        </w:tc>
        <w:tc>
          <w:tcPr>
            <w:tcW w:w="90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21-31</w:t>
            </w:r>
          </w:p>
        </w:tc>
        <w:tc>
          <w:tcPr>
            <w:tcW w:w="117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w:t>
            </w:r>
          </w:p>
        </w:tc>
        <w:tc>
          <w:tcPr>
            <w:tcW w:w="142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0.0230</w:t>
            </w:r>
          </w:p>
        </w:tc>
        <w:tc>
          <w:tcPr>
            <w:tcW w:w="106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0.040</w:t>
            </w:r>
          </w:p>
        </w:tc>
        <w:tc>
          <w:tcPr>
            <w:tcW w:w="1061"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0.018</w:t>
            </w:r>
          </w:p>
        </w:tc>
        <w:tc>
          <w:tcPr>
            <w:tcW w:w="1134"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0.0130</w:t>
            </w:r>
          </w:p>
        </w:tc>
      </w:tr>
    </w:tbl>
    <w:p>
      <w:pPr>
        <w:pStyle w:val="Normal"/>
        <w:rPr/>
      </w:pPr>
      <w:r>
        <w:rPr/>
      </w:r>
    </w:p>
    <w:p>
      <w:pPr>
        <w:pStyle w:val="Normal"/>
        <w:rPr/>
      </w:pPr>
      <w:r>
        <w:rPr/>
        <w:t xml:space="preserve">The resulting integrated CASM-STA retained the historical food web/ecosystem functionality of previous CASM applications and added the structure and P transformation processes of the BGC model. The BGC provided DIP for plant uptake and growth. The CASM provided egestion, excretion, and bioturbation inputs to the BGC (Figure 3-13). This integration was implemented for each of the physical model segments and water column state variables were subject to simple advective transport using the daily transport coefficients described in the hydrodynamics section (e.g., Figures 3-7 through 3-9). The integrated model computed daily changes in all modeled state variables with Euler integration performed using a 0.1-day time step. </w:t>
      </w:r>
    </w:p>
    <w:p>
      <w:pPr>
        <w:pStyle w:val="Normal"/>
        <w:rPr/>
      </w:pPr>
      <w:r>
        <w:rPr/>
        <w:t>The cross-walk between the structure of the two models was summarized in Table 3-8. The integrated CASM-STA includes state variables for each of the soils/sediments and water column P pools identified in the BGC model (Figure 3-12). The integrated model includes explicit representation of the consumer populations representative of the FW1 food web that are represented as an aggregated grazing term in the BGC model (Table 3-10). In addition to explicitly modeling grazing and predation in the food web, the consumer populations contribute egested (partially ingested prey) biomass to the water column POP</w:t>
      </w:r>
      <w:r>
        <w:rPr>
          <w:vertAlign w:val="subscript"/>
        </w:rPr>
        <w:t>w</w:t>
      </w:r>
      <w:r>
        <w:rPr/>
        <w:t xml:space="preserve"> pool and excretion to the DIP</w:t>
      </w:r>
      <w:r>
        <w:rPr>
          <w:vertAlign w:val="subscript"/>
        </w:rPr>
        <w:t>w</w:t>
      </w:r>
      <w:r>
        <w:rPr/>
        <w:t xml:space="preserve"> pool. Finally, tilapia production functionally determines suspension of floc, litter, POPs, and PIPs for </w:t>
      </w:r>
      <w:r>
        <mc:AlternateContent>
          <mc:Choice Requires="wps">
            <w:drawing>
              <wp:anchor behindDoc="0" distT="40640" distB="67310" distL="109220" distR="132080" simplePos="0" locked="0" layoutInCell="0" allowOverlap="1" relativeHeight="116" wp14:anchorId="17674818">
                <wp:simplePos x="0" y="0"/>
                <wp:positionH relativeFrom="margin">
                  <wp:align>right</wp:align>
                </wp:positionH>
                <wp:positionV relativeFrom="paragraph">
                  <wp:posOffset>1143000</wp:posOffset>
                </wp:positionV>
                <wp:extent cx="5920740" cy="3268980"/>
                <wp:effectExtent l="5080" t="5080" r="5080" b="5080"/>
                <wp:wrapTopAndBottom/>
                <wp:docPr id="179" name="Text Box 2"/>
                <a:graphic xmlns:a="http://schemas.openxmlformats.org/drawingml/2006/main">
                  <a:graphicData uri="http://schemas.microsoft.com/office/word/2010/wordprocessingShape">
                    <wps:wsp>
                      <wps:cNvSpPr/>
                      <wps:spPr>
                        <a:xfrm>
                          <a:off x="0" y="0"/>
                          <a:ext cx="5920920" cy="32691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drawing>
                                <wp:inline distT="0" distB="0" distL="0" distR="0">
                                  <wp:extent cx="5728970" cy="2835910"/>
                                  <wp:effectExtent l="0" t="0" r="0" b="0"/>
                                  <wp:docPr id="181"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32" descr=""/>
                                          <pic:cNvPicPr>
                                            <a:picLocks noChangeAspect="1" noChangeArrowheads="1"/>
                                          </pic:cNvPicPr>
                                        </pic:nvPicPr>
                                        <pic:blipFill>
                                          <a:blip r:embed="rId182"/>
                                          <a:stretch>
                                            <a:fillRect/>
                                          </a:stretch>
                                        </pic:blipFill>
                                        <pic:spPr bwMode="auto">
                                          <a:xfrm>
                                            <a:off x="0" y="0"/>
                                            <a:ext cx="5728970" cy="2835910"/>
                                          </a:xfrm>
                                          <a:prstGeom prst="rect">
                                            <a:avLst/>
                                          </a:prstGeom>
                                        </pic:spPr>
                                      </pic:pic>
                                    </a:graphicData>
                                  </a:graphic>
                                </wp:inline>
                              </w:drawing>
                            </w:r>
                          </w:p>
                          <w:p>
                            <w:pPr>
                              <w:pStyle w:val="Caption"/>
                              <w:widowControl/>
                              <w:bidi w:val="0"/>
                              <w:spacing w:lineRule="auto" w:line="276" w:before="0" w:after="60"/>
                              <w:jc w:val="center"/>
                              <w:rPr/>
                            </w:pPr>
                            <w:bookmarkStart w:id="181" w:name="_Toc181802676"/>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36</w:t>
                            </w:r>
                            <w:r>
                              <w:rPr/>
                              <w:fldChar w:fldCharType="end"/>
                            </w:r>
                            <w:r>
                              <w:rPr/>
                              <w:t>.  Conceptual biogeochemical (BGC) model of an STA wetland (CELLC 2024).</w:t>
                            </w:r>
                            <w:bookmarkEnd w:id="181"/>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8.65pt;margin-top:90pt;width:466.15pt;height:257.35pt;mso-wrap-style:square;v-text-anchor:top;mso-position-horizontal:right;mso-position-horizontal-relative:margin" wp14:anchorId="17674818">
                <v:fill o:detectmouseclick="t" type="solid" color2="black"/>
                <v:stroke color="black" weight="9360" joinstyle="miter" endcap="flat"/>
                <v:textbox>
                  <w:txbxContent>
                    <w:p>
                      <w:pPr>
                        <w:pStyle w:val="FrameContents"/>
                        <w:rPr/>
                      </w:pPr>
                      <w:r>
                        <w:rPr/>
                        <w:drawing>
                          <wp:inline distT="0" distB="0" distL="0" distR="0">
                            <wp:extent cx="5728970" cy="2835910"/>
                            <wp:effectExtent l="0" t="0" r="0" b="0"/>
                            <wp:docPr id="18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32" descr=""/>
                                    <pic:cNvPicPr>
                                      <a:picLocks noChangeAspect="1" noChangeArrowheads="1"/>
                                    </pic:cNvPicPr>
                                  </pic:nvPicPr>
                                  <pic:blipFill>
                                    <a:blip r:embed="rId183"/>
                                    <a:stretch>
                                      <a:fillRect/>
                                    </a:stretch>
                                  </pic:blipFill>
                                  <pic:spPr bwMode="auto">
                                    <a:xfrm>
                                      <a:off x="0" y="0"/>
                                      <a:ext cx="5728970" cy="2835910"/>
                                    </a:xfrm>
                                    <a:prstGeom prst="rect">
                                      <a:avLst/>
                                    </a:prstGeom>
                                  </pic:spPr>
                                </pic:pic>
                              </a:graphicData>
                            </a:graphic>
                          </wp:inline>
                        </w:drawing>
                      </w:r>
                    </w:p>
                    <w:p>
                      <w:pPr>
                        <w:pStyle w:val="Caption"/>
                        <w:widowControl/>
                        <w:bidi w:val="0"/>
                        <w:spacing w:lineRule="auto" w:line="276" w:before="0" w:after="60"/>
                        <w:jc w:val="center"/>
                        <w:rPr/>
                      </w:pPr>
                      <w:bookmarkStart w:id="182" w:name="_Toc181802676"/>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36</w:t>
                      </w:r>
                      <w:r>
                        <w:rPr/>
                        <w:fldChar w:fldCharType="end"/>
                      </w:r>
                      <w:r>
                        <w:rPr/>
                        <w:t>.  Conceptual biogeochemical (BGC) model of an STA wetland (CELLC 2024).</w:t>
                      </w:r>
                      <w:bookmarkEnd w:id="182"/>
                    </w:p>
                  </w:txbxContent>
                </v:textbox>
                <w10:wrap type="topAndBottom"/>
              </v:rect>
            </w:pict>
          </mc:Fallback>
        </mc:AlternateContent>
      </w:r>
      <w:r>
        <w:rPr/>
        <w:t>subsequent transformation and cycling within each physical segment water column.</w:t>
      </w:r>
    </w:p>
    <w:p>
      <w:pPr>
        <w:pStyle w:val="Normal"/>
        <w:rPr/>
      </w:pPr>
      <w:r>
        <w:rPr/>
        <w:t>The equations that describe P dynamics in the BGC modeled state variables were adapted and included in the integrated CASM-STA (Tables 3-10 and 3-11). The coded connections of the BGC to the structure and functionality of the CASM-STA are indicated in bold.</w:t>
      </w:r>
    </w:p>
    <w:p>
      <w:pPr>
        <w:pStyle w:val="Normal"/>
        <w:rPr/>
      </w:pPr>
      <w:r>
        <w:rPr/>
        <w:t xml:space="preserve">The integration of the CASM-STA and BGC models was completed by cross-comparing initial conditions for model state variables and corresponding parameter values (Table 3-13). These values served as initial points of departure in subsequent calibration efforts where the final values of the parameters may differ from Table 3-13. </w:t>
      </w:r>
    </w:p>
    <w:p>
      <w:pPr>
        <w:pStyle w:val="Normal"/>
        <w:keepNext w:val="true"/>
        <w:numPr>
          <w:ilvl w:val="1"/>
          <w:numId w:val="1"/>
        </w:numPr>
        <w:spacing w:before="180" w:after="60"/>
        <w:jc w:val="left"/>
        <w:outlineLvl w:val="1"/>
        <w:rPr>
          <w:rFonts w:ascii="Arial" w:hAnsi="Arial"/>
          <w:b/>
          <w:color w:themeColor="text1" w:val="000000"/>
          <w:sz w:val="24"/>
        </w:rPr>
      </w:pPr>
      <w:bookmarkStart w:id="183" w:name="_Toc182252526"/>
      <w:r>
        <w:rPr>
          <w:rFonts w:ascii="Arial" w:hAnsi="Arial"/>
          <w:b/>
          <w:color w:themeColor="text1" w:val="000000"/>
          <w:sz w:val="24"/>
        </w:rPr>
        <w:t>CASM-STA Implementation</w:t>
      </w:r>
      <w:bookmarkEnd w:id="183"/>
    </w:p>
    <w:p>
      <w:pPr>
        <w:pStyle w:val="Normal"/>
        <w:keepNext w:val="true"/>
        <w:numPr>
          <w:ilvl w:val="2"/>
          <w:numId w:val="1"/>
        </w:numPr>
        <w:spacing w:before="120" w:after="120"/>
        <w:jc w:val="left"/>
        <w:outlineLvl w:val="2"/>
        <w:rPr>
          <w:bCs/>
          <w:i/>
          <w:i/>
          <w:color w:themeColor="accent1" w:themeShade="bf" w:val="2E74B5"/>
          <w:szCs w:val="22"/>
        </w:rPr>
      </w:pPr>
      <w:bookmarkStart w:id="184" w:name="_Toc182252527"/>
      <w:r>
        <w:rPr>
          <w:bCs/>
          <w:i/>
          <w:color w:themeColor="accent1" w:themeShade="bf" w:val="2E74B5"/>
          <w:szCs w:val="22"/>
        </w:rPr>
        <w:t>Calibration</w:t>
      </w:r>
      <w:bookmarkEnd w:id="184"/>
    </w:p>
    <w:p>
      <w:pPr>
        <w:pStyle w:val="Normal"/>
        <w:rPr/>
      </w:pPr>
      <w:r>
        <w:rPr/>
        <w:t>Calibration of the CASM-STA was performed by systematically adjusting parameter values to improve the agreement between model results and target P values derived for FW1 (CELLC 2024). Target values were developed initially for locations in FW1 that represented inflow, midflow, and outflow P concentrations for modeled state variables (Table 3-14). Subsequent targets were simply described by mean and standard deviations derived for the entire FW1 (Table 3-14). In many instances, the mean values and standard deviations were computed from the initial spatial target values.</w:t>
      </w:r>
    </w:p>
    <w:p>
      <w:pPr>
        <w:pStyle w:val="Caption"/>
        <w:rPr/>
      </w:pPr>
      <w:bookmarkStart w:id="185" w:name="_Hlk170424492"/>
      <w:bookmarkStart w:id="186" w:name="_Toc182250937"/>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28</w:t>
      </w:r>
      <w:r>
        <w:rPr/>
        <w:fldChar w:fldCharType="end"/>
      </w:r>
      <w:r>
        <w:rPr/>
        <w:t>. Equations for floc, litter and soils phosphorus state variables (g P m</w:t>
      </w:r>
      <w:r>
        <w:rPr>
          <w:vertAlign w:val="superscript"/>
        </w:rPr>
        <w:t>-2</w:t>
      </w:r>
      <w:r>
        <w:rPr/>
        <w:t>) added in developing the CASM-STA.</w:t>
      </w:r>
      <w:bookmarkEnd w:id="185"/>
      <w:bookmarkEnd w:id="186"/>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val="false"/>
              <w:spacing w:lineRule="auto" w:line="240" w:before="0" w:after="0"/>
              <w:rPr>
                <w:rFonts w:eastAsia="Times New Roman" w:cs="Times New Roman"/>
                <w:kern w:val="0"/>
                <w:szCs w:val="20"/>
                <w:lang w:val="en-US" w:eastAsia="en-US" w:bidi="ar-SA"/>
              </w:rPr>
            </w:pPr>
            <w:r>
              <w:rPr>
                <w:rFonts w:eastAsia="Times New Roman" w:cs="Times New Roman"/>
                <w:kern w:val="0"/>
                <w:szCs w:val="20"/>
                <w:lang w:val="en-US" w:eastAsia="en-US" w:bidi="ar-SA"/>
              </w:rPr>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Floc P     </w:t>
            </w:r>
            <w:r>
              <w:rPr>
                <w:rFonts w:eastAsia="Times New Roman" w:cs="Arial" w:ascii="Arial" w:hAnsi="Arial"/>
                <w:kern w:val="0"/>
                <w:sz w:val="20"/>
                <w:szCs w:val="20"/>
                <w:u w:val="single"/>
                <w:lang w:val="en-US" w:eastAsia="en-US" w:bidi="ar-SA"/>
              </w:rPr>
              <w:t xml:space="preserve"> ΔPflc</w:t>
            </w:r>
            <w:r>
              <w:rPr>
                <w:rFonts w:eastAsia="Times New Roman" w:cs="Arial" w:ascii="Arial" w:hAnsi="Arial"/>
                <w:kern w:val="0"/>
                <w:sz w:val="20"/>
                <w:szCs w:val="20"/>
                <w:lang w:val="en-US" w:eastAsia="en-US" w:bidi="ar-SA"/>
              </w:rPr>
              <w:t xml:space="preserve"> = </w:t>
            </w:r>
            <w:r>
              <w:rPr>
                <w:rFonts w:eastAsia="Times New Roman" w:cs="Arial" w:ascii="Arial" w:hAnsi="Arial"/>
                <w:b/>
                <w:bCs/>
                <w:kern w:val="0"/>
                <w:sz w:val="20"/>
                <w:szCs w:val="20"/>
                <w:lang w:val="en-US" w:eastAsia="en-US" w:bidi="ar-SA"/>
              </w:rPr>
              <w:t>fsnk</w:t>
            </w:r>
            <w:r>
              <w:rPr>
                <w:rFonts w:eastAsia="Times New Roman" w:cs="Arial" w:ascii="Arial" w:hAnsi="Arial"/>
                <w:b/>
                <w:bCs/>
                <w:kern w:val="0"/>
                <w:sz w:val="20"/>
                <w:szCs w:val="20"/>
                <w:vertAlign w:val="subscript"/>
                <w:lang w:val="en-US" w:eastAsia="en-US" w:bidi="ar-SA"/>
              </w:rPr>
              <w:t>PHYTO</w:t>
            </w:r>
            <w:r>
              <w:rPr>
                <w:rFonts w:eastAsia="Times New Roman" w:cs="Arial" w:ascii="Arial" w:hAnsi="Arial"/>
                <w:kern w:val="0"/>
                <w:sz w:val="20"/>
                <w:szCs w:val="20"/>
                <w:lang w:val="en-US" w:eastAsia="en-US" w:bidi="ar-SA"/>
              </w:rPr>
              <w:t xml:space="preserve"> PHYTO P + </w:t>
            </w:r>
            <w:r>
              <w:rPr>
                <w:rFonts w:eastAsia="Times New Roman" w:cs="Arial" w:ascii="Arial" w:hAnsi="Arial"/>
                <w:b/>
                <w:bCs/>
                <w:kern w:val="0"/>
                <w:sz w:val="20"/>
                <w:szCs w:val="20"/>
                <w:lang w:val="en-US" w:eastAsia="en-US" w:bidi="ar-SA"/>
              </w:rPr>
              <w:t>fmrt</w:t>
            </w:r>
            <w:r>
              <w:rPr>
                <w:rFonts w:eastAsia="Times New Roman" w:cs="Arial" w:ascii="Arial" w:hAnsi="Arial"/>
                <w:b/>
                <w:bCs/>
                <w:kern w:val="0"/>
                <w:sz w:val="20"/>
                <w:szCs w:val="20"/>
                <w:vertAlign w:val="subscript"/>
                <w:lang w:val="en-US" w:eastAsia="en-US" w:bidi="ar-SA"/>
              </w:rPr>
              <w:t>PERI</w:t>
            </w:r>
            <w:r>
              <w:rPr>
                <w:rFonts w:eastAsia="Times New Roman" w:cs="Arial" w:ascii="Arial" w:hAnsi="Arial"/>
                <w:kern w:val="0"/>
                <w:sz w:val="20"/>
                <w:szCs w:val="20"/>
                <w:lang w:val="en-US" w:eastAsia="en-US" w:bidi="ar-SA"/>
              </w:rPr>
              <w:t xml:space="preserve"> PERI + rstl</w:t>
            </w:r>
            <w:r>
              <w:rPr>
                <w:rFonts w:eastAsia="Times New Roman" w:cs="Arial" w:ascii="Arial" w:hAnsi="Arial"/>
                <w:kern w:val="0"/>
                <w:sz w:val="20"/>
                <w:szCs w:val="20"/>
                <w:vertAlign w:val="subscript"/>
                <w:lang w:val="en-US" w:eastAsia="en-US" w:bidi="ar-SA"/>
              </w:rPr>
              <w:t>PFLC</w:t>
            </w:r>
            <w:r>
              <w:rPr>
                <w:rFonts w:eastAsia="Times New Roman" w:cs="Arial" w:ascii="Arial" w:hAnsi="Arial"/>
                <w:kern w:val="0"/>
                <w:sz w:val="20"/>
                <w:szCs w:val="20"/>
                <w:lang w:val="en-US" w:eastAsia="en-US" w:bidi="ar-SA"/>
              </w:rPr>
              <w:t xml:space="preserve"> POPw – (rlsf</w:t>
            </w:r>
            <w:r>
              <w:rPr>
                <w:rFonts w:eastAsia="Times New Roman" w:cs="Arial" w:ascii="Arial" w:hAnsi="Arial"/>
                <w:kern w:val="0"/>
                <w:sz w:val="20"/>
                <w:szCs w:val="20"/>
                <w:vertAlign w:val="subscript"/>
                <w:lang w:val="en-US" w:eastAsia="en-US" w:bidi="ar-SA"/>
              </w:rPr>
              <w:t>POPs</w:t>
            </w:r>
            <w:r>
              <w:rPr>
                <w:rFonts w:eastAsia="Times New Roman" w:cs="Arial" w:ascii="Arial" w:hAnsi="Arial"/>
                <w:kern w:val="0"/>
                <w:sz w:val="20"/>
                <w:szCs w:val="20"/>
                <w:lang w:val="en-US" w:eastAsia="en-US" w:bidi="ar-SA"/>
              </w:rPr>
              <w:t xml:space="preserve">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Δt        + fsuf</w:t>
            </w:r>
            <w:r>
              <w:rPr>
                <w:rFonts w:eastAsia="Times New Roman" w:cs="Arial" w:ascii="Arial" w:hAnsi="Arial"/>
                <w:kern w:val="0"/>
                <w:sz w:val="20"/>
                <w:szCs w:val="20"/>
                <w:vertAlign w:val="subscript"/>
                <w:lang w:val="en-US" w:eastAsia="en-US" w:bidi="ar-SA"/>
              </w:rPr>
              <w:t>POPw</w:t>
            </w:r>
            <w:r>
              <w:rPr>
                <w:rFonts w:eastAsia="Times New Roman" w:cs="Arial" w:ascii="Arial" w:hAnsi="Arial"/>
                <w:kern w:val="0"/>
                <w:sz w:val="20"/>
                <w:szCs w:val="20"/>
                <w:lang w:val="en-US" w:eastAsia="en-US" w:bidi="ar-SA"/>
              </w:rPr>
              <w:t xml:space="preserve"> + </w:t>
            </w:r>
            <w:r>
              <w:rPr>
                <w:rFonts w:eastAsia="Times New Roman" w:cs="Arial" w:ascii="Arial" w:hAnsi="Arial"/>
                <w:b/>
                <w:bCs/>
                <w:kern w:val="0"/>
                <w:sz w:val="20"/>
                <w:szCs w:val="20"/>
                <w:lang w:val="en-US" w:eastAsia="en-US" w:bidi="ar-SA"/>
              </w:rPr>
              <w:t>fbtb</w:t>
            </w:r>
            <w:r>
              <w:rPr>
                <w:rFonts w:eastAsia="Times New Roman" w:cs="Arial" w:ascii="Arial" w:hAnsi="Arial"/>
                <w:b/>
                <w:bCs/>
                <w:kern w:val="0"/>
                <w:sz w:val="20"/>
                <w:szCs w:val="20"/>
                <w:vertAlign w:val="subscript"/>
                <w:lang w:val="en-US" w:eastAsia="en-US" w:bidi="ar-SA"/>
              </w:rPr>
              <w:t>POPw</w:t>
            </w:r>
            <w:r>
              <w:rPr>
                <w:rFonts w:eastAsia="Times New Roman" w:cs="Arial" w:ascii="Arial" w:hAnsi="Arial"/>
                <w:kern w:val="0"/>
                <w:sz w:val="20"/>
                <w:szCs w:val="20"/>
                <w:lang w:val="en-US" w:eastAsia="en-US" w:bidi="ar-SA"/>
              </w:rPr>
              <w:t>) Pflc</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Litter P    </w:t>
            </w:r>
            <w:r>
              <w:rPr>
                <w:rFonts w:eastAsia="Times New Roman" w:cs="Arial" w:ascii="Arial" w:hAnsi="Arial"/>
                <w:kern w:val="0"/>
                <w:sz w:val="20"/>
                <w:szCs w:val="20"/>
                <w:u w:val="single"/>
                <w:lang w:val="en-US" w:eastAsia="en-US" w:bidi="ar-SA"/>
              </w:rPr>
              <w:t xml:space="preserve"> ΔPlit</w:t>
            </w:r>
            <w:r>
              <w:rPr>
                <w:rFonts w:eastAsia="Times New Roman" w:cs="Arial" w:ascii="Arial" w:hAnsi="Arial"/>
                <w:kern w:val="0"/>
                <w:sz w:val="20"/>
                <w:szCs w:val="20"/>
                <w:lang w:val="en-US" w:eastAsia="en-US" w:bidi="ar-SA"/>
              </w:rPr>
              <w:t xml:space="preserve"> = </w:t>
            </w:r>
            <w:r>
              <w:rPr>
                <w:rFonts w:eastAsia="Times New Roman" w:cs="Arial" w:ascii="Arial" w:hAnsi="Arial"/>
                <w:b/>
                <w:bCs/>
                <w:kern w:val="0"/>
                <w:sz w:val="20"/>
                <w:szCs w:val="20"/>
                <w:lang w:val="en-US" w:eastAsia="en-US" w:bidi="ar-SA"/>
              </w:rPr>
              <w:t>fsls</w:t>
            </w:r>
            <w:r>
              <w:rPr>
                <w:rFonts w:eastAsia="Times New Roman" w:cs="Arial" w:ascii="Arial" w:hAnsi="Arial"/>
                <w:b/>
                <w:bCs/>
                <w:kern w:val="0"/>
                <w:sz w:val="20"/>
                <w:szCs w:val="20"/>
                <w:vertAlign w:val="subscript"/>
                <w:lang w:val="en-US" w:eastAsia="en-US" w:bidi="ar-SA"/>
              </w:rPr>
              <w:t>VEG</w:t>
            </w:r>
            <w:r>
              <w:rPr>
                <w:rFonts w:eastAsia="Times New Roman" w:cs="Arial" w:ascii="Arial" w:hAnsi="Arial"/>
                <w:kern w:val="0"/>
                <w:sz w:val="20"/>
                <w:szCs w:val="20"/>
                <w:lang w:val="en-US" w:eastAsia="en-US" w:bidi="ar-SA"/>
              </w:rPr>
              <w:t xml:space="preserve"> SHOOT P + </w:t>
            </w:r>
            <w:r>
              <w:rPr>
                <w:rFonts w:eastAsia="Times New Roman" w:cs="Arial" w:ascii="Arial" w:hAnsi="Arial"/>
                <w:b/>
                <w:bCs/>
                <w:kern w:val="0"/>
                <w:sz w:val="20"/>
                <w:szCs w:val="20"/>
                <w:lang w:val="en-US" w:eastAsia="en-US" w:bidi="ar-SA"/>
              </w:rPr>
              <w:t>fmrt</w:t>
            </w:r>
            <w:r>
              <w:rPr>
                <w:rFonts w:eastAsia="Times New Roman" w:cs="Arial" w:ascii="Arial" w:hAnsi="Arial"/>
                <w:b/>
                <w:bCs/>
                <w:kern w:val="0"/>
                <w:sz w:val="20"/>
                <w:szCs w:val="20"/>
                <w:vertAlign w:val="subscript"/>
                <w:lang w:val="en-US" w:eastAsia="en-US" w:bidi="ar-SA"/>
              </w:rPr>
              <w:t>SAV</w:t>
            </w:r>
            <w:r>
              <w:rPr>
                <w:rFonts w:eastAsia="Times New Roman" w:cs="Arial" w:ascii="Arial" w:hAnsi="Arial"/>
                <w:kern w:val="0"/>
                <w:sz w:val="20"/>
                <w:szCs w:val="20"/>
                <w:lang w:val="en-US" w:eastAsia="en-US" w:bidi="ar-SA"/>
              </w:rPr>
              <w:t xml:space="preserve"> SAV – (rlsl</w:t>
            </w:r>
            <w:r>
              <w:rPr>
                <w:rFonts w:eastAsia="Times New Roman" w:cs="Arial" w:ascii="Arial" w:hAnsi="Arial"/>
                <w:kern w:val="0"/>
                <w:sz w:val="20"/>
                <w:szCs w:val="20"/>
                <w:vertAlign w:val="subscript"/>
                <w:lang w:val="en-US" w:eastAsia="en-US" w:bidi="ar-SA"/>
              </w:rPr>
              <w:t>FLOC</w:t>
            </w:r>
            <w:r>
              <w:rPr>
                <w:rFonts w:eastAsia="Times New Roman" w:cs="Arial" w:ascii="Arial" w:hAnsi="Arial"/>
                <w:kern w:val="0"/>
                <w:sz w:val="20"/>
                <w:szCs w:val="20"/>
                <w:lang w:val="en-US" w:eastAsia="en-US" w:bidi="ar-SA"/>
              </w:rPr>
              <w:t xml:space="preserve"> + rlsl</w:t>
            </w:r>
            <w:r>
              <w:rPr>
                <w:rFonts w:eastAsia="Times New Roman" w:cs="Arial" w:ascii="Arial" w:hAnsi="Arial"/>
                <w:kern w:val="0"/>
                <w:sz w:val="20"/>
                <w:szCs w:val="20"/>
                <w:vertAlign w:val="subscript"/>
                <w:lang w:val="en-US" w:eastAsia="en-US" w:bidi="ar-SA"/>
              </w:rPr>
              <w:t>POPs</w:t>
            </w:r>
            <w:r>
              <w:rPr>
                <w:rFonts w:eastAsia="Times New Roman" w:cs="Arial" w:ascii="Arial" w:hAnsi="Arial"/>
                <w:kern w:val="0"/>
                <w:sz w:val="20"/>
                <w:szCs w:val="20"/>
                <w:lang w:val="en-US" w:eastAsia="en-US" w:bidi="ar-SA"/>
              </w:rPr>
              <w:t xml:space="preserve"> + fsul</w:t>
            </w:r>
            <w:r>
              <w:rPr>
                <w:rFonts w:eastAsia="Times New Roman" w:cs="Arial" w:ascii="Arial" w:hAnsi="Arial"/>
                <w:kern w:val="0"/>
                <w:sz w:val="20"/>
                <w:szCs w:val="20"/>
                <w:vertAlign w:val="subscript"/>
                <w:lang w:val="en-US" w:eastAsia="en-US" w:bidi="ar-SA"/>
              </w:rPr>
              <w:t>POPw</w:t>
            </w:r>
            <w:r>
              <w:rPr>
                <w:rFonts w:eastAsia="Times New Roman" w:cs="Arial" w:ascii="Arial" w:hAnsi="Arial"/>
                <w:kern w:val="0"/>
                <w:sz w:val="20"/>
                <w:szCs w:val="20"/>
                <w:lang w:val="en-US" w:eastAsia="en-US" w:bidi="ar-SA"/>
              </w:rPr>
              <w:t xml:space="preserve"> + </w:t>
            </w:r>
            <w:r>
              <w:rPr>
                <w:rFonts w:eastAsia="Times New Roman" w:cs="Arial" w:ascii="Arial" w:hAnsi="Arial"/>
                <w:b/>
                <w:bCs/>
                <w:kern w:val="0"/>
                <w:sz w:val="20"/>
                <w:szCs w:val="20"/>
                <w:lang w:val="en-US" w:eastAsia="en-US" w:bidi="ar-SA"/>
              </w:rPr>
              <w:t>fbtb</w:t>
            </w:r>
            <w:r>
              <w:rPr>
                <w:rFonts w:eastAsia="Times New Roman" w:cs="Arial" w:ascii="Arial" w:hAnsi="Arial"/>
                <w:b/>
                <w:bCs/>
                <w:kern w:val="0"/>
                <w:sz w:val="20"/>
                <w:szCs w:val="20"/>
                <w:vertAlign w:val="subscript"/>
                <w:lang w:val="en-US" w:eastAsia="en-US" w:bidi="ar-SA"/>
              </w:rPr>
              <w:t>POPw</w:t>
            </w:r>
            <w:r>
              <w:rPr>
                <w:rFonts w:eastAsia="Times New Roman" w:cs="Arial" w:ascii="Arial" w:hAnsi="Arial"/>
                <w:kern w:val="0"/>
                <w:sz w:val="20"/>
                <w:szCs w:val="20"/>
                <w:lang w:val="en-US" w:eastAsia="en-US" w:bidi="ar-SA"/>
              </w:rPr>
              <w:t>) Plit</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Δt</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r>
          </w:p>
          <w:p>
            <w:pPr>
              <w:pStyle w:val="Normal"/>
              <w:widowControl w:val="false"/>
              <w:spacing w:lineRule="auto" w:line="240" w:before="0" w:after="0"/>
              <w:rPr>
                <w:rFonts w:ascii="Arial" w:hAnsi="Arial" w:cs="Arial"/>
                <w:sz w:val="20"/>
                <w:vertAlign w:val="subscript"/>
              </w:rPr>
            </w:pPr>
            <w:r>
              <w:rPr>
                <w:rFonts w:eastAsia="Times New Roman" w:cs="Arial" w:ascii="Arial" w:hAnsi="Arial"/>
                <w:kern w:val="0"/>
                <w:sz w:val="20"/>
                <w:szCs w:val="20"/>
                <w:lang w:val="en-US" w:eastAsia="en-US" w:bidi="ar-SA"/>
              </w:rPr>
              <w:t xml:space="preserve">POPs      </w:t>
            </w:r>
            <w:r>
              <w:rPr>
                <w:rFonts w:eastAsia="Times New Roman" w:cs="Arial" w:ascii="Arial" w:hAnsi="Arial"/>
                <w:kern w:val="0"/>
                <w:sz w:val="20"/>
                <w:szCs w:val="20"/>
                <w:u w:val="single"/>
                <w:lang w:val="en-US" w:eastAsia="en-US" w:bidi="ar-SA"/>
              </w:rPr>
              <w:t xml:space="preserve"> ΔPOPs</w:t>
            </w:r>
            <w:r>
              <w:rPr>
                <w:rFonts w:eastAsia="Times New Roman" w:cs="Arial" w:ascii="Arial" w:hAnsi="Arial"/>
                <w:kern w:val="0"/>
                <w:sz w:val="20"/>
                <w:szCs w:val="20"/>
                <w:lang w:val="en-US" w:eastAsia="en-US" w:bidi="ar-SA"/>
              </w:rPr>
              <w:t xml:space="preserve"> = rlsf</w:t>
            </w:r>
            <w:r>
              <w:rPr>
                <w:rFonts w:eastAsia="Times New Roman" w:cs="Arial" w:ascii="Arial" w:hAnsi="Arial"/>
                <w:kern w:val="0"/>
                <w:sz w:val="20"/>
                <w:szCs w:val="20"/>
                <w:vertAlign w:val="subscript"/>
                <w:lang w:val="en-US" w:eastAsia="en-US" w:bidi="ar-SA"/>
              </w:rPr>
              <w:t>POPs</w:t>
            </w:r>
            <w:r>
              <w:rPr>
                <w:rFonts w:eastAsia="Times New Roman" w:cs="Arial" w:ascii="Arial" w:hAnsi="Arial"/>
                <w:kern w:val="0"/>
                <w:sz w:val="20"/>
                <w:szCs w:val="20"/>
                <w:lang w:val="en-US" w:eastAsia="en-US" w:bidi="ar-SA"/>
              </w:rPr>
              <w:t xml:space="preserve"> Pflc + rlsl</w:t>
            </w:r>
            <w:r>
              <w:rPr>
                <w:rFonts w:eastAsia="Times New Roman" w:cs="Arial" w:ascii="Arial" w:hAnsi="Arial"/>
                <w:kern w:val="0"/>
                <w:sz w:val="20"/>
                <w:szCs w:val="20"/>
                <w:vertAlign w:val="subscript"/>
                <w:lang w:val="en-US" w:eastAsia="en-US" w:bidi="ar-SA"/>
              </w:rPr>
              <w:t>POPs</w:t>
            </w:r>
            <w:r>
              <w:rPr>
                <w:rFonts w:eastAsia="Times New Roman" w:cs="Arial" w:ascii="Arial" w:hAnsi="Arial"/>
                <w:kern w:val="0"/>
                <w:sz w:val="20"/>
                <w:szCs w:val="20"/>
                <w:lang w:val="en-US" w:eastAsia="en-US" w:bidi="ar-SA"/>
              </w:rPr>
              <w:t xml:space="preserve"> Plit + </w:t>
            </w:r>
            <w:r>
              <w:rPr>
                <w:rFonts w:eastAsia="Times New Roman" w:cs="Arial" w:ascii="Arial" w:hAnsi="Arial"/>
                <w:b/>
                <w:bCs/>
                <w:kern w:val="0"/>
                <w:sz w:val="20"/>
                <w:szCs w:val="20"/>
                <w:lang w:val="en-US" w:eastAsia="en-US" w:bidi="ar-SA"/>
              </w:rPr>
              <w:t>fslr</w:t>
            </w:r>
            <w:r>
              <w:rPr>
                <w:rFonts w:eastAsia="Times New Roman" w:cs="Arial" w:ascii="Arial" w:hAnsi="Arial"/>
                <w:b/>
                <w:bCs/>
                <w:kern w:val="0"/>
                <w:sz w:val="20"/>
                <w:szCs w:val="20"/>
                <w:vertAlign w:val="subscript"/>
                <w:lang w:val="en-US" w:eastAsia="en-US" w:bidi="ar-SA"/>
              </w:rPr>
              <w:t>VEG</w:t>
            </w:r>
            <w:r>
              <w:rPr>
                <w:rFonts w:eastAsia="Times New Roman" w:cs="Arial" w:ascii="Arial" w:hAnsi="Arial"/>
                <w:kern w:val="0"/>
                <w:sz w:val="20"/>
                <w:szCs w:val="20"/>
                <w:lang w:val="en-US" w:eastAsia="en-US" w:bidi="ar-SA"/>
              </w:rPr>
              <w:t xml:space="preserve"> ROOT – (fsuo</w:t>
            </w:r>
            <w:r>
              <w:rPr>
                <w:rFonts w:eastAsia="Times New Roman" w:cs="Arial" w:ascii="Arial" w:hAnsi="Arial"/>
                <w:kern w:val="0"/>
                <w:sz w:val="20"/>
                <w:szCs w:val="20"/>
                <w:vertAlign w:val="subscript"/>
                <w:lang w:val="en-US" w:eastAsia="en-US" w:bidi="ar-SA"/>
              </w:rPr>
              <w:t>POPw</w:t>
            </w:r>
            <w:r>
              <w:rPr>
                <w:rFonts w:eastAsia="Times New Roman" w:cs="Arial" w:ascii="Arial" w:hAnsi="Arial"/>
                <w:kern w:val="0"/>
                <w:sz w:val="20"/>
                <w:szCs w:val="20"/>
                <w:lang w:val="en-US" w:eastAsia="en-US" w:bidi="ar-SA"/>
              </w:rPr>
              <w:t xml:space="preserve"> +rhyd</w:t>
            </w:r>
            <w:r>
              <w:rPr>
                <w:rFonts w:eastAsia="Times New Roman" w:cs="Arial" w:ascii="Arial" w:hAnsi="Arial"/>
                <w:kern w:val="0"/>
                <w:sz w:val="20"/>
                <w:szCs w:val="20"/>
                <w:vertAlign w:val="subscript"/>
                <w:lang w:val="en-US" w:eastAsia="en-US" w:bidi="ar-SA"/>
              </w:rPr>
              <w:t>DOPs</w:t>
            </w:r>
            <w:r>
              <w:rPr>
                <w:rFonts w:eastAsia="Times New Roman" w:cs="Arial" w:ascii="Arial" w:hAnsi="Arial"/>
                <w:kern w:val="0"/>
                <w:sz w:val="20"/>
                <w:szCs w:val="20"/>
                <w:lang w:val="en-US" w:eastAsia="en-US" w:bidi="ar-SA"/>
              </w:rPr>
              <w:t xml:space="preserve"> </w:t>
              <w:br/>
              <w:t xml:space="preserve">                                  Δt</w:t>
            </w:r>
            <w:r>
              <w:rPr>
                <w:rFonts w:eastAsia="Times New Roman" w:cs="Arial" w:ascii="Arial" w:hAnsi="Arial"/>
                <w:kern w:val="0"/>
                <w:sz w:val="20"/>
                <w:szCs w:val="20"/>
                <w:vertAlign w:val="subscript"/>
                <w:lang w:val="en-US" w:eastAsia="en-US" w:bidi="ar-SA"/>
              </w:rPr>
              <w:t xml:space="preserve">                                       </w:t>
            </w:r>
            <w:r>
              <w:rPr>
                <w:rFonts w:eastAsia="Times New Roman" w:cs="Arial" w:ascii="Arial" w:hAnsi="Arial"/>
                <w:kern w:val="0"/>
                <w:sz w:val="20"/>
                <w:szCs w:val="20"/>
                <w:lang w:val="en-US" w:eastAsia="en-US" w:bidi="ar-SA"/>
              </w:rPr>
              <w:t>+ rdep</w:t>
            </w:r>
            <w:r>
              <w:rPr>
                <w:rFonts w:eastAsia="Times New Roman" w:cs="Arial" w:ascii="Arial" w:hAnsi="Arial"/>
                <w:kern w:val="0"/>
                <w:sz w:val="20"/>
                <w:szCs w:val="20"/>
                <w:vertAlign w:val="subscript"/>
                <w:lang w:val="en-US" w:eastAsia="en-US" w:bidi="ar-SA"/>
              </w:rPr>
              <w:t xml:space="preserve">POPs </w:t>
            </w:r>
            <w:r>
              <w:rPr>
                <w:rFonts w:eastAsia="Times New Roman" w:cs="Arial" w:ascii="Arial" w:hAnsi="Arial"/>
                <w:kern w:val="0"/>
                <w:sz w:val="20"/>
                <w:szCs w:val="20"/>
                <w:lang w:val="en-US" w:eastAsia="en-US" w:bidi="ar-SA"/>
              </w:rPr>
              <w:t xml:space="preserve">+ </w:t>
            </w:r>
            <w:r>
              <w:rPr>
                <w:rFonts w:eastAsia="Times New Roman" w:cs="Arial" w:ascii="Arial" w:hAnsi="Arial"/>
                <w:b/>
                <w:bCs/>
                <w:kern w:val="0"/>
                <w:sz w:val="20"/>
                <w:szCs w:val="20"/>
                <w:lang w:val="en-US" w:eastAsia="en-US" w:bidi="ar-SA"/>
              </w:rPr>
              <w:t>fbtb</w:t>
            </w:r>
            <w:r>
              <w:rPr>
                <w:rFonts w:eastAsia="Times New Roman" w:cs="Arial" w:ascii="Arial" w:hAnsi="Arial"/>
                <w:b/>
                <w:bCs/>
                <w:kern w:val="0"/>
                <w:sz w:val="20"/>
                <w:szCs w:val="20"/>
                <w:vertAlign w:val="subscript"/>
                <w:lang w:val="en-US" w:eastAsia="en-US" w:bidi="ar-SA"/>
              </w:rPr>
              <w:t>POPw</w:t>
            </w:r>
            <w:r>
              <w:rPr>
                <w:rFonts w:eastAsia="Times New Roman" w:cs="Arial" w:ascii="Arial" w:hAnsi="Arial"/>
                <w:kern w:val="0"/>
                <w:sz w:val="20"/>
                <w:szCs w:val="20"/>
                <w:lang w:val="en-US" w:eastAsia="en-US" w:bidi="ar-SA"/>
              </w:rPr>
              <w:t>)</w:t>
            </w:r>
            <w:r>
              <w:rPr>
                <w:rFonts w:eastAsia="Times New Roman" w:cs="Arial" w:ascii="Arial" w:hAnsi="Arial"/>
                <w:kern w:val="0"/>
                <w:sz w:val="20"/>
                <w:szCs w:val="20"/>
                <w:vertAlign w:val="subscript"/>
                <w:lang w:val="en-US" w:eastAsia="en-US" w:bidi="ar-SA"/>
              </w:rPr>
              <w:t xml:space="preserve"> </w:t>
            </w:r>
            <w:r>
              <w:rPr>
                <w:rFonts w:eastAsia="Times New Roman" w:cs="Arial" w:ascii="Arial" w:hAnsi="Arial"/>
                <w:kern w:val="0"/>
                <w:sz w:val="20"/>
                <w:szCs w:val="20"/>
                <w:lang w:val="en-US" w:eastAsia="en-US" w:bidi="ar-SA"/>
              </w:rPr>
              <w:t>POPs</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vertAlign w:val="subscript"/>
                <w:lang w:val="en-US" w:eastAsia="en-US" w:bidi="ar-SA"/>
              </w:rPr>
              <w:t xml:space="preserve">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DOPs      </w:t>
            </w:r>
            <w:r>
              <w:rPr>
                <w:rFonts w:eastAsia="Times New Roman" w:cs="Arial" w:ascii="Arial" w:hAnsi="Arial"/>
                <w:kern w:val="0"/>
                <w:sz w:val="20"/>
                <w:szCs w:val="20"/>
                <w:u w:val="single"/>
                <w:lang w:val="en-US" w:eastAsia="en-US" w:bidi="ar-SA"/>
              </w:rPr>
              <w:t xml:space="preserve"> ΔDOPs</w:t>
            </w:r>
            <w:r>
              <w:rPr>
                <w:rFonts w:eastAsia="Times New Roman" w:cs="Arial" w:ascii="Arial" w:hAnsi="Arial"/>
                <w:kern w:val="0"/>
                <w:sz w:val="20"/>
                <w:szCs w:val="20"/>
                <w:lang w:val="en-US" w:eastAsia="en-US" w:bidi="ar-SA"/>
              </w:rPr>
              <w:t xml:space="preserve"> = rhyd</w:t>
            </w:r>
            <w:r>
              <w:rPr>
                <w:rFonts w:eastAsia="Times New Roman" w:cs="Arial" w:ascii="Arial" w:hAnsi="Arial"/>
                <w:kern w:val="0"/>
                <w:sz w:val="20"/>
                <w:szCs w:val="20"/>
                <w:vertAlign w:val="subscript"/>
                <w:lang w:val="en-US" w:eastAsia="en-US" w:bidi="ar-SA"/>
              </w:rPr>
              <w:t>DOPs</w:t>
            </w:r>
            <w:r>
              <w:rPr>
                <w:rFonts w:eastAsia="Times New Roman" w:cs="Arial" w:ascii="Arial" w:hAnsi="Arial"/>
                <w:kern w:val="0"/>
                <w:sz w:val="20"/>
                <w:szCs w:val="20"/>
                <w:lang w:val="en-US" w:eastAsia="en-US" w:bidi="ar-SA"/>
              </w:rPr>
              <w:t xml:space="preserve"> POPs – (rrem</w:t>
            </w:r>
            <w:r>
              <w:rPr>
                <w:rFonts w:eastAsia="Times New Roman" w:cs="Arial" w:ascii="Arial" w:hAnsi="Arial"/>
                <w:kern w:val="0"/>
                <w:sz w:val="20"/>
                <w:szCs w:val="20"/>
                <w:vertAlign w:val="subscript"/>
                <w:lang w:val="en-US" w:eastAsia="en-US" w:bidi="ar-SA"/>
              </w:rPr>
              <w:t>DIPs</w:t>
            </w:r>
            <w:r>
              <w:rPr>
                <w:rFonts w:eastAsia="Times New Roman" w:cs="Arial" w:ascii="Arial" w:hAnsi="Arial"/>
                <w:kern w:val="0"/>
                <w:sz w:val="20"/>
                <w:szCs w:val="20"/>
                <w:lang w:val="en-US" w:eastAsia="en-US" w:bidi="ar-SA"/>
              </w:rPr>
              <w:t xml:space="preserve"> + rpht</w:t>
            </w:r>
            <w:r>
              <w:rPr>
                <w:rFonts w:eastAsia="Times New Roman" w:cs="Arial" w:ascii="Arial" w:hAnsi="Arial"/>
                <w:kern w:val="0"/>
                <w:sz w:val="20"/>
                <w:szCs w:val="20"/>
                <w:vertAlign w:val="subscript"/>
                <w:lang w:val="en-US" w:eastAsia="en-US" w:bidi="ar-SA"/>
              </w:rPr>
              <w:t>DIPs</w:t>
            </w:r>
            <w:r>
              <w:rPr>
                <w:rFonts w:eastAsia="Times New Roman" w:cs="Arial" w:ascii="Arial" w:hAnsi="Arial"/>
                <w:kern w:val="0"/>
                <w:sz w:val="20"/>
                <w:szCs w:val="20"/>
                <w:lang w:val="en-US" w:eastAsia="en-US" w:bidi="ar-SA"/>
              </w:rPr>
              <w:t xml:space="preserve"> + rdif</w:t>
            </w:r>
            <w:r>
              <w:rPr>
                <w:rFonts w:eastAsia="Times New Roman" w:cs="Arial" w:ascii="Arial" w:hAnsi="Arial"/>
                <w:kern w:val="0"/>
                <w:sz w:val="20"/>
                <w:szCs w:val="20"/>
                <w:vertAlign w:val="subscript"/>
                <w:lang w:val="en-US" w:eastAsia="en-US" w:bidi="ar-SA"/>
              </w:rPr>
              <w:t>DOPw</w:t>
            </w:r>
            <w:r>
              <w:rPr>
                <w:rFonts w:eastAsia="Times New Roman" w:cs="Arial" w:ascii="Arial" w:hAnsi="Arial"/>
                <w:kern w:val="0"/>
                <w:sz w:val="20"/>
                <w:szCs w:val="20"/>
                <w:lang w:val="en-US" w:eastAsia="en-US" w:bidi="ar-SA"/>
              </w:rPr>
              <w:t>) DOPs</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Δt</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DIPs      </w:t>
            </w:r>
            <w:r>
              <w:rPr>
                <w:rFonts w:eastAsia="Times New Roman" w:cs="Arial" w:ascii="Arial" w:hAnsi="Arial"/>
                <w:kern w:val="0"/>
                <w:sz w:val="20"/>
                <w:szCs w:val="20"/>
                <w:u w:val="single"/>
                <w:lang w:val="en-US" w:eastAsia="en-US" w:bidi="ar-SA"/>
              </w:rPr>
              <w:t xml:space="preserve"> ΔDIPs</w:t>
            </w:r>
            <w:r>
              <w:rPr>
                <w:rFonts w:eastAsia="Times New Roman" w:cs="Arial" w:ascii="Arial" w:hAnsi="Arial"/>
                <w:kern w:val="0"/>
                <w:sz w:val="20"/>
                <w:szCs w:val="20"/>
                <w:lang w:val="en-US" w:eastAsia="en-US" w:bidi="ar-SA"/>
              </w:rPr>
              <w:t xml:space="preserve"> = (rrem</w:t>
            </w:r>
            <w:r>
              <w:rPr>
                <w:rFonts w:eastAsia="Times New Roman" w:cs="Arial" w:ascii="Arial" w:hAnsi="Arial"/>
                <w:kern w:val="0"/>
                <w:sz w:val="20"/>
                <w:szCs w:val="20"/>
                <w:vertAlign w:val="subscript"/>
                <w:lang w:val="en-US" w:eastAsia="en-US" w:bidi="ar-SA"/>
              </w:rPr>
              <w:t>DIPs</w:t>
            </w:r>
            <w:r>
              <w:rPr>
                <w:rFonts w:eastAsia="Times New Roman" w:cs="Arial" w:ascii="Arial" w:hAnsi="Arial"/>
                <w:kern w:val="0"/>
                <w:sz w:val="20"/>
                <w:szCs w:val="20"/>
                <w:lang w:val="en-US" w:eastAsia="en-US" w:bidi="ar-SA"/>
              </w:rPr>
              <w:t xml:space="preserve"> + rpht</w:t>
            </w:r>
            <w:r>
              <w:rPr>
                <w:rFonts w:eastAsia="Times New Roman" w:cs="Arial" w:ascii="Arial" w:hAnsi="Arial"/>
                <w:kern w:val="0"/>
                <w:sz w:val="20"/>
                <w:szCs w:val="20"/>
                <w:vertAlign w:val="subscript"/>
                <w:lang w:val="en-US" w:eastAsia="en-US" w:bidi="ar-SA"/>
              </w:rPr>
              <w:t>DIPs</w:t>
            </w:r>
            <w:r>
              <w:rPr>
                <w:rFonts w:eastAsia="Times New Roman" w:cs="Arial" w:ascii="Arial" w:hAnsi="Arial"/>
                <w:kern w:val="0"/>
                <w:sz w:val="20"/>
                <w:szCs w:val="20"/>
                <w:lang w:val="en-US" w:eastAsia="en-US" w:bidi="ar-SA"/>
              </w:rPr>
              <w:t>) DOPs + rdes</w:t>
            </w:r>
            <w:r>
              <w:rPr>
                <w:rFonts w:eastAsia="Times New Roman" w:cs="Arial" w:ascii="Arial" w:hAnsi="Arial"/>
                <w:kern w:val="0"/>
                <w:sz w:val="20"/>
                <w:szCs w:val="20"/>
                <w:vertAlign w:val="subscript"/>
                <w:lang w:val="en-US" w:eastAsia="en-US" w:bidi="ar-SA"/>
              </w:rPr>
              <w:t>DIPs</w:t>
            </w:r>
            <w:r>
              <w:rPr>
                <w:rFonts w:eastAsia="Times New Roman" w:cs="Arial" w:ascii="Arial" w:hAnsi="Arial"/>
                <w:kern w:val="0"/>
                <w:sz w:val="20"/>
                <w:szCs w:val="20"/>
                <w:lang w:val="en-US" w:eastAsia="en-US" w:bidi="ar-SA"/>
              </w:rPr>
              <w:t xml:space="preserve"> PIPs – (</w:t>
            </w:r>
            <w:r>
              <w:rPr>
                <w:rFonts w:eastAsia="Times New Roman" w:cs="Arial" w:ascii="Arial" w:hAnsi="Arial"/>
                <w:b/>
                <w:bCs/>
                <w:kern w:val="0"/>
                <w:sz w:val="20"/>
                <w:szCs w:val="20"/>
                <w:lang w:val="en-US" w:eastAsia="en-US" w:bidi="ar-SA"/>
              </w:rPr>
              <w:t>fupt</w:t>
            </w:r>
            <w:r>
              <w:rPr>
                <w:rFonts w:eastAsia="Times New Roman" w:cs="Arial" w:ascii="Arial" w:hAnsi="Arial"/>
                <w:b/>
                <w:bCs/>
                <w:kern w:val="0"/>
                <w:sz w:val="20"/>
                <w:szCs w:val="20"/>
                <w:vertAlign w:val="subscript"/>
                <w:lang w:val="en-US" w:eastAsia="en-US" w:bidi="ar-SA"/>
              </w:rPr>
              <w:t>VEG</w:t>
            </w:r>
            <w:r>
              <w:rPr>
                <w:rFonts w:eastAsia="Times New Roman" w:cs="Arial" w:ascii="Arial" w:hAnsi="Arial"/>
                <w:kern w:val="0"/>
                <w:sz w:val="20"/>
                <w:szCs w:val="20"/>
                <w:lang w:val="en-US" w:eastAsia="en-US" w:bidi="ar-SA"/>
              </w:rPr>
              <w:t xml:space="preserve"> + rsor</w:t>
            </w:r>
            <w:r>
              <w:rPr>
                <w:rFonts w:eastAsia="Times New Roman" w:cs="Arial" w:ascii="Arial" w:hAnsi="Arial"/>
                <w:kern w:val="0"/>
                <w:sz w:val="20"/>
                <w:szCs w:val="20"/>
                <w:vertAlign w:val="subscript"/>
                <w:lang w:val="en-US" w:eastAsia="en-US" w:bidi="ar-SA"/>
              </w:rPr>
              <w:t>PIPs</w:t>
            </w:r>
            <w:r>
              <w:rPr>
                <w:rFonts w:eastAsia="Times New Roman" w:cs="Arial" w:ascii="Arial" w:hAnsi="Arial"/>
                <w:kern w:val="0"/>
                <w:sz w:val="20"/>
                <w:szCs w:val="20"/>
                <w:lang w:val="en-US" w:eastAsia="en-US" w:bidi="ar-SA"/>
              </w:rPr>
              <w:t xml:space="preserve"> + rdif</w:t>
            </w:r>
            <w:r>
              <w:rPr>
                <w:rFonts w:eastAsia="Times New Roman" w:cs="Arial" w:ascii="Arial" w:hAnsi="Arial"/>
                <w:kern w:val="0"/>
                <w:sz w:val="20"/>
                <w:szCs w:val="20"/>
                <w:vertAlign w:val="subscript"/>
                <w:lang w:val="en-US" w:eastAsia="en-US" w:bidi="ar-SA"/>
              </w:rPr>
              <w:t>DIPw</w:t>
            </w:r>
            <w:r>
              <w:rPr>
                <w:rFonts w:eastAsia="Times New Roman" w:cs="Arial" w:ascii="Arial" w:hAnsi="Arial"/>
                <w:kern w:val="0"/>
                <w:sz w:val="20"/>
                <w:szCs w:val="20"/>
                <w:lang w:val="en-US" w:eastAsia="en-US" w:bidi="ar-SA"/>
              </w:rPr>
              <w:t>) DIPs</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Δt</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PIPs      </w:t>
            </w:r>
            <w:r>
              <w:rPr>
                <w:rFonts w:eastAsia="Times New Roman" w:cs="Arial" w:ascii="Arial" w:hAnsi="Arial"/>
                <w:kern w:val="0"/>
                <w:sz w:val="20"/>
                <w:szCs w:val="20"/>
                <w:u w:val="single"/>
                <w:lang w:val="en-US" w:eastAsia="en-US" w:bidi="ar-SA"/>
              </w:rPr>
              <w:t xml:space="preserve"> ΔPIPs</w:t>
            </w:r>
            <w:r>
              <w:rPr>
                <w:rFonts w:eastAsia="Times New Roman" w:cs="Arial" w:ascii="Arial" w:hAnsi="Arial"/>
                <w:kern w:val="0"/>
                <w:sz w:val="20"/>
                <w:szCs w:val="20"/>
                <w:lang w:val="en-US" w:eastAsia="en-US" w:bidi="ar-SA"/>
              </w:rPr>
              <w:t xml:space="preserve"> = rsor</w:t>
            </w:r>
            <w:r>
              <w:rPr>
                <w:rFonts w:eastAsia="Times New Roman" w:cs="Arial" w:ascii="Arial" w:hAnsi="Arial"/>
                <w:kern w:val="0"/>
                <w:sz w:val="20"/>
                <w:szCs w:val="20"/>
                <w:vertAlign w:val="subscript"/>
                <w:lang w:val="en-US" w:eastAsia="en-US" w:bidi="ar-SA"/>
              </w:rPr>
              <w:t>PIPs</w:t>
            </w:r>
            <w:r>
              <w:rPr>
                <w:rFonts w:eastAsia="Times New Roman" w:cs="Arial" w:ascii="Arial" w:hAnsi="Arial"/>
                <w:kern w:val="0"/>
                <w:sz w:val="20"/>
                <w:szCs w:val="20"/>
                <w:lang w:val="en-US" w:eastAsia="en-US" w:bidi="ar-SA"/>
              </w:rPr>
              <w:t xml:space="preserve"> DIPs + rsnk</w:t>
            </w:r>
            <w:r>
              <w:rPr>
                <w:rFonts w:eastAsia="Times New Roman" w:cs="Arial" w:ascii="Arial" w:hAnsi="Arial"/>
                <w:kern w:val="0"/>
                <w:sz w:val="20"/>
                <w:szCs w:val="20"/>
                <w:vertAlign w:val="subscript"/>
                <w:lang w:val="en-US" w:eastAsia="en-US" w:bidi="ar-SA"/>
              </w:rPr>
              <w:t>PIPs</w:t>
            </w:r>
            <w:r>
              <w:rPr>
                <w:rFonts w:eastAsia="Times New Roman" w:cs="Arial" w:ascii="Arial" w:hAnsi="Arial"/>
                <w:kern w:val="0"/>
                <w:sz w:val="20"/>
                <w:szCs w:val="20"/>
                <w:lang w:val="en-US" w:eastAsia="en-US" w:bidi="ar-SA"/>
              </w:rPr>
              <w:t xml:space="preserve"> PIPw – (fsup</w:t>
            </w:r>
            <w:r>
              <w:rPr>
                <w:rFonts w:eastAsia="Times New Roman" w:cs="Arial" w:ascii="Arial" w:hAnsi="Arial"/>
                <w:kern w:val="0"/>
                <w:sz w:val="20"/>
                <w:szCs w:val="20"/>
                <w:vertAlign w:val="subscript"/>
                <w:lang w:val="en-US" w:eastAsia="en-US" w:bidi="ar-SA"/>
              </w:rPr>
              <w:t>PIPw</w:t>
            </w:r>
            <w:r>
              <w:rPr>
                <w:rFonts w:eastAsia="Times New Roman" w:cs="Arial" w:ascii="Arial" w:hAnsi="Arial"/>
                <w:kern w:val="0"/>
                <w:sz w:val="20"/>
                <w:szCs w:val="20"/>
                <w:lang w:val="en-US" w:eastAsia="en-US" w:bidi="ar-SA"/>
              </w:rPr>
              <w:t xml:space="preserve"> + rdes</w:t>
            </w:r>
            <w:r>
              <w:rPr>
                <w:rFonts w:eastAsia="Times New Roman" w:cs="Arial" w:ascii="Arial" w:hAnsi="Arial"/>
                <w:kern w:val="0"/>
                <w:sz w:val="20"/>
                <w:szCs w:val="20"/>
                <w:vertAlign w:val="subscript"/>
                <w:lang w:val="en-US" w:eastAsia="en-US" w:bidi="ar-SA"/>
              </w:rPr>
              <w:t>DIPs</w:t>
            </w:r>
            <w:r>
              <w:rPr>
                <w:rFonts w:eastAsia="Times New Roman" w:cs="Arial" w:ascii="Arial" w:hAnsi="Arial"/>
                <w:kern w:val="0"/>
                <w:sz w:val="20"/>
                <w:szCs w:val="20"/>
                <w:lang w:val="en-US" w:eastAsia="en-US" w:bidi="ar-SA"/>
              </w:rPr>
              <w:t xml:space="preserve"> + rdep</w:t>
            </w:r>
            <w:r>
              <w:rPr>
                <w:rFonts w:eastAsia="Times New Roman" w:cs="Arial" w:ascii="Arial" w:hAnsi="Arial"/>
                <w:kern w:val="0"/>
                <w:sz w:val="20"/>
                <w:szCs w:val="20"/>
                <w:vertAlign w:val="subscript"/>
                <w:lang w:val="en-US" w:eastAsia="en-US" w:bidi="ar-SA"/>
              </w:rPr>
              <w:t>PIPs</w:t>
            </w:r>
            <w:r>
              <w:rPr>
                <w:rFonts w:eastAsia="Times New Roman" w:cs="Arial" w:ascii="Arial" w:hAnsi="Arial"/>
                <w:kern w:val="0"/>
                <w:sz w:val="20"/>
                <w:szCs w:val="20"/>
                <w:lang w:val="en-US" w:eastAsia="en-US" w:bidi="ar-SA"/>
              </w:rPr>
              <w:t xml:space="preserve"> + </w:t>
            </w:r>
            <w:r>
              <w:rPr>
                <w:rFonts w:eastAsia="Times New Roman" w:cs="Arial" w:ascii="Arial" w:hAnsi="Arial"/>
                <w:b/>
                <w:bCs/>
                <w:kern w:val="0"/>
                <w:sz w:val="20"/>
                <w:szCs w:val="20"/>
                <w:lang w:val="en-US" w:eastAsia="en-US" w:bidi="ar-SA"/>
              </w:rPr>
              <w:t>fbtb</w:t>
            </w:r>
            <w:r>
              <w:rPr>
                <w:rFonts w:eastAsia="Times New Roman" w:cs="Arial" w:ascii="Arial" w:hAnsi="Arial"/>
                <w:b/>
                <w:bCs/>
                <w:kern w:val="0"/>
                <w:sz w:val="20"/>
                <w:szCs w:val="20"/>
                <w:vertAlign w:val="subscript"/>
                <w:lang w:val="en-US" w:eastAsia="en-US" w:bidi="ar-SA"/>
              </w:rPr>
              <w:t>POPw</w:t>
            </w:r>
            <w:r>
              <w:rPr>
                <w:rFonts w:eastAsia="Times New Roman" w:cs="Arial" w:ascii="Arial" w:hAnsi="Arial"/>
                <w:kern w:val="0"/>
                <w:sz w:val="20"/>
                <w:szCs w:val="20"/>
                <w:lang w:val="en-US" w:eastAsia="en-US" w:bidi="ar-SA"/>
              </w:rPr>
              <w:t>) PIPs</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Δt</w:t>
            </w:r>
          </w:p>
          <w:p>
            <w:pPr>
              <w:pStyle w:val="Normal"/>
              <w:widowControl w:val="false"/>
              <w:spacing w:before="0" w:after="120"/>
              <w:rPr>
                <w:rFonts w:eastAsia="Times New Roman" w:cs="Times New Roman"/>
                <w:kern w:val="0"/>
                <w:szCs w:val="20"/>
                <w:lang w:val="en-US" w:eastAsia="en-US" w:bidi="ar-SA"/>
              </w:rPr>
            </w:pPr>
            <w:r>
              <w:rPr>
                <w:rFonts w:eastAsia="Times New Roman" w:cs="Times New Roman"/>
                <w:kern w:val="0"/>
                <w:szCs w:val="20"/>
                <w:lang w:val="en-US" w:eastAsia="en-US" w:bidi="ar-SA"/>
              </w:rPr>
            </w:r>
          </w:p>
        </w:tc>
      </w:tr>
    </w:tbl>
    <w:p>
      <w:pPr>
        <w:pStyle w:val="Normal"/>
        <w:rPr/>
      </w:pPr>
      <w:r>
        <w:rPr/>
      </w:r>
    </w:p>
    <w:p>
      <w:pPr>
        <w:pStyle w:val="Normal"/>
        <w:rPr/>
      </w:pPr>
      <w:r>
        <w:rPr/>
      </w:r>
    </w:p>
    <w:p>
      <w:pPr>
        <w:pStyle w:val="Normal"/>
        <w:rPr/>
      </w:pPr>
      <w:r>
        <w:rPr/>
      </w:r>
    </w:p>
    <w:p>
      <w:pPr>
        <w:pStyle w:val="Caption"/>
        <w:rPr/>
      </w:pPr>
      <w:bookmarkStart w:id="187" w:name="_Toc182250938"/>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29</w:t>
      </w:r>
      <w:r>
        <w:rPr/>
        <w:fldChar w:fldCharType="end"/>
      </w:r>
      <w:r>
        <w:rPr/>
        <w:t>. Equations for water column phosphorus state variables (g P m</w:t>
      </w:r>
      <w:r>
        <w:rPr>
          <w:vertAlign w:val="superscript"/>
        </w:rPr>
        <w:t>-2</w:t>
      </w:r>
      <w:r>
        <w:rPr/>
        <w:t>) added in developing the CASM-STA.</w:t>
      </w:r>
      <w:bookmarkEnd w:id="187"/>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c>
          <w:tcPr>
            <w:tcW w:w="9350" w:type="dxa"/>
            <w:tcBorders/>
          </w:tcPr>
          <w:p>
            <w:pPr>
              <w:pStyle w:val="Normal"/>
              <w:widowControl w:val="false"/>
              <w:spacing w:lineRule="auto" w:line="240" w:before="0" w:after="0"/>
              <w:rPr>
                <w:rFonts w:ascii="Arial" w:hAnsi="Arial" w:cs="Arial"/>
              </w:rPr>
            </w:pPr>
            <w:r>
              <w:rPr>
                <w:rFonts w:eastAsia="Times New Roman" w:cs="Arial" w:ascii="Arial" w:hAnsi="Arial"/>
                <w:kern w:val="0"/>
                <w:szCs w:val="20"/>
                <w:lang w:val="en-US" w:eastAsia="en-US" w:bidi="ar-SA"/>
              </w:rPr>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POPw      </w:t>
            </w:r>
            <w:r>
              <w:rPr>
                <w:rFonts w:eastAsia="Times New Roman" w:cs="Arial" w:ascii="Arial" w:hAnsi="Arial"/>
                <w:kern w:val="0"/>
                <w:sz w:val="20"/>
                <w:szCs w:val="20"/>
                <w:u w:val="single"/>
                <w:lang w:val="en-US" w:eastAsia="en-US" w:bidi="ar-SA"/>
              </w:rPr>
              <w:t xml:space="preserve"> ΔPOPw</w:t>
            </w:r>
            <w:r>
              <w:rPr>
                <w:rFonts w:eastAsia="Times New Roman" w:cs="Arial" w:ascii="Arial" w:hAnsi="Arial"/>
                <w:kern w:val="0"/>
                <w:sz w:val="20"/>
                <w:szCs w:val="20"/>
                <w:lang w:val="en-US" w:eastAsia="en-US" w:bidi="ar-SA"/>
              </w:rPr>
              <w:t xml:space="preserve"> =  </w:t>
            </w:r>
            <w:r>
              <w:rPr>
                <w:rFonts w:eastAsia="Times New Roman" w:cs="Arial" w:ascii="Arial" w:hAnsi="Arial"/>
                <w:b/>
                <w:bCs/>
                <w:kern w:val="0"/>
                <w:sz w:val="20"/>
                <w:szCs w:val="20"/>
                <w:lang w:val="en-US" w:eastAsia="en-US" w:bidi="ar-SA"/>
              </w:rPr>
              <w:t>fegs</w:t>
            </w:r>
            <w:r>
              <w:rPr>
                <w:rFonts w:eastAsia="Times New Roman" w:cs="Arial" w:ascii="Arial" w:hAnsi="Arial"/>
                <w:b/>
                <w:bCs/>
                <w:kern w:val="0"/>
                <w:sz w:val="20"/>
                <w:szCs w:val="20"/>
                <w:vertAlign w:val="subscript"/>
                <w:lang w:val="en-US" w:eastAsia="en-US" w:bidi="ar-SA"/>
              </w:rPr>
              <w:t>FAUNA</w:t>
            </w:r>
            <w:r>
              <w:rPr>
                <w:rFonts w:eastAsia="Times New Roman" w:cs="Arial" w:ascii="Arial" w:hAnsi="Arial"/>
                <w:kern w:val="0"/>
                <w:sz w:val="20"/>
                <w:szCs w:val="20"/>
                <w:lang w:val="en-US" w:eastAsia="en-US" w:bidi="ar-SA"/>
              </w:rPr>
              <w:t xml:space="preserve"> FAUNA +fsul</w:t>
            </w:r>
            <w:r>
              <w:rPr>
                <w:rFonts w:eastAsia="Times New Roman" w:cs="Arial" w:ascii="Arial" w:hAnsi="Arial"/>
                <w:kern w:val="0"/>
                <w:sz w:val="20"/>
                <w:szCs w:val="20"/>
                <w:vertAlign w:val="subscript"/>
                <w:lang w:val="en-US" w:eastAsia="en-US" w:bidi="ar-SA"/>
              </w:rPr>
              <w:t>POPw</w:t>
            </w:r>
            <w:r>
              <w:rPr>
                <w:rFonts w:eastAsia="Times New Roman" w:cs="Arial" w:ascii="Arial" w:hAnsi="Arial"/>
                <w:kern w:val="0"/>
                <w:sz w:val="20"/>
                <w:szCs w:val="20"/>
                <w:lang w:val="en-US" w:eastAsia="en-US" w:bidi="ar-SA"/>
              </w:rPr>
              <w:t xml:space="preserve"> Plit + fsuf</w:t>
            </w:r>
            <w:r>
              <w:rPr>
                <w:rFonts w:eastAsia="Times New Roman" w:cs="Arial" w:ascii="Arial" w:hAnsi="Arial"/>
                <w:kern w:val="0"/>
                <w:sz w:val="20"/>
                <w:szCs w:val="20"/>
                <w:vertAlign w:val="subscript"/>
                <w:lang w:val="en-US" w:eastAsia="en-US" w:bidi="ar-SA"/>
              </w:rPr>
              <w:t>POPw</w:t>
            </w:r>
            <w:r>
              <w:rPr>
                <w:rFonts w:eastAsia="Times New Roman" w:cs="Arial" w:ascii="Arial" w:hAnsi="Arial"/>
                <w:kern w:val="0"/>
                <w:sz w:val="20"/>
                <w:szCs w:val="20"/>
                <w:lang w:val="en-US" w:eastAsia="en-US" w:bidi="ar-SA"/>
              </w:rPr>
              <w:t xml:space="preserve"> Pflc + fsuo</w:t>
            </w:r>
            <w:r>
              <w:rPr>
                <w:rFonts w:eastAsia="Times New Roman" w:cs="Arial" w:ascii="Arial" w:hAnsi="Arial"/>
                <w:kern w:val="0"/>
                <w:sz w:val="20"/>
                <w:szCs w:val="20"/>
                <w:vertAlign w:val="subscript"/>
                <w:lang w:val="en-US" w:eastAsia="en-US" w:bidi="ar-SA"/>
              </w:rPr>
              <w:t>POPw</w:t>
            </w:r>
            <w:r>
              <w:rPr>
                <w:rFonts w:eastAsia="Times New Roman" w:cs="Arial" w:ascii="Arial" w:hAnsi="Arial"/>
                <w:kern w:val="0"/>
                <w:sz w:val="20"/>
                <w:szCs w:val="20"/>
                <w:lang w:val="en-US" w:eastAsia="en-US" w:bidi="ar-SA"/>
              </w:rPr>
              <w:t xml:space="preserve"> POPs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 xml:space="preserve">Δt            + </w:t>
            </w:r>
            <w:r>
              <w:rPr>
                <w:rFonts w:eastAsia="Times New Roman" w:cs="Arial" w:ascii="Arial" w:hAnsi="Arial"/>
                <w:b/>
                <w:bCs/>
                <w:kern w:val="0"/>
                <w:sz w:val="20"/>
                <w:szCs w:val="20"/>
                <w:lang w:val="en-US" w:eastAsia="en-US" w:bidi="ar-SA"/>
              </w:rPr>
              <w:t>fbtb</w:t>
            </w:r>
            <w:r>
              <w:rPr>
                <w:rFonts w:eastAsia="Times New Roman" w:cs="Arial" w:ascii="Arial" w:hAnsi="Arial"/>
                <w:b/>
                <w:bCs/>
                <w:kern w:val="0"/>
                <w:sz w:val="20"/>
                <w:szCs w:val="20"/>
                <w:vertAlign w:val="subscript"/>
                <w:lang w:val="en-US" w:eastAsia="en-US" w:bidi="ar-SA"/>
              </w:rPr>
              <w:t>POPw</w:t>
            </w:r>
            <w:r>
              <w:rPr>
                <w:rFonts w:eastAsia="Times New Roman" w:cs="Arial" w:ascii="Arial" w:hAnsi="Arial"/>
                <w:kern w:val="0"/>
                <w:sz w:val="20"/>
                <w:szCs w:val="20"/>
                <w:lang w:val="en-US" w:eastAsia="en-US" w:bidi="ar-SA"/>
              </w:rPr>
              <w:t xml:space="preserve"> Plit + </w:t>
            </w:r>
            <w:r>
              <w:rPr>
                <w:rFonts w:eastAsia="Times New Roman" w:cs="Arial" w:ascii="Arial" w:hAnsi="Arial"/>
                <w:b/>
                <w:bCs/>
                <w:kern w:val="0"/>
                <w:sz w:val="20"/>
                <w:szCs w:val="20"/>
                <w:lang w:val="en-US" w:eastAsia="en-US" w:bidi="ar-SA"/>
              </w:rPr>
              <w:t>fbtb</w:t>
            </w:r>
            <w:r>
              <w:rPr>
                <w:rFonts w:eastAsia="Times New Roman" w:cs="Arial" w:ascii="Arial" w:hAnsi="Arial"/>
                <w:b/>
                <w:bCs/>
                <w:kern w:val="0"/>
                <w:sz w:val="20"/>
                <w:szCs w:val="20"/>
                <w:vertAlign w:val="subscript"/>
                <w:lang w:val="en-US" w:eastAsia="en-US" w:bidi="ar-SA"/>
              </w:rPr>
              <w:t>POPw</w:t>
            </w:r>
            <w:r>
              <w:rPr>
                <w:rFonts w:eastAsia="Times New Roman" w:cs="Arial" w:ascii="Arial" w:hAnsi="Arial"/>
                <w:kern w:val="0"/>
                <w:sz w:val="20"/>
                <w:szCs w:val="20"/>
                <w:lang w:val="en-US" w:eastAsia="en-US" w:bidi="ar-SA"/>
              </w:rPr>
              <w:t xml:space="preserve"> Pflc + </w:t>
            </w:r>
            <w:r>
              <w:rPr>
                <w:rFonts w:eastAsia="Times New Roman" w:cs="Arial" w:ascii="Arial" w:hAnsi="Arial"/>
                <w:b/>
                <w:bCs/>
                <w:kern w:val="0"/>
                <w:sz w:val="20"/>
                <w:szCs w:val="20"/>
                <w:lang w:val="en-US" w:eastAsia="en-US" w:bidi="ar-SA"/>
              </w:rPr>
              <w:t>ftfb</w:t>
            </w:r>
            <w:r>
              <w:rPr>
                <w:rFonts w:eastAsia="Times New Roman" w:cs="Arial" w:ascii="Arial" w:hAnsi="Arial"/>
                <w:b/>
                <w:bCs/>
                <w:kern w:val="0"/>
                <w:sz w:val="20"/>
                <w:szCs w:val="20"/>
                <w:vertAlign w:val="subscript"/>
                <w:lang w:val="en-US" w:eastAsia="en-US" w:bidi="ar-SA"/>
              </w:rPr>
              <w:t>POPw</w:t>
            </w:r>
            <w:r>
              <w:rPr>
                <w:rFonts w:eastAsia="Times New Roman" w:cs="Arial" w:ascii="Arial" w:hAnsi="Arial"/>
                <w:kern w:val="0"/>
                <w:sz w:val="20"/>
                <w:szCs w:val="20"/>
                <w:lang w:val="en-US" w:eastAsia="en-US" w:bidi="ar-SA"/>
              </w:rPr>
              <w:t xml:space="preserve"> POPs - (rstl</w:t>
            </w:r>
            <w:r>
              <w:rPr>
                <w:rFonts w:eastAsia="Times New Roman" w:cs="Arial" w:ascii="Arial" w:hAnsi="Arial"/>
                <w:kern w:val="0"/>
                <w:sz w:val="20"/>
                <w:szCs w:val="20"/>
                <w:vertAlign w:val="subscript"/>
                <w:lang w:val="en-US" w:eastAsia="en-US" w:bidi="ar-SA"/>
              </w:rPr>
              <w:t>PFLC</w:t>
            </w:r>
            <w:r>
              <w:rPr>
                <w:rFonts w:eastAsia="Times New Roman" w:cs="Arial" w:ascii="Arial" w:hAnsi="Arial"/>
                <w:kern w:val="0"/>
                <w:sz w:val="20"/>
                <w:szCs w:val="20"/>
                <w:lang w:val="en-US" w:eastAsia="en-US" w:bidi="ar-SA"/>
              </w:rPr>
              <w:t xml:space="preserve"> + rhyd</w:t>
            </w:r>
            <w:r>
              <w:rPr>
                <w:rFonts w:eastAsia="Times New Roman" w:cs="Arial" w:ascii="Arial" w:hAnsi="Arial"/>
                <w:kern w:val="0"/>
                <w:sz w:val="20"/>
                <w:szCs w:val="20"/>
                <w:vertAlign w:val="subscript"/>
                <w:lang w:val="en-US" w:eastAsia="en-US" w:bidi="ar-SA"/>
              </w:rPr>
              <w:t>DOPw</w:t>
            </w:r>
            <w:r>
              <w:rPr>
                <w:rFonts w:eastAsia="Times New Roman" w:cs="Arial" w:ascii="Arial" w:hAnsi="Arial"/>
                <w:kern w:val="0"/>
                <w:sz w:val="20"/>
                <w:szCs w:val="20"/>
                <w:lang w:val="en-US" w:eastAsia="en-US" w:bidi="ar-SA"/>
              </w:rPr>
              <w:t xml:space="preserve">) POPw +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(Inflow – Outflow) POPw</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DOPw      </w:t>
            </w:r>
            <w:r>
              <w:rPr>
                <w:rFonts w:eastAsia="Times New Roman" w:cs="Arial" w:ascii="Arial" w:hAnsi="Arial"/>
                <w:kern w:val="0"/>
                <w:sz w:val="20"/>
                <w:szCs w:val="20"/>
                <w:u w:val="single"/>
                <w:lang w:val="en-US" w:eastAsia="en-US" w:bidi="ar-SA"/>
              </w:rPr>
              <w:t xml:space="preserve"> ΔDOPw</w:t>
            </w:r>
            <w:r>
              <w:rPr>
                <w:rFonts w:eastAsia="Times New Roman" w:cs="Arial" w:ascii="Arial" w:hAnsi="Arial"/>
                <w:kern w:val="0"/>
                <w:sz w:val="20"/>
                <w:szCs w:val="20"/>
                <w:lang w:val="en-US" w:eastAsia="en-US" w:bidi="ar-SA"/>
              </w:rPr>
              <w:t xml:space="preserve"> = </w:t>
            </w:r>
            <w:r>
              <w:rPr>
                <w:rFonts w:eastAsia="Times New Roman" w:cs="Arial" w:ascii="Arial" w:hAnsi="Arial"/>
                <w:b/>
                <w:bCs/>
                <w:kern w:val="0"/>
                <w:sz w:val="20"/>
                <w:szCs w:val="20"/>
                <w:lang w:val="en-US" w:eastAsia="en-US" w:bidi="ar-SA"/>
              </w:rPr>
              <w:t>rxud</w:t>
            </w:r>
            <w:r>
              <w:rPr>
                <w:rFonts w:eastAsia="Times New Roman" w:cs="Arial" w:ascii="Arial" w:hAnsi="Arial"/>
                <w:b/>
                <w:bCs/>
                <w:kern w:val="0"/>
                <w:sz w:val="20"/>
                <w:szCs w:val="20"/>
                <w:vertAlign w:val="subscript"/>
                <w:lang w:val="en-US" w:eastAsia="en-US" w:bidi="ar-SA"/>
              </w:rPr>
              <w:t>PHYT</w:t>
            </w:r>
            <w:r>
              <w:rPr>
                <w:rFonts w:eastAsia="Times New Roman" w:cs="Arial" w:ascii="Arial" w:hAnsi="Arial"/>
                <w:kern w:val="0"/>
                <w:sz w:val="20"/>
                <w:szCs w:val="20"/>
                <w:lang w:val="en-US" w:eastAsia="en-US" w:bidi="ar-SA"/>
              </w:rPr>
              <w:t xml:space="preserve"> PHYT + </w:t>
            </w:r>
            <w:r>
              <w:rPr>
                <w:rFonts w:eastAsia="Times New Roman" w:cs="Arial" w:ascii="Arial" w:hAnsi="Arial"/>
                <w:b/>
                <w:bCs/>
                <w:kern w:val="0"/>
                <w:sz w:val="20"/>
                <w:szCs w:val="20"/>
                <w:lang w:val="en-US" w:eastAsia="en-US" w:bidi="ar-SA"/>
              </w:rPr>
              <w:t>rxud</w:t>
            </w:r>
            <w:r>
              <w:rPr>
                <w:rFonts w:eastAsia="Times New Roman" w:cs="Arial" w:ascii="Arial" w:hAnsi="Arial"/>
                <w:b/>
                <w:bCs/>
                <w:kern w:val="0"/>
                <w:sz w:val="20"/>
                <w:szCs w:val="20"/>
                <w:vertAlign w:val="subscript"/>
                <w:lang w:val="en-US" w:eastAsia="en-US" w:bidi="ar-SA"/>
              </w:rPr>
              <w:t>PERI</w:t>
            </w:r>
            <w:r>
              <w:rPr>
                <w:rFonts w:eastAsia="Times New Roman" w:cs="Arial" w:ascii="Arial" w:hAnsi="Arial"/>
                <w:kern w:val="0"/>
                <w:sz w:val="20"/>
                <w:szCs w:val="20"/>
                <w:lang w:val="en-US" w:eastAsia="en-US" w:bidi="ar-SA"/>
              </w:rPr>
              <w:t xml:space="preserve"> PERI + rhyd</w:t>
            </w:r>
            <w:r>
              <w:rPr>
                <w:rFonts w:eastAsia="Times New Roman" w:cs="Arial" w:ascii="Arial" w:hAnsi="Arial"/>
                <w:kern w:val="0"/>
                <w:sz w:val="20"/>
                <w:szCs w:val="20"/>
                <w:vertAlign w:val="subscript"/>
                <w:lang w:val="en-US" w:eastAsia="en-US" w:bidi="ar-SA"/>
              </w:rPr>
              <w:t>DOPw</w:t>
            </w:r>
            <w:r>
              <w:rPr>
                <w:rFonts w:eastAsia="Times New Roman" w:cs="Arial" w:ascii="Arial" w:hAnsi="Arial"/>
                <w:kern w:val="0"/>
                <w:sz w:val="20"/>
                <w:szCs w:val="20"/>
                <w:lang w:val="en-US" w:eastAsia="en-US" w:bidi="ar-SA"/>
              </w:rPr>
              <w:t xml:space="preserve"> POPw + rdif</w:t>
            </w:r>
            <w:r>
              <w:rPr>
                <w:rFonts w:eastAsia="Times New Roman" w:cs="Arial" w:ascii="Arial" w:hAnsi="Arial"/>
                <w:kern w:val="0"/>
                <w:sz w:val="20"/>
                <w:szCs w:val="20"/>
                <w:vertAlign w:val="subscript"/>
                <w:lang w:val="en-US" w:eastAsia="en-US" w:bidi="ar-SA"/>
              </w:rPr>
              <w:t>DOPw</w:t>
            </w:r>
            <w:r>
              <w:rPr>
                <w:rFonts w:eastAsia="Times New Roman" w:cs="Arial" w:ascii="Arial" w:hAnsi="Arial"/>
                <w:kern w:val="0"/>
                <w:sz w:val="20"/>
                <w:szCs w:val="20"/>
                <w:lang w:val="en-US" w:eastAsia="en-US" w:bidi="ar-SA"/>
              </w:rPr>
              <w:t xml:space="preserve"> DOPs –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Δt         (rpht</w:t>
            </w:r>
            <w:r>
              <w:rPr>
                <w:rFonts w:eastAsia="Times New Roman" w:cs="Arial" w:ascii="Arial" w:hAnsi="Arial"/>
                <w:kern w:val="0"/>
                <w:sz w:val="20"/>
                <w:szCs w:val="20"/>
                <w:vertAlign w:val="subscript"/>
                <w:lang w:val="en-US" w:eastAsia="en-US" w:bidi="ar-SA"/>
              </w:rPr>
              <w:t>DIPw</w:t>
            </w:r>
            <w:r>
              <w:rPr>
                <w:rFonts w:eastAsia="Times New Roman" w:cs="Arial" w:ascii="Arial" w:hAnsi="Arial"/>
                <w:kern w:val="0"/>
                <w:sz w:val="20"/>
                <w:szCs w:val="20"/>
                <w:lang w:val="en-US" w:eastAsia="en-US" w:bidi="ar-SA"/>
              </w:rPr>
              <w:t xml:space="preserve"> + rrem</w:t>
            </w:r>
            <w:r>
              <w:rPr>
                <w:rFonts w:eastAsia="Times New Roman" w:cs="Arial" w:ascii="Arial" w:hAnsi="Arial"/>
                <w:kern w:val="0"/>
                <w:sz w:val="20"/>
                <w:szCs w:val="20"/>
                <w:vertAlign w:val="subscript"/>
                <w:lang w:val="en-US" w:eastAsia="en-US" w:bidi="ar-SA"/>
              </w:rPr>
              <w:t>DIPw</w:t>
            </w:r>
            <w:r>
              <w:rPr>
                <w:rFonts w:eastAsia="Times New Roman" w:cs="Arial" w:ascii="Arial" w:hAnsi="Arial"/>
                <w:kern w:val="0"/>
                <w:sz w:val="20"/>
                <w:szCs w:val="20"/>
                <w:lang w:val="en-US" w:eastAsia="en-US" w:bidi="ar-SA"/>
              </w:rPr>
              <w:t>) DOPw + (Inflow – Outflow) DOPw</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DIPw      </w:t>
            </w:r>
            <w:r>
              <w:rPr>
                <w:rFonts w:eastAsia="Times New Roman" w:cs="Arial" w:ascii="Arial" w:hAnsi="Arial"/>
                <w:kern w:val="0"/>
                <w:sz w:val="20"/>
                <w:szCs w:val="20"/>
                <w:u w:val="single"/>
                <w:lang w:val="en-US" w:eastAsia="en-US" w:bidi="ar-SA"/>
              </w:rPr>
              <w:t xml:space="preserve"> ΔDIPw</w:t>
            </w:r>
            <w:r>
              <w:rPr>
                <w:rFonts w:eastAsia="Times New Roman" w:cs="Arial" w:ascii="Arial" w:hAnsi="Arial"/>
                <w:kern w:val="0"/>
                <w:sz w:val="20"/>
                <w:szCs w:val="20"/>
                <w:lang w:val="en-US" w:eastAsia="en-US" w:bidi="ar-SA"/>
              </w:rPr>
              <w:t xml:space="preserve"> = (rpht</w:t>
            </w:r>
            <w:r>
              <w:rPr>
                <w:rFonts w:eastAsia="Times New Roman" w:cs="Arial" w:ascii="Arial" w:hAnsi="Arial"/>
                <w:kern w:val="0"/>
                <w:sz w:val="20"/>
                <w:szCs w:val="20"/>
                <w:vertAlign w:val="subscript"/>
                <w:lang w:val="en-US" w:eastAsia="en-US" w:bidi="ar-SA"/>
              </w:rPr>
              <w:t>DIPw</w:t>
            </w:r>
            <w:r>
              <w:rPr>
                <w:rFonts w:eastAsia="Times New Roman" w:cs="Arial" w:ascii="Arial" w:hAnsi="Arial"/>
                <w:kern w:val="0"/>
                <w:sz w:val="20"/>
                <w:szCs w:val="20"/>
                <w:lang w:val="en-US" w:eastAsia="en-US" w:bidi="ar-SA"/>
              </w:rPr>
              <w:t xml:space="preserve"> + rrem</w:t>
            </w:r>
            <w:r>
              <w:rPr>
                <w:rFonts w:eastAsia="Times New Roman" w:cs="Arial" w:ascii="Arial" w:hAnsi="Arial"/>
                <w:kern w:val="0"/>
                <w:sz w:val="20"/>
                <w:szCs w:val="20"/>
                <w:vertAlign w:val="subscript"/>
                <w:lang w:val="en-US" w:eastAsia="en-US" w:bidi="ar-SA"/>
              </w:rPr>
              <w:t>DIPw</w:t>
            </w:r>
            <w:r>
              <w:rPr>
                <w:rFonts w:eastAsia="Times New Roman" w:cs="Arial" w:ascii="Arial" w:hAnsi="Arial"/>
                <w:kern w:val="0"/>
                <w:sz w:val="20"/>
                <w:szCs w:val="20"/>
                <w:lang w:val="en-US" w:eastAsia="en-US" w:bidi="ar-SA"/>
              </w:rPr>
              <w:t>) DOPw + rdif</w:t>
            </w:r>
            <w:r>
              <w:rPr>
                <w:rFonts w:eastAsia="Times New Roman" w:cs="Arial" w:ascii="Arial" w:hAnsi="Arial"/>
                <w:kern w:val="0"/>
                <w:sz w:val="20"/>
                <w:szCs w:val="20"/>
                <w:vertAlign w:val="subscript"/>
                <w:lang w:val="en-US" w:eastAsia="en-US" w:bidi="ar-SA"/>
              </w:rPr>
              <w:t>DIPw</w:t>
            </w:r>
            <w:r>
              <w:rPr>
                <w:rFonts w:eastAsia="Times New Roman" w:cs="Arial" w:ascii="Arial" w:hAnsi="Arial"/>
                <w:kern w:val="0"/>
                <w:sz w:val="20"/>
                <w:szCs w:val="20"/>
                <w:lang w:val="en-US" w:eastAsia="en-US" w:bidi="ar-SA"/>
              </w:rPr>
              <w:t xml:space="preserve"> DIPs + rsor</w:t>
            </w:r>
            <w:r>
              <w:rPr>
                <w:rFonts w:eastAsia="Times New Roman" w:cs="Arial" w:ascii="Arial" w:hAnsi="Arial"/>
                <w:kern w:val="0"/>
                <w:sz w:val="20"/>
                <w:szCs w:val="20"/>
                <w:vertAlign w:val="subscript"/>
                <w:lang w:val="en-US" w:eastAsia="en-US" w:bidi="ar-SA"/>
              </w:rPr>
              <w:t>DIPw</w:t>
            </w:r>
            <w:r>
              <w:rPr>
                <w:rFonts w:eastAsia="Times New Roman" w:cs="Arial" w:ascii="Arial" w:hAnsi="Arial"/>
                <w:kern w:val="0"/>
                <w:sz w:val="20"/>
                <w:szCs w:val="20"/>
                <w:lang w:val="en-US" w:eastAsia="en-US" w:bidi="ar-SA"/>
              </w:rPr>
              <w:t xml:space="preserve"> PIPw +</w:t>
            </w:r>
            <w:r>
              <w:rPr>
                <w:rFonts w:eastAsia="Times New Roman" w:cs="Arial" w:ascii="Arial" w:hAnsi="Arial"/>
                <w:b/>
                <w:bCs/>
                <w:kern w:val="0"/>
                <w:sz w:val="20"/>
                <w:szCs w:val="20"/>
                <w:lang w:val="en-US" w:eastAsia="en-US" w:bidi="ar-SA"/>
              </w:rPr>
              <w:t>fexc</w:t>
            </w:r>
            <w:r>
              <w:rPr>
                <w:rFonts w:eastAsia="Times New Roman" w:cs="Arial" w:ascii="Arial" w:hAnsi="Arial"/>
                <w:b/>
                <w:bCs/>
                <w:kern w:val="0"/>
                <w:sz w:val="20"/>
                <w:szCs w:val="20"/>
                <w:vertAlign w:val="subscript"/>
                <w:lang w:val="en-US" w:eastAsia="en-US" w:bidi="ar-SA"/>
              </w:rPr>
              <w:t>FAUNA</w:t>
            </w:r>
            <w:r>
              <w:rPr>
                <w:rFonts w:eastAsia="Times New Roman" w:cs="Arial" w:ascii="Arial" w:hAnsi="Arial"/>
                <w:kern w:val="0"/>
                <w:sz w:val="20"/>
                <w:szCs w:val="20"/>
                <w:lang w:val="en-US" w:eastAsia="en-US" w:bidi="ar-SA"/>
              </w:rPr>
              <w:t xml:space="preserve"> FAUNA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 xml:space="preserve">Δt        - coprc DIPw - </w:t>
            </w:r>
            <w:r>
              <w:rPr>
                <w:rFonts w:eastAsia="Times New Roman" w:cs="Arial" w:ascii="Arial" w:hAnsi="Arial"/>
                <w:b/>
                <w:bCs/>
                <w:kern w:val="0"/>
                <w:sz w:val="20"/>
                <w:szCs w:val="20"/>
                <w:lang w:val="en-US" w:eastAsia="en-US" w:bidi="ar-SA"/>
              </w:rPr>
              <w:t>fupt</w:t>
            </w:r>
            <w:r>
              <w:rPr>
                <w:rFonts w:eastAsia="Times New Roman" w:cs="Arial" w:ascii="Arial" w:hAnsi="Arial"/>
                <w:b/>
                <w:bCs/>
                <w:kern w:val="0"/>
                <w:sz w:val="20"/>
                <w:szCs w:val="20"/>
                <w:vertAlign w:val="subscript"/>
                <w:lang w:val="en-US" w:eastAsia="en-US" w:bidi="ar-SA"/>
              </w:rPr>
              <w:t>PHYT</w:t>
            </w:r>
            <w:r>
              <w:rPr>
                <w:rFonts w:eastAsia="Times New Roman" w:cs="Arial" w:ascii="Arial" w:hAnsi="Arial"/>
                <w:kern w:val="0"/>
                <w:sz w:val="20"/>
                <w:szCs w:val="20"/>
                <w:lang w:val="en-US" w:eastAsia="en-US" w:bidi="ar-SA"/>
              </w:rPr>
              <w:t xml:space="preserve"> PHYT – </w:t>
            </w:r>
            <w:r>
              <w:rPr>
                <w:rFonts w:eastAsia="Times New Roman" w:cs="Arial" w:ascii="Arial" w:hAnsi="Arial"/>
                <w:b/>
                <w:bCs/>
                <w:kern w:val="0"/>
                <w:sz w:val="20"/>
                <w:szCs w:val="20"/>
                <w:lang w:val="en-US" w:eastAsia="en-US" w:bidi="ar-SA"/>
              </w:rPr>
              <w:t>fupt</w:t>
            </w:r>
            <w:r>
              <w:rPr>
                <w:rFonts w:eastAsia="Times New Roman" w:cs="Arial" w:ascii="Arial" w:hAnsi="Arial"/>
                <w:b/>
                <w:bCs/>
                <w:kern w:val="0"/>
                <w:sz w:val="20"/>
                <w:szCs w:val="20"/>
                <w:vertAlign w:val="subscript"/>
                <w:lang w:val="en-US" w:eastAsia="en-US" w:bidi="ar-SA"/>
              </w:rPr>
              <w:t>PERI</w:t>
            </w:r>
            <w:r>
              <w:rPr>
                <w:rFonts w:eastAsia="Times New Roman" w:cs="Arial" w:ascii="Arial" w:hAnsi="Arial"/>
                <w:kern w:val="0"/>
                <w:sz w:val="20"/>
                <w:szCs w:val="20"/>
                <w:lang w:val="en-US" w:eastAsia="en-US" w:bidi="ar-SA"/>
              </w:rPr>
              <w:t xml:space="preserve"> PERI – </w:t>
            </w:r>
            <w:r>
              <w:rPr>
                <w:rFonts w:eastAsia="Times New Roman" w:cs="Arial" w:ascii="Arial" w:hAnsi="Arial"/>
                <w:b/>
                <w:bCs/>
                <w:kern w:val="0"/>
                <w:sz w:val="20"/>
                <w:szCs w:val="20"/>
                <w:lang w:val="en-US" w:eastAsia="en-US" w:bidi="ar-SA"/>
              </w:rPr>
              <w:t>fupt</w:t>
            </w:r>
            <w:r>
              <w:rPr>
                <w:rFonts w:eastAsia="Times New Roman" w:cs="Arial" w:ascii="Arial" w:hAnsi="Arial"/>
                <w:b/>
                <w:bCs/>
                <w:kern w:val="0"/>
                <w:sz w:val="20"/>
                <w:szCs w:val="20"/>
                <w:vertAlign w:val="subscript"/>
                <w:lang w:val="en-US" w:eastAsia="en-US" w:bidi="ar-SA"/>
              </w:rPr>
              <w:t>SAV</w:t>
            </w:r>
            <w:r>
              <w:rPr>
                <w:rFonts w:eastAsia="Times New Roman" w:cs="Arial" w:ascii="Arial" w:hAnsi="Arial"/>
                <w:kern w:val="0"/>
                <w:sz w:val="20"/>
                <w:szCs w:val="20"/>
                <w:lang w:val="en-US" w:eastAsia="en-US" w:bidi="ar-SA"/>
              </w:rPr>
              <w:t xml:space="preserve"> SAV -rsor</w:t>
            </w:r>
            <w:r>
              <w:rPr>
                <w:rFonts w:eastAsia="Times New Roman" w:cs="Arial" w:ascii="Arial" w:hAnsi="Arial"/>
                <w:kern w:val="0"/>
                <w:sz w:val="20"/>
                <w:szCs w:val="20"/>
                <w:vertAlign w:val="subscript"/>
                <w:lang w:val="en-US" w:eastAsia="en-US" w:bidi="ar-SA"/>
              </w:rPr>
              <w:t>PIPw</w:t>
            </w:r>
            <w:r>
              <w:rPr>
                <w:rFonts w:eastAsia="Times New Roman" w:cs="Arial" w:ascii="Arial" w:hAnsi="Arial"/>
                <w:kern w:val="0"/>
                <w:sz w:val="20"/>
                <w:szCs w:val="20"/>
                <w:lang w:val="en-US" w:eastAsia="en-US" w:bidi="ar-SA"/>
              </w:rPr>
              <w:t xml:space="preserve"> DIPw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 (Inflow – Outflow) DIPw</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PIPw      </w:t>
            </w:r>
            <w:r>
              <w:rPr>
                <w:rFonts w:eastAsia="Times New Roman" w:cs="Arial" w:ascii="Arial" w:hAnsi="Arial"/>
                <w:kern w:val="0"/>
                <w:sz w:val="20"/>
                <w:szCs w:val="20"/>
                <w:u w:val="single"/>
                <w:lang w:val="en-US" w:eastAsia="en-US" w:bidi="ar-SA"/>
              </w:rPr>
              <w:t xml:space="preserve"> ΔPIPw</w:t>
            </w:r>
            <w:r>
              <w:rPr>
                <w:rFonts w:eastAsia="Times New Roman" w:cs="Arial" w:ascii="Arial" w:hAnsi="Arial"/>
                <w:kern w:val="0"/>
                <w:sz w:val="20"/>
                <w:szCs w:val="20"/>
                <w:lang w:val="en-US" w:eastAsia="en-US" w:bidi="ar-SA"/>
              </w:rPr>
              <w:t xml:space="preserve"> = rsor</w:t>
            </w:r>
            <w:r>
              <w:rPr>
                <w:rFonts w:eastAsia="Times New Roman" w:cs="Arial" w:ascii="Arial" w:hAnsi="Arial"/>
                <w:kern w:val="0"/>
                <w:sz w:val="20"/>
                <w:szCs w:val="20"/>
                <w:vertAlign w:val="subscript"/>
                <w:lang w:val="en-US" w:eastAsia="en-US" w:bidi="ar-SA"/>
              </w:rPr>
              <w:t>PIPw</w:t>
            </w:r>
            <w:r>
              <w:rPr>
                <w:rFonts w:eastAsia="Times New Roman" w:cs="Arial" w:ascii="Arial" w:hAnsi="Arial"/>
                <w:kern w:val="0"/>
                <w:sz w:val="20"/>
                <w:szCs w:val="20"/>
                <w:lang w:val="en-US" w:eastAsia="en-US" w:bidi="ar-SA"/>
              </w:rPr>
              <w:t xml:space="preserve"> DIPw + </w:t>
            </w:r>
            <w:r>
              <w:rPr>
                <w:rFonts w:eastAsia="Times New Roman" w:cs="Arial" w:ascii="Arial" w:hAnsi="Arial"/>
                <w:b/>
                <w:bCs/>
                <w:kern w:val="0"/>
                <w:sz w:val="20"/>
                <w:szCs w:val="20"/>
                <w:lang w:val="en-US" w:eastAsia="en-US" w:bidi="ar-SA"/>
              </w:rPr>
              <w:t>fbtb</w:t>
            </w:r>
            <w:r>
              <w:rPr>
                <w:rFonts w:eastAsia="Times New Roman" w:cs="Arial" w:ascii="Arial" w:hAnsi="Arial"/>
                <w:b/>
                <w:bCs/>
                <w:kern w:val="0"/>
                <w:sz w:val="20"/>
                <w:szCs w:val="20"/>
                <w:vertAlign w:val="subscript"/>
                <w:lang w:val="en-US" w:eastAsia="en-US" w:bidi="ar-SA"/>
              </w:rPr>
              <w:t>PIPw</w:t>
            </w:r>
            <w:r>
              <w:rPr>
                <w:rFonts w:eastAsia="Times New Roman" w:cs="Arial" w:ascii="Arial" w:hAnsi="Arial"/>
                <w:kern w:val="0"/>
                <w:sz w:val="20"/>
                <w:szCs w:val="20"/>
                <w:lang w:val="en-US" w:eastAsia="en-US" w:bidi="ar-SA"/>
              </w:rPr>
              <w:t xml:space="preserve"> PIPs + fsup</w:t>
            </w:r>
            <w:r>
              <w:rPr>
                <w:rFonts w:eastAsia="Times New Roman" w:cs="Arial" w:ascii="Arial" w:hAnsi="Arial"/>
                <w:kern w:val="0"/>
                <w:sz w:val="20"/>
                <w:szCs w:val="20"/>
                <w:vertAlign w:val="subscript"/>
                <w:lang w:val="en-US" w:eastAsia="en-US" w:bidi="ar-SA"/>
              </w:rPr>
              <w:t>PIPw</w:t>
            </w:r>
            <w:r>
              <w:rPr>
                <w:rFonts w:eastAsia="Times New Roman" w:cs="Arial" w:ascii="Arial" w:hAnsi="Arial"/>
                <w:kern w:val="0"/>
                <w:sz w:val="20"/>
                <w:szCs w:val="20"/>
                <w:lang w:val="en-US" w:eastAsia="en-US" w:bidi="ar-SA"/>
              </w:rPr>
              <w:t xml:space="preserve"> PIPs – (rdes</w:t>
            </w:r>
            <w:r>
              <w:rPr>
                <w:rFonts w:eastAsia="Times New Roman" w:cs="Arial" w:ascii="Arial" w:hAnsi="Arial"/>
                <w:kern w:val="0"/>
                <w:sz w:val="20"/>
                <w:szCs w:val="20"/>
                <w:vertAlign w:val="subscript"/>
                <w:lang w:val="en-US" w:eastAsia="en-US" w:bidi="ar-SA"/>
              </w:rPr>
              <w:t>DIPw</w:t>
            </w:r>
            <w:r>
              <w:rPr>
                <w:rFonts w:eastAsia="Times New Roman" w:cs="Arial" w:ascii="Arial" w:hAnsi="Arial"/>
                <w:kern w:val="0"/>
                <w:sz w:val="20"/>
                <w:szCs w:val="20"/>
                <w:lang w:val="en-US" w:eastAsia="en-US" w:bidi="ar-SA"/>
              </w:rPr>
              <w:t xml:space="preserve"> + rsnk</w:t>
            </w:r>
            <w:r>
              <w:rPr>
                <w:rFonts w:eastAsia="Times New Roman" w:cs="Arial" w:ascii="Arial" w:hAnsi="Arial"/>
                <w:kern w:val="0"/>
                <w:sz w:val="20"/>
                <w:szCs w:val="20"/>
                <w:vertAlign w:val="subscript"/>
                <w:lang w:val="en-US" w:eastAsia="en-US" w:bidi="ar-SA"/>
              </w:rPr>
              <w:t>PIPs</w:t>
            </w:r>
            <w:r>
              <w:rPr>
                <w:rFonts w:eastAsia="Times New Roman" w:cs="Arial" w:ascii="Arial" w:hAnsi="Arial"/>
                <w:kern w:val="0"/>
                <w:sz w:val="20"/>
                <w:szCs w:val="20"/>
                <w:lang w:val="en-US" w:eastAsia="en-US" w:bidi="ar-SA"/>
              </w:rPr>
              <w:t xml:space="preserve">) PIPw </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t xml:space="preserve">                   </w:t>
            </w:r>
            <w:r>
              <w:rPr>
                <w:rFonts w:eastAsia="Times New Roman" w:cs="Arial" w:ascii="Arial" w:hAnsi="Arial"/>
                <w:kern w:val="0"/>
                <w:sz w:val="20"/>
                <w:szCs w:val="20"/>
                <w:lang w:val="en-US" w:eastAsia="en-US" w:bidi="ar-SA"/>
              </w:rPr>
              <w:t>Δt        + coprc DIPw (Inflow – Outflow) PIPw</w:t>
            </w:r>
          </w:p>
          <w:p>
            <w:pPr>
              <w:pStyle w:val="Normal"/>
              <w:widowControl w:val="false"/>
              <w:spacing w:lineRule="auto" w:line="240" w:before="0" w:after="0"/>
              <w:rPr>
                <w:rFonts w:ascii="Arial" w:hAnsi="Arial" w:cs="Arial"/>
                <w:sz w:val="20"/>
              </w:rPr>
            </w:pPr>
            <w:r>
              <w:rPr>
                <w:rFonts w:eastAsia="Times New Roman" w:cs="Arial" w:ascii="Arial" w:hAnsi="Arial"/>
                <w:kern w:val="0"/>
                <w:sz w:val="20"/>
                <w:szCs w:val="20"/>
                <w:lang w:val="en-US" w:eastAsia="en-US" w:bidi="ar-SA"/>
              </w:rPr>
            </w:r>
          </w:p>
          <w:p>
            <w:pPr>
              <w:pStyle w:val="Normal"/>
              <w:widowControl w:val="false"/>
              <w:spacing w:lineRule="auto" w:line="240" w:before="0" w:after="0"/>
              <w:rPr>
                <w:rFonts w:eastAsia="Times New Roman" w:cs="Times New Roman"/>
                <w:kern w:val="0"/>
                <w:szCs w:val="20"/>
                <w:lang w:val="en-US" w:eastAsia="en-US" w:bidi="ar-SA"/>
              </w:rPr>
            </w:pPr>
            <w:r>
              <w:rPr>
                <w:rFonts w:eastAsia="Times New Roman" w:cs="Times New Roman"/>
                <w:kern w:val="0"/>
                <w:szCs w:val="20"/>
                <w:lang w:val="en-US" w:eastAsia="en-US" w:bidi="ar-SA"/>
              </w:rPr>
            </w:r>
          </w:p>
        </w:tc>
      </w:tr>
    </w:tbl>
    <w:p>
      <w:pPr>
        <w:pStyle w:val="Normal"/>
        <w:rPr/>
      </w:pPr>
      <w:r>
        <w:rPr/>
      </w:r>
    </w:p>
    <w:p>
      <w:pPr>
        <w:pStyle w:val="Normal"/>
        <w:spacing w:lineRule="auto" w:line="240" w:before="0" w:after="0"/>
        <w:jc w:val="left"/>
        <w:rPr/>
      </w:pPr>
      <w:r>
        <w:rPr/>
      </w:r>
      <w:r>
        <w:br w:type="page"/>
      </w:r>
    </w:p>
    <w:p>
      <w:pPr>
        <w:pStyle w:val="Caption"/>
        <w:spacing w:before="0" w:after="60"/>
        <w:rPr/>
      </w:pPr>
      <w:bookmarkStart w:id="188" w:name="_Toc182250939"/>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30</w:t>
      </w:r>
      <w:r>
        <w:rPr/>
        <w:fldChar w:fldCharType="end"/>
      </w:r>
      <w:r>
        <w:rPr/>
        <w:t>. Cross-comparison of shared BGC and CASM-STA parameters.</w:t>
      </w:r>
      <w:bookmarkEnd w:id="188"/>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5"/>
        <w:gridCol w:w="2680"/>
        <w:gridCol w:w="1169"/>
        <w:gridCol w:w="1531"/>
        <w:gridCol w:w="1440"/>
        <w:gridCol w:w="1254"/>
      </w:tblGrid>
      <w:tr>
        <w:trPr>
          <w:cantSplit w:val="true"/>
        </w:trPr>
        <w:tc>
          <w:tcPr>
            <w:tcW w:w="5124" w:type="dxa"/>
            <w:gridSpan w:val="3"/>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BGC model</w:t>
            </w:r>
          </w:p>
        </w:tc>
        <w:tc>
          <w:tcPr>
            <w:tcW w:w="4225" w:type="dxa"/>
            <w:gridSpan w:val="3"/>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CASM-STA</w:t>
            </w:r>
          </w:p>
        </w:tc>
      </w:tr>
      <w:tr>
        <w:trPr>
          <w:cantSplit w:val="true"/>
        </w:trPr>
        <w:tc>
          <w:tcPr>
            <w:tcW w:w="1275"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Name</w:t>
            </w:r>
          </w:p>
        </w:tc>
        <w:tc>
          <w:tcPr>
            <w:tcW w:w="2680"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Definition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Value</w:t>
            </w:r>
          </w:p>
        </w:tc>
        <w:tc>
          <w:tcPr>
            <w:tcW w:w="1531"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Name</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Value</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Units</w:t>
            </w:r>
            <w:bookmarkStart w:id="189" w:name="_Hlk170425254"/>
            <w:bookmarkEnd w:id="189"/>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CEAVSH</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C EAV Shoot (g C/m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800</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bpinit(4,1)</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800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C/m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CEAVRR</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C EAV RR (g C/m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200</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200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C/m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CSAVSH</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SAV Shoot (g C/m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100</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bpinit(3,1)</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100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C/m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CPERI</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C Peri (g C/m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30</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bpinit(2,1)</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30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C/m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PLITTER</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P Litter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0.75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LitP_init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0.75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PFLOC</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P Floc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0.25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FlcP_init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0.25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POPs</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POPS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3</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POPs_init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2</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DOPs</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DOPS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DOPs_init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DIPs</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DIPS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DIPs_init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PIPs</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PIPS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1.5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PIPs_init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1.5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CPHYTO</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C Phyto (g C/m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bpinit(1,1)</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POPw</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POPW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 xml:space="preserve">) </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0.02</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POPw_init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0.02</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DOPw</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DOPW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0.007</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DOPw_init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0.007</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DIPw</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DIPW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DIPw_init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 PIPw</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Initial PIPW (g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PIPw_init</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(g P/m</w:t>
            </w:r>
            <w:r>
              <w:rPr>
                <w:rFonts w:eastAsia="Times New Roman" w:cs="Calibri" w:ascii="Calibri" w:hAnsi="Calibri" w:asciiTheme="minorHAnsi" w:cstheme="minorHAnsi" w:hAnsiTheme="minorHAnsi"/>
                <w:color w:val="000000"/>
                <w:kern w:val="0"/>
                <w:sz w:val="20"/>
                <w:szCs w:val="20"/>
                <w:vertAlign w:val="superscript"/>
                <w:lang w:val="en-US" w:eastAsia="en-US" w:bidi="ar-SA"/>
              </w:rPr>
              <w:t>2</w:t>
            </w:r>
            <w:r>
              <w:rPr>
                <w:rFonts w:eastAsia="Times New Roman" w:cs="Calibri" w:ascii="Calibri" w:hAnsi="Calibri" w:asciiTheme="minorHAnsi" w:cstheme="minorHAnsi" w:hAnsiTheme="minorHAnsi"/>
                <w:color w:val="000000"/>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kLPLIT</w:t>
            </w:r>
          </w:p>
        </w:tc>
        <w:tc>
          <w:tcPr>
            <w:tcW w:w="2680"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 litter loss</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0.008</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rlsl_pops</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0.006</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kRES</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Constant for resuspension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5.00e-04</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kRES</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5.00e-04</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kLPFLOC</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Constant for P floc loss</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rlsf_pops</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kHYD</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Constant for hydrolysis</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0.0075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rhyd_dops</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kDEPPOP</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Constant for POPs deposition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1.00e-04</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rdep_pops</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2.00e-04</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kDOPWSWX</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Constant for DOPs diffusion to water column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rdif_dopw</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0.002</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kREM</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Constant for remineralization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rrem_dips,</w:t>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rrem_dipw</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0.02</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kPHT</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Constant for photolysis</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rpht_dips,</w:t>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rpht_dipw</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kDIPSWX *</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Constant for DIPS diffusion to water column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0.005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rdif_dipw</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0.035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SBday</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Daily rate of DIP sorption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1.456</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rsor_pipw</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kDSB</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Constant for desorption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0.07</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rdes_dipw</w:t>
            </w:r>
          </w:p>
        </w:tc>
        <w:tc>
          <w:tcPr>
            <w:tcW w:w="1440"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kDEPPIP *</w:t>
            </w:r>
          </w:p>
        </w:tc>
        <w:tc>
          <w:tcPr>
            <w:tcW w:w="2680"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PIPS deposition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rdep_pips</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0.0007</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kPIPwS *</w:t>
            </w:r>
          </w:p>
        </w:tc>
        <w:tc>
          <w:tcPr>
            <w:tcW w:w="2680"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PIPW sinking</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1.00</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rsnk_pips</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1.00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kPOPwS</w:t>
            </w:r>
          </w:p>
        </w:tc>
        <w:tc>
          <w:tcPr>
            <w:tcW w:w="2680"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POPW sinking</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rstl_pflc</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0.25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kEXPERI</w:t>
            </w:r>
          </w:p>
        </w:tc>
        <w:tc>
          <w:tcPr>
            <w:tcW w:w="2680"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Periphyton exudation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cstheme="minorHAnsi" w:ascii="Calibri" w:hAnsi="Calibri"/>
                <w:color w:val="000000"/>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rxud_peri</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kEXPHYTO</w:t>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tc>
        <w:tc>
          <w:tcPr>
            <w:tcW w:w="2680"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Phytoplankton exudation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0.35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rxud_phyt</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0.35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kSPHYTO</w:t>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tc>
        <w:tc>
          <w:tcPr>
            <w:tcW w:w="2680"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Phytoplankton sinking</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snk</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IkEAV</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Half saturation irradiance for EAV Shoot</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150</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Is - EAV</w:t>
            </w:r>
            <w:r>
              <w:rPr>
                <w:rFonts w:eastAsia="Times New Roman" w:cs="Calibri" w:ascii="Calibri" w:hAnsi="Calibri" w:asciiTheme="minorHAnsi" w:cstheme="minorHAnsi" w:hAnsiTheme="minorHAnsi"/>
                <w:kern w:val="0"/>
                <w:sz w:val="20"/>
                <w:szCs w:val="20"/>
                <w:vertAlign w:val="superscript"/>
                <w:lang w:val="en-US" w:eastAsia="en-US" w:bidi="ar-SA"/>
              </w:rPr>
              <w:t>a</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10.0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(eins PAR/m</w:t>
            </w:r>
            <w:r>
              <w:rPr>
                <w:rFonts w:eastAsia="Times New Roman" w:cs="Calibri" w:ascii="Calibri" w:hAnsi="Calibri" w:asciiTheme="minorHAnsi" w:cstheme="minorHAnsi" w:hAnsiTheme="minorHAnsi"/>
                <w:kern w:val="0"/>
                <w:sz w:val="20"/>
                <w:szCs w:val="20"/>
                <w:vertAlign w:val="superscript"/>
                <w:lang w:val="en-US" w:eastAsia="en-US" w:bidi="ar-SA"/>
              </w:rPr>
              <w:t>2</w:t>
            </w:r>
            <w:r>
              <w:rPr>
                <w:rFonts w:eastAsia="Times New Roman" w:cs="Calibri" w:ascii="Calibri" w:hAnsi="Calibri" w:asciiTheme="minorHAnsi" w:cstheme="minorHAnsi" w:hAnsiTheme="minorHAnsi"/>
                <w:kern w:val="0"/>
                <w:sz w:val="20"/>
                <w:szCs w:val="20"/>
                <w:lang w:val="en-US" w:eastAsia="en-US" w:bidi="ar-SA"/>
              </w:rPr>
              <w:t>/d)</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Topt25</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Optimal temperature</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25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Topt</w:t>
            </w:r>
            <w:r>
              <w:rPr>
                <w:rFonts w:eastAsia="Times New Roman" w:cs="Calibri" w:ascii="Calibri" w:hAnsi="Calibri" w:asciiTheme="minorHAnsi" w:cstheme="minorHAnsi" w:hAnsiTheme="minorHAnsi"/>
                <w:kern w:val="0"/>
                <w:sz w:val="20"/>
                <w:szCs w:val="20"/>
                <w:vertAlign w:val="superscript"/>
                <w:lang w:val="en-US" w:eastAsia="en-US" w:bidi="ar-SA"/>
              </w:rPr>
              <w:t>b</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20 - 34</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(range,  C)</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PMXEAV</w:t>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Maximum photosynthetic rate for EAV</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0.3</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pmax(4,1)</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0.028</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kREAVSH</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Constant for EAV Shoot respiration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0.006</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resp(4,1)</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0.045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kLEAVSH</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Constant for EAV Shoot loss</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0.004</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mort(4,1)</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0.002</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9349" w:type="dxa"/>
            <w:gridSpan w:val="6"/>
            <w:tcBorders>
              <w:left w:val="nil"/>
              <w:bottom w:val="nil"/>
              <w:right w:val="nil"/>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tc>
      </w:tr>
      <w:tr>
        <w:trPr/>
        <w:tc>
          <w:tcPr>
            <w:tcW w:w="9349" w:type="dxa"/>
            <w:gridSpan w:val="6"/>
            <w:tcBorders>
              <w:top w:val="nil"/>
              <w:left w:val="nil"/>
              <w:right w:val="nil"/>
            </w:tcBorders>
          </w:tcPr>
          <w:p>
            <w:pPr>
              <w:pStyle w:val="Normal"/>
              <w:widowControl w:val="false"/>
              <w:spacing w:lineRule="auto" w:line="240" w:before="0" w:after="0"/>
              <w:jc w:val="center"/>
              <w:rPr>
                <w:rFonts w:cs="Segoe UI"/>
                <w:b/>
                <w:bCs/>
                <w:sz w:val="20"/>
              </w:rPr>
            </w:pPr>
            <w:r>
              <w:rPr>
                <w:rFonts w:eastAsia="Times New Roman" w:cs="Segoe UI"/>
                <w:b/>
                <w:bCs/>
                <w:kern w:val="0"/>
                <w:sz w:val="20"/>
                <w:szCs w:val="20"/>
                <w:lang w:val="en-US" w:eastAsia="en-US" w:bidi="ar-SA"/>
              </w:rPr>
              <w:t>Table 3-13. Continued.</w:t>
            </w:r>
          </w:p>
        </w:tc>
      </w:tr>
      <w:tr>
        <w:trPr/>
        <w:tc>
          <w:tcPr>
            <w:tcW w:w="5124" w:type="dxa"/>
            <w:gridSpan w:val="3"/>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BGC model</w:t>
            </w:r>
          </w:p>
        </w:tc>
        <w:tc>
          <w:tcPr>
            <w:tcW w:w="4225" w:type="dxa"/>
            <w:gridSpan w:val="3"/>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CASM-STA</w:t>
            </w:r>
          </w:p>
        </w:tc>
      </w:tr>
      <w:tr>
        <w:trPr/>
        <w:tc>
          <w:tcPr>
            <w:tcW w:w="1275"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Name</w:t>
            </w:r>
          </w:p>
        </w:tc>
        <w:tc>
          <w:tcPr>
            <w:tcW w:w="2680"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Definition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Value</w:t>
            </w:r>
          </w:p>
        </w:tc>
        <w:tc>
          <w:tcPr>
            <w:tcW w:w="1531"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Name</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Value</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b/>
                <w:bCs/>
                <w:sz w:val="20"/>
              </w:rPr>
            </w:pPr>
            <w:r>
              <w:rPr>
                <w:rFonts w:eastAsia="Times New Roman" w:cs="Calibri" w:ascii="Calibri" w:hAnsi="Calibri" w:asciiTheme="minorHAnsi" w:cstheme="minorHAnsi" w:hAnsiTheme="minorHAnsi"/>
                <w:b/>
                <w:bCs/>
                <w:kern w:val="0"/>
                <w:sz w:val="20"/>
                <w:szCs w:val="20"/>
                <w:lang w:val="en-US" w:eastAsia="en-US" w:bidi="ar-SA"/>
              </w:rPr>
              <w:t>Units</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kREAVRR</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Constant for EAV RR respiration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0.002</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resp(4,1)</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0.045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kLEAVRR</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Constant for EAV RR loss</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mort(4,1)</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0.002</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IkSAV</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Half saturation irradiance for SAV Shoot</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147</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Is - SAV</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8</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(eins PAR/m</w:t>
            </w:r>
            <w:r>
              <w:rPr>
                <w:rFonts w:eastAsia="Times New Roman" w:cs="Calibri" w:ascii="Calibri" w:hAnsi="Calibri" w:asciiTheme="minorHAnsi" w:cstheme="minorHAnsi" w:hAnsiTheme="minorHAnsi"/>
                <w:kern w:val="0"/>
                <w:sz w:val="20"/>
                <w:szCs w:val="20"/>
                <w:vertAlign w:val="superscript"/>
                <w:lang w:val="en-US" w:eastAsia="en-US" w:bidi="ar-SA"/>
              </w:rPr>
              <w:t>2</w:t>
            </w:r>
            <w:r>
              <w:rPr>
                <w:rFonts w:eastAsia="Times New Roman" w:cs="Calibri" w:ascii="Calibri" w:hAnsi="Calibri" w:asciiTheme="minorHAnsi" w:cstheme="minorHAnsi" w:hAnsiTheme="minorHAnsi"/>
                <w:kern w:val="0"/>
                <w:sz w:val="20"/>
                <w:szCs w:val="20"/>
                <w:lang w:val="en-US" w:eastAsia="en-US" w:bidi="ar-SA"/>
              </w:rPr>
              <w:t>/d)</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kPSAVSH</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Half saturation DIP for SAV</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0.02</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kP(3,1)</w:t>
            </w:r>
            <w:r>
              <w:rPr>
                <w:rFonts w:eastAsia="Times New Roman" w:cs="Calibri" w:ascii="Calibri" w:hAnsi="Calibri" w:asciiTheme="minorHAnsi" w:cstheme="minorHAnsi" w:hAnsiTheme="minorHAnsi"/>
                <w:kern w:val="0"/>
                <w:sz w:val="20"/>
                <w:szCs w:val="20"/>
                <w:vertAlign w:val="superscript"/>
                <w:lang w:val="en-US" w:eastAsia="en-US" w:bidi="ar-SA"/>
              </w:rPr>
              <w:t>c</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(mg P/L)</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PMXSAV</w:t>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Maximum photosynthetic rate for SAV</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0.25</w:t>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pmax(3,1)</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0.042</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kRSAVSH</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Constant for SAV respiration</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0.018</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resp(3,1)</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0.035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kLSAVSH</w:t>
            </w:r>
          </w:p>
        </w:tc>
        <w:tc>
          <w:tcPr>
            <w:tcW w:w="268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Constant for SAV loss</w:t>
            </w:r>
          </w:p>
        </w:tc>
        <w:tc>
          <w:tcPr>
            <w:tcW w:w="1169"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mort(3,1)</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0.004</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IkPERI</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Half saturation irradiance for Periphyton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100</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Is - peri</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10.0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(eins PAR/m</w:t>
            </w:r>
            <w:r>
              <w:rPr>
                <w:rFonts w:eastAsia="Times New Roman" w:cs="Calibri" w:ascii="Calibri" w:hAnsi="Calibri" w:asciiTheme="minorHAnsi" w:cstheme="minorHAnsi" w:hAnsiTheme="minorHAnsi"/>
                <w:kern w:val="0"/>
                <w:sz w:val="20"/>
                <w:szCs w:val="20"/>
                <w:vertAlign w:val="superscript"/>
                <w:lang w:val="en-US" w:eastAsia="en-US" w:bidi="ar-SA"/>
              </w:rPr>
              <w:t>2</w:t>
            </w:r>
            <w:r>
              <w:rPr>
                <w:rFonts w:eastAsia="Times New Roman" w:cs="Calibri" w:ascii="Calibri" w:hAnsi="Calibri" w:asciiTheme="minorHAnsi" w:cstheme="minorHAnsi" w:hAnsiTheme="minorHAnsi"/>
                <w:kern w:val="0"/>
                <w:sz w:val="20"/>
                <w:szCs w:val="20"/>
                <w:lang w:val="en-US" w:eastAsia="en-US" w:bidi="ar-SA"/>
              </w:rPr>
              <w:t>/d)</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kPPERI</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Half saturation DIP for Periphyton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0.015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kP(2,1)</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0.02</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(mg P/L)</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PMXPERI *</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Maximum photosynthetic rate for Periphyton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color w:val="000000"/>
                <w:kern w:val="0"/>
                <w:sz w:val="20"/>
                <w:szCs w:val="20"/>
                <w:lang w:val="en-US" w:eastAsia="en-US" w:bidi="ar-SA"/>
              </w:rPr>
              <w:t>2</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pmax(2,1)</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2.5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kRPERI *</w:t>
            </w:r>
          </w:p>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cstheme="minorHAnsi" w:ascii="Calibri" w:hAnsi="Calibri"/>
                <w:color w:val="000000"/>
                <w:kern w:val="0"/>
                <w:sz w:val="20"/>
                <w:szCs w:val="20"/>
                <w:lang w:val="en-US" w:eastAsia="en-US" w:bidi="ar-SA"/>
              </w:rPr>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Periphyton respiration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0.2</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resp(2,1)</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0.03</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kLPERI *</w:t>
            </w:r>
          </w:p>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cstheme="minorHAnsi" w:ascii="Calibri" w:hAnsi="Calibri"/>
                <w:color w:val="000000"/>
                <w:kern w:val="0"/>
                <w:sz w:val="20"/>
                <w:szCs w:val="20"/>
                <w:lang w:val="en-US" w:eastAsia="en-US" w:bidi="ar-SA"/>
              </w:rPr>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Periphyton loss</w:t>
            </w:r>
          </w:p>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cstheme="minorHAnsi" w:ascii="Calibri" w:hAnsi="Calibri"/>
                <w:color w:val="000000"/>
                <w:kern w:val="0"/>
                <w:sz w:val="20"/>
                <w:szCs w:val="20"/>
                <w:lang w:val="en-US" w:eastAsia="en-US" w:bidi="ar-SA"/>
              </w:rPr>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0.2</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mort(2,1)</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0.005</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IkPHYTO</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Half saturation irradiance for Phytoplankton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100</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Is - phyto</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20.0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(eins PAR/m</w:t>
            </w:r>
            <w:r>
              <w:rPr>
                <w:rFonts w:eastAsia="Times New Roman" w:cs="Calibri" w:ascii="Calibri" w:hAnsi="Calibri" w:asciiTheme="minorHAnsi" w:cstheme="minorHAnsi" w:hAnsiTheme="minorHAnsi"/>
                <w:kern w:val="0"/>
                <w:sz w:val="20"/>
                <w:szCs w:val="20"/>
                <w:vertAlign w:val="superscript"/>
                <w:lang w:val="en-US" w:eastAsia="en-US" w:bidi="ar-SA"/>
              </w:rPr>
              <w:t>2</w:t>
            </w:r>
            <w:r>
              <w:rPr>
                <w:rFonts w:eastAsia="Times New Roman" w:cs="Calibri" w:ascii="Calibri" w:hAnsi="Calibri" w:asciiTheme="minorHAnsi" w:cstheme="minorHAnsi" w:hAnsiTheme="minorHAnsi"/>
                <w:kern w:val="0"/>
                <w:sz w:val="20"/>
                <w:szCs w:val="20"/>
                <w:lang w:val="en-US" w:eastAsia="en-US" w:bidi="ar-SA"/>
              </w:rPr>
              <w:t>/d)</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kPPHYTO</w:t>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Half saturation DIP for Phytoplankton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0.005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kP(1,1)</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0.001</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(mg P/L)</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PMXPHYTO</w:t>
            </w:r>
          </w:p>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cstheme="minorHAnsi" w:ascii="Calibri" w:hAnsi="Calibri"/>
                <w:color w:val="000000"/>
                <w:kern w:val="0"/>
                <w:sz w:val="20"/>
                <w:szCs w:val="20"/>
                <w:lang w:val="en-US" w:eastAsia="en-US" w:bidi="ar-SA"/>
              </w:rPr>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Maximum photosynthetic rate for Phytoplankton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2.00</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pmax(1,1)</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4.0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kRPHYTO</w:t>
            </w:r>
          </w:p>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cstheme="minorHAnsi" w:ascii="Calibri" w:hAnsi="Calibri"/>
                <w:color w:val="000000"/>
                <w:kern w:val="0"/>
                <w:sz w:val="20"/>
                <w:szCs w:val="20"/>
                <w:lang w:val="en-US" w:eastAsia="en-US" w:bidi="ar-SA"/>
              </w:rPr>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Phytoplankton respiration</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0.1</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resp(1,1)</w:t>
            </w:r>
          </w:p>
        </w:tc>
        <w:tc>
          <w:tcPr>
            <w:tcW w:w="1440"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0.02</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r>
        <w:trPr>
          <w:cantSplit w:val="true"/>
        </w:trPr>
        <w:tc>
          <w:tcPr>
            <w:tcW w:w="1275" w:type="dxa"/>
            <w:tcBorders/>
            <w:vAlign w:val="bottom"/>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kLPHYTO</w:t>
            </w:r>
          </w:p>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cstheme="minorHAnsi" w:ascii="Calibri" w:hAnsi="Calibri"/>
                <w:color w:val="000000"/>
                <w:kern w:val="0"/>
                <w:sz w:val="20"/>
                <w:szCs w:val="20"/>
                <w:lang w:val="en-US" w:eastAsia="en-US" w:bidi="ar-SA"/>
              </w:rPr>
            </w:r>
          </w:p>
        </w:tc>
        <w:tc>
          <w:tcPr>
            <w:tcW w:w="2680" w:type="dxa"/>
            <w:tcBorders/>
            <w:vAlign w:val="center"/>
          </w:tcPr>
          <w:p>
            <w:pPr>
              <w:pStyle w:val="Normal"/>
              <w:widowControl w:val="false"/>
              <w:spacing w:lineRule="auto" w:line="240" w:before="0" w:after="0"/>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Constant for Phytoplankton loss</w:t>
            </w:r>
          </w:p>
        </w:tc>
        <w:tc>
          <w:tcPr>
            <w:tcW w:w="1169"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 w:val="20"/>
              </w:rPr>
            </w:pPr>
            <w:r>
              <w:rPr>
                <w:rFonts w:eastAsia="Times New Roman" w:cs="Calibri" w:ascii="Calibri" w:hAnsi="Calibri" w:asciiTheme="minorHAnsi" w:cstheme="minorHAnsi" w:hAnsiTheme="minorHAnsi"/>
                <w:color w:val="000000"/>
                <w:kern w:val="0"/>
                <w:sz w:val="20"/>
                <w:szCs w:val="20"/>
                <w:lang w:val="en-US" w:eastAsia="en-US" w:bidi="ar-SA"/>
              </w:rPr>
              <w:t>0.05</w:t>
            </w:r>
          </w:p>
        </w:tc>
        <w:tc>
          <w:tcPr>
            <w:tcW w:w="1531" w:type="dxa"/>
            <w:tcBorders/>
          </w:tcPr>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mort(1,1)</w:t>
            </w:r>
          </w:p>
        </w:tc>
        <w:tc>
          <w:tcPr>
            <w:tcW w:w="1440"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0.010</w:t>
            </w:r>
          </w:p>
        </w:tc>
        <w:tc>
          <w:tcPr>
            <w:tcW w:w="1254" w:type="dxa"/>
            <w:tcBorders/>
          </w:tcPr>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cstheme="minorHAnsi" w:ascii="Calibri" w:hAnsi="Calibri"/>
                <w:kern w:val="0"/>
                <w:sz w:val="20"/>
                <w:szCs w:val="20"/>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sz w:val="20"/>
              </w:rPr>
            </w:pPr>
            <w:r>
              <w:rPr>
                <w:rFonts w:eastAsia="Times New Roman" w:cs="Calibri" w:ascii="Calibri" w:hAnsi="Calibri" w:asciiTheme="minorHAnsi" w:cstheme="minorHAnsi" w:hAnsiTheme="minorHAnsi"/>
                <w:kern w:val="0"/>
                <w:sz w:val="20"/>
                <w:szCs w:val="20"/>
                <w:lang w:val="en-US" w:eastAsia="en-US" w:bidi="ar-SA"/>
              </w:rPr>
              <w:t>(day</w:t>
            </w:r>
            <w:r>
              <w:rPr>
                <w:rFonts w:eastAsia="Times New Roman" w:cs="Calibri" w:ascii="Calibri" w:hAnsi="Calibri" w:asciiTheme="minorHAnsi" w:cstheme="minorHAnsi" w:hAnsiTheme="minorHAnsi"/>
                <w:kern w:val="0"/>
                <w:sz w:val="20"/>
                <w:szCs w:val="20"/>
                <w:vertAlign w:val="superscript"/>
                <w:lang w:val="en-US" w:eastAsia="en-US" w:bidi="ar-SA"/>
              </w:rPr>
              <w:t>-1</w:t>
            </w:r>
            <w:r>
              <w:rPr>
                <w:rFonts w:eastAsia="Times New Roman" w:cs="Calibri" w:ascii="Calibri" w:hAnsi="Calibri" w:asciiTheme="minorHAnsi" w:cstheme="minorHAnsi" w:hAnsiTheme="minorHAnsi"/>
                <w:kern w:val="0"/>
                <w:sz w:val="20"/>
                <w:szCs w:val="20"/>
                <w:lang w:val="en-US" w:eastAsia="en-US" w:bidi="ar-SA"/>
              </w:rPr>
              <w:t>)</w:t>
            </w:r>
          </w:p>
        </w:tc>
      </w:tr>
    </w:tbl>
    <w:p>
      <w:pPr>
        <w:pStyle w:val="Normal"/>
        <w:spacing w:lineRule="auto" w:line="240" w:before="0" w:after="0"/>
        <w:rPr>
          <w:rFonts w:ascii="Calibri" w:hAnsi="Calibri" w:cs="Calibri" w:asciiTheme="minorHAnsi" w:cstheme="minorHAnsi" w:hAnsiTheme="minorHAnsi"/>
          <w:sz w:val="20"/>
        </w:rPr>
      </w:pPr>
      <w:r>
        <w:rPr>
          <w:rFonts w:cs="Calibri" w:cstheme="minorHAnsi" w:ascii="Calibri" w:hAnsi="Calibri"/>
          <w:sz w:val="20"/>
        </w:rPr>
      </w:r>
    </w:p>
    <w:p>
      <w:pPr>
        <w:pStyle w:val="Normal"/>
        <w:spacing w:lineRule="auto" w:line="240" w:before="0" w:after="0"/>
        <w:rPr>
          <w:rFonts w:ascii="Calibri" w:hAnsi="Calibri" w:cs="Calibri" w:asciiTheme="minorHAnsi" w:cstheme="minorHAnsi" w:hAnsiTheme="minorHAnsi"/>
          <w:sz w:val="20"/>
        </w:rPr>
      </w:pPr>
      <w:r>
        <w:rPr>
          <w:rFonts w:cs="Calibri" w:ascii="Calibri" w:hAnsi="Calibri" w:asciiTheme="minorHAnsi" w:cstheme="minorHAnsi" w:hAnsiTheme="minorHAnsi"/>
          <w:sz w:val="20"/>
          <w:vertAlign w:val="superscript"/>
        </w:rPr>
        <w:t>1</w:t>
      </w:r>
      <w:r>
        <w:rPr>
          <w:rFonts w:cs="Calibri" w:ascii="Calibri" w:hAnsi="Calibri" w:asciiTheme="minorHAnsi" w:cstheme="minorHAnsi" w:hAnsiTheme="minorHAnsi"/>
          <w:sz w:val="20"/>
        </w:rPr>
        <w:t>Evans et al. (2019) Appendix 5C; Tables 4-9; Cells 3-6 in STA-2; wet weight to carbon coefficient of 0.084 from Anderson et al. (2019)</w:t>
      </w:r>
    </w:p>
    <w:p>
      <w:pPr>
        <w:pStyle w:val="Normal"/>
        <w:spacing w:lineRule="auto" w:line="240" w:before="0" w:after="0"/>
        <w:rPr>
          <w:rFonts w:ascii="Calibri" w:hAnsi="Calibri" w:cs="Calibri" w:asciiTheme="minorHAnsi" w:cstheme="minorHAnsi" w:hAnsiTheme="minorHAnsi"/>
          <w:sz w:val="20"/>
        </w:rPr>
      </w:pPr>
      <w:r>
        <w:rPr>
          <w:rFonts w:cs="Calibri" w:ascii="Calibri" w:hAnsi="Calibri" w:asciiTheme="minorHAnsi" w:cstheme="minorHAnsi" w:hAnsiTheme="minorHAnsi"/>
          <w:sz w:val="20"/>
          <w:vertAlign w:val="superscript"/>
        </w:rPr>
        <w:t>2</w:t>
      </w:r>
      <w:r>
        <w:rPr>
          <w:rFonts w:cs="Calibri" w:ascii="Calibri" w:hAnsi="Calibri" w:asciiTheme="minorHAnsi" w:cstheme="minorHAnsi" w:hAnsiTheme="minorHAnsi"/>
          <w:sz w:val="20"/>
        </w:rPr>
        <w:t xml:space="preserve">Goeke et al. (2023), GEER 2023 presentation </w:t>
      </w:r>
    </w:p>
    <w:p>
      <w:pPr>
        <w:pStyle w:val="Normal"/>
        <w:spacing w:lineRule="auto" w:line="240" w:before="0" w:after="0"/>
        <w:rPr>
          <w:rFonts w:ascii="Calibri" w:hAnsi="Calibri" w:cs="Calibri" w:asciiTheme="minorHAnsi" w:cstheme="minorHAnsi" w:hAnsiTheme="minorHAnsi"/>
          <w:sz w:val="20"/>
        </w:rPr>
      </w:pPr>
      <w:r>
        <w:rPr>
          <w:rFonts w:cs="Calibri" w:ascii="Calibri" w:hAnsi="Calibri" w:asciiTheme="minorHAnsi" w:cstheme="minorHAnsi" w:hAnsiTheme="minorHAnsi"/>
          <w:sz w:val="20"/>
          <w:vertAlign w:val="superscript"/>
        </w:rPr>
        <w:t>3</w:t>
      </w:r>
      <w:r>
        <w:rPr>
          <w:rFonts w:cs="Calibri" w:ascii="Calibri" w:hAnsi="Calibri" w:asciiTheme="minorHAnsi" w:cstheme="minorHAnsi" w:hAnsiTheme="minorHAnsi"/>
          <w:sz w:val="20"/>
        </w:rPr>
        <w:t>Calculated using daily CASM-STA modeled values from calibration year 1 (2005) in model Segment A</w:t>
      </w:r>
    </w:p>
    <w:p>
      <w:pPr>
        <w:pStyle w:val="Normal"/>
        <w:spacing w:lineRule="auto" w:line="240" w:before="0" w:after="0"/>
        <w:rPr>
          <w:rFonts w:ascii="Calibri" w:hAnsi="Calibri" w:cs="Calibri" w:asciiTheme="minorHAnsi" w:cstheme="minorHAnsi" w:hAnsiTheme="minorHAnsi"/>
          <w:sz w:val="20"/>
        </w:rPr>
      </w:pPr>
      <w:r>
        <w:rPr>
          <w:rFonts w:cs="Calibri" w:ascii="Calibri" w:hAnsi="Calibri" w:asciiTheme="minorHAnsi" w:cstheme="minorHAnsi" w:hAnsiTheme="minorHAnsi"/>
          <w:sz w:val="20"/>
          <w:vertAlign w:val="superscript"/>
        </w:rPr>
        <w:t>4</w:t>
      </w:r>
      <w:r>
        <w:rPr>
          <w:rFonts w:cs="Calibri" w:ascii="Calibri" w:hAnsi="Calibri" w:asciiTheme="minorHAnsi" w:cstheme="minorHAnsi" w:hAnsiTheme="minorHAnsi"/>
          <w:sz w:val="20"/>
        </w:rPr>
        <w:t>Standard deviation, calculated from monthly samples in Cells 3-6 (Evans et al. 2019); SDs were reported by Goeke et al. (2023)</w:t>
      </w:r>
    </w:p>
    <w:p>
      <w:pPr>
        <w:pStyle w:val="Normal"/>
        <w:rPr/>
      </w:pPr>
      <w:r>
        <w:rPr/>
      </w:r>
    </w:p>
    <w:p>
      <w:pPr>
        <w:pStyle w:val="Normal"/>
        <w:rPr/>
      </w:pPr>
      <w:r>
        <w:rPr/>
      </w:r>
    </w:p>
    <w:p>
      <w:pPr>
        <w:pStyle w:val="Normal"/>
        <w:rPr/>
      </w:pPr>
      <w:r>
        <w:rPr/>
      </w:r>
    </w:p>
    <w:p>
      <w:pPr>
        <w:pStyle w:val="Normal"/>
        <w:spacing w:lineRule="auto" w:line="240" w:before="0" w:after="0"/>
        <w:jc w:val="left"/>
        <w:rPr/>
      </w:pPr>
      <w:r>
        <w:rPr/>
      </w:r>
      <w:r>
        <w:br w:type="page"/>
      </w:r>
    </w:p>
    <w:p>
      <w:pPr>
        <w:pStyle w:val="Caption"/>
        <w:spacing w:before="0" w:after="60"/>
        <w:rPr/>
      </w:pPr>
      <w:bookmarkStart w:id="190" w:name="_Hlk170425798"/>
      <w:bookmarkStart w:id="191" w:name="_Toc182250940"/>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31</w:t>
      </w:r>
      <w:r>
        <w:rPr/>
        <w:fldChar w:fldCharType="end"/>
      </w:r>
      <w:r>
        <w:rPr/>
        <w:t>. Cross-comparison of shared BGC and CASM-STA parameters.</w:t>
      </w:r>
      <w:bookmarkEnd w:id="190"/>
      <w:bookmarkEnd w:id="191"/>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4"/>
        <w:gridCol w:w="1766"/>
        <w:gridCol w:w="1870"/>
        <w:gridCol w:w="1870"/>
        <w:gridCol w:w="1870"/>
      </w:tblGrid>
      <w:tr>
        <w:trPr/>
        <w:tc>
          <w:tcPr>
            <w:tcW w:w="1974" w:type="dxa"/>
            <w:tcBorders/>
          </w:tcPr>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cstheme="minorHAns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P Pools</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Target</w:t>
            </w:r>
          </w:p>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mean, SD</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cstheme="minorHAns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Inflow</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cstheme="minorHAns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Mid-point</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cstheme="minorHAns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Outflow</w:t>
            </w:r>
          </w:p>
        </w:tc>
      </w:tr>
      <w:tr>
        <w:trPr/>
        <w:tc>
          <w:tcPr>
            <w:tcW w:w="9350" w:type="dxa"/>
            <w:gridSpan w:val="5"/>
            <w:tcBorders/>
          </w:tcPr>
          <w:p>
            <w:pPr>
              <w:pStyle w:val="Normal"/>
              <w:widowControl w:val="false"/>
              <w:spacing w:lineRule="auto" w:line="240" w:before="0" w:after="0"/>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Plants</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w:t>
            </w:r>
            <w:r>
              <w:rPr>
                <w:rFonts w:eastAsia="Times New Roman" w:cs="Calibri" w:ascii="Calibri" w:hAnsi="Calibri" w:asciiTheme="minorHAnsi" w:cstheme="minorHAnsi" w:hAnsiTheme="minorHAnsi"/>
                <w:kern w:val="0"/>
                <w:szCs w:val="22"/>
                <w:vertAlign w:val="subscript"/>
                <w:lang w:val="en-US" w:eastAsia="en-US" w:bidi="ar-SA"/>
              </w:rPr>
              <w:t>PHYTO</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0.002, 0.001</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0.001</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0.0005</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0.0005</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w:t>
            </w:r>
            <w:r>
              <w:rPr>
                <w:rFonts w:eastAsia="Times New Roman" w:cs="Calibri" w:ascii="Calibri" w:hAnsi="Calibri" w:asciiTheme="minorHAnsi" w:cstheme="minorHAnsi" w:hAnsiTheme="minorHAnsi"/>
                <w:kern w:val="0"/>
                <w:szCs w:val="22"/>
                <w:vertAlign w:val="subscript"/>
                <w:lang w:val="en-US" w:eastAsia="en-US" w:bidi="ar-SA"/>
              </w:rPr>
              <w:t xml:space="preserve">PERI      </w:t>
            </w:r>
            <w:r>
              <w:rPr>
                <w:rFonts w:eastAsia="Times New Roman" w:cs="Calibri" w:ascii="Calibri" w:hAnsi="Calibri" w:asciiTheme="minorHAnsi" w:cstheme="minorHAnsi" w:hAnsiTheme="minorHAnsi"/>
                <w:kern w:val="0"/>
                <w:szCs w:val="22"/>
                <w:lang w:val="en-US" w:eastAsia="en-US" w:bidi="ar-SA"/>
              </w:rPr>
              <w:t>(g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0.050, 0.030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0.12</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0.08</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0.07</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w:t>
            </w:r>
            <w:r>
              <w:rPr>
                <w:rFonts w:eastAsia="Times New Roman" w:cs="Calibri" w:ascii="Calibri" w:hAnsi="Calibri" w:asciiTheme="minorHAnsi" w:cstheme="minorHAnsi" w:hAnsiTheme="minorHAnsi"/>
                <w:kern w:val="0"/>
                <w:szCs w:val="22"/>
                <w:vertAlign w:val="subscript"/>
                <w:lang w:val="en-US" w:eastAsia="en-US" w:bidi="ar-SA"/>
              </w:rPr>
              <w:t xml:space="preserve">EAVSH </w:t>
            </w:r>
            <w:r>
              <w:rPr>
                <w:rFonts w:eastAsia="Times New Roman" w:cs="Calibri" w:ascii="Calibri" w:hAnsi="Calibri" w:asciiTheme="minorHAnsi" w:cstheme="minorHAnsi" w:hAnsiTheme="minorHAnsi"/>
                <w:kern w:val="0"/>
                <w:szCs w:val="22"/>
                <w:lang w:val="en-US" w:eastAsia="en-US" w:bidi="ar-SA"/>
              </w:rPr>
              <w:t>(g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1.950, 0.870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1.44</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1.20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1.76</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w:t>
            </w:r>
            <w:r>
              <w:rPr>
                <w:rFonts w:eastAsia="Times New Roman" w:cs="Calibri" w:ascii="Calibri" w:hAnsi="Calibri" w:asciiTheme="minorHAnsi" w:cstheme="minorHAnsi" w:hAnsiTheme="minorHAnsi"/>
                <w:kern w:val="0"/>
                <w:szCs w:val="22"/>
                <w:vertAlign w:val="subscript"/>
                <w:lang w:val="en-US" w:eastAsia="en-US" w:bidi="ar-SA"/>
              </w:rPr>
              <w:t xml:space="preserve">EAVRR </w:t>
            </w:r>
            <w:r>
              <w:rPr>
                <w:rFonts w:eastAsia="Times New Roman" w:cs="Calibri" w:ascii="Calibri" w:hAnsi="Calibri" w:asciiTheme="minorHAnsi" w:cstheme="minorHAnsi" w:hAnsiTheme="minorHAnsi"/>
                <w:kern w:val="0"/>
                <w:szCs w:val="22"/>
                <w:lang w:val="en-US" w:eastAsia="en-US" w:bidi="ar-SA"/>
              </w:rPr>
              <w:t>(g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0.830, 0.620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0.36</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0.30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0.44</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w:t>
            </w:r>
            <w:r>
              <w:rPr>
                <w:rFonts w:eastAsia="Times New Roman" w:cs="Calibri" w:ascii="Calibri" w:hAnsi="Calibri" w:asciiTheme="minorHAnsi" w:cstheme="minorHAnsi" w:hAnsiTheme="minorHAnsi"/>
                <w:kern w:val="0"/>
                <w:szCs w:val="22"/>
                <w:vertAlign w:val="subscript"/>
                <w:lang w:val="en-US" w:eastAsia="en-US" w:bidi="ar-SA"/>
              </w:rPr>
              <w:t>SAV</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0.160, 0.040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0.20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0.20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0.15</w:t>
            </w:r>
          </w:p>
        </w:tc>
      </w:tr>
      <w:tr>
        <w:trPr/>
        <w:tc>
          <w:tcPr>
            <w:tcW w:w="9350" w:type="dxa"/>
            <w:gridSpan w:val="5"/>
            <w:tcBorders/>
          </w:tcPr>
          <w:p>
            <w:pPr>
              <w:pStyle w:val="Normal"/>
              <w:widowControl w:val="false"/>
              <w:spacing w:lineRule="auto" w:line="240" w:before="0" w:after="0"/>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Soils/sediments</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w:t>
            </w:r>
            <w:r>
              <w:rPr>
                <w:rFonts w:eastAsia="Times New Roman" w:cs="Calibri" w:ascii="Calibri" w:hAnsi="Calibri" w:asciiTheme="minorHAnsi" w:cstheme="minorHAnsi" w:hAnsiTheme="minorHAnsi"/>
                <w:kern w:val="0"/>
                <w:szCs w:val="22"/>
                <w:vertAlign w:val="subscript"/>
                <w:lang w:val="en-US" w:eastAsia="en-US" w:bidi="ar-SA"/>
              </w:rPr>
              <w:t>LITTER</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0.700, 0.320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3.00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2.30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1.70</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w:t>
            </w:r>
            <w:r>
              <w:rPr>
                <w:rFonts w:eastAsia="Times New Roman" w:cs="Calibri" w:ascii="Calibri" w:hAnsi="Calibri" w:asciiTheme="minorHAnsi" w:cstheme="minorHAnsi" w:hAnsiTheme="minorHAnsi"/>
                <w:kern w:val="0"/>
                <w:szCs w:val="22"/>
                <w:vertAlign w:val="subscript"/>
                <w:lang w:val="en-US" w:eastAsia="en-US" w:bidi="ar-SA"/>
              </w:rPr>
              <w:t xml:space="preserve">FLOC  </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1.640, 0.650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1.90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1.91</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1.12</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POP</w:t>
            </w:r>
            <w:r>
              <w:rPr>
                <w:rFonts w:eastAsia="Times New Roman" w:cs="Calibri" w:ascii="Calibri" w:hAnsi="Calibri" w:asciiTheme="minorHAnsi" w:cstheme="minorHAnsi" w:hAnsiTheme="minorHAnsi"/>
                <w:kern w:val="0"/>
                <w:szCs w:val="22"/>
                <w:vertAlign w:val="subscript"/>
                <w:lang w:val="en-US" w:eastAsia="en-US" w:bidi="ar-SA"/>
              </w:rPr>
              <w:t>S</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2.570, 2.160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2.80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2.40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2.50</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DOP</w:t>
            </w:r>
            <w:r>
              <w:rPr>
                <w:rFonts w:eastAsia="Times New Roman" w:cs="Calibri" w:ascii="Calibri" w:hAnsi="Calibri" w:asciiTheme="minorHAnsi" w:cstheme="minorHAnsi" w:hAnsiTheme="minorHAnsi"/>
                <w:kern w:val="0"/>
                <w:szCs w:val="22"/>
                <w:vertAlign w:val="subscript"/>
                <w:lang w:val="en-US" w:eastAsia="en-US" w:bidi="ar-SA"/>
              </w:rPr>
              <w:t>S</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0.150, 0.120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0.007</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0.008</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0.004</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DIP</w:t>
            </w:r>
            <w:r>
              <w:rPr>
                <w:rFonts w:eastAsia="Times New Roman" w:cs="Calibri" w:ascii="Calibri" w:hAnsi="Calibri" w:asciiTheme="minorHAnsi" w:cstheme="minorHAnsi" w:hAnsiTheme="minorHAnsi"/>
                <w:kern w:val="0"/>
                <w:szCs w:val="22"/>
                <w:vertAlign w:val="subscript"/>
                <w:lang w:val="en-US" w:eastAsia="en-US" w:bidi="ar-SA"/>
              </w:rPr>
              <w:t>S</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0.100, 0.080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1.90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0.24</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0.006</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PIP</w:t>
            </w:r>
            <w:r>
              <w:rPr>
                <w:rFonts w:eastAsia="Times New Roman" w:cs="Calibri" w:ascii="Calibri" w:hAnsi="Calibri" w:asciiTheme="minorHAnsi" w:cstheme="minorHAnsi" w:hAnsiTheme="minorHAnsi"/>
                <w:kern w:val="0"/>
                <w:szCs w:val="22"/>
                <w:vertAlign w:val="subscript"/>
                <w:lang w:val="en-US" w:eastAsia="en-US" w:bidi="ar-SA"/>
              </w:rPr>
              <w:t>S</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-2</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0.440, 0.270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0.56</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0.42</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0.34</w:t>
            </w:r>
          </w:p>
        </w:tc>
      </w:tr>
      <w:tr>
        <w:trPr/>
        <w:tc>
          <w:tcPr>
            <w:tcW w:w="9350" w:type="dxa"/>
            <w:gridSpan w:val="5"/>
            <w:tcBorders/>
          </w:tcPr>
          <w:p>
            <w:pPr>
              <w:pStyle w:val="Normal"/>
              <w:widowControl w:val="false"/>
              <w:spacing w:lineRule="auto" w:line="240" w:before="0" w:after="0"/>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Water column</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vertAlign w:val="subscript"/>
              </w:rPr>
            </w:pPr>
            <w:r>
              <w:rPr>
                <w:rFonts w:eastAsia="Times New Roman" w:cs="Calibri" w:ascii="Calibri" w:hAnsi="Calibri" w:asciiTheme="minorHAnsi" w:cstheme="minorHAnsi" w:hAnsiTheme="minorHAnsi"/>
                <w:kern w:val="0"/>
                <w:szCs w:val="22"/>
                <w:lang w:val="en-US" w:eastAsia="en-US" w:bidi="ar-SA"/>
              </w:rPr>
              <w:t>POP</w:t>
            </w:r>
            <w:r>
              <w:rPr>
                <w:rFonts w:eastAsia="Times New Roman" w:cs="Calibri" w:ascii="Calibri" w:hAnsi="Calibri" w:asciiTheme="minorHAnsi" w:cstheme="minorHAnsi" w:hAnsiTheme="minorHAnsi"/>
                <w:kern w:val="0"/>
                <w:szCs w:val="22"/>
                <w:vertAlign w:val="subscript"/>
                <w:lang w:val="en-US" w:eastAsia="en-US" w:bidi="ar-SA"/>
              </w:rPr>
              <w:t xml:space="preserve">w   </w:t>
            </w:r>
            <w:r>
              <w:rPr>
                <w:rFonts w:eastAsia="Times New Roman" w:cs="Calibri" w:ascii="Calibri" w:hAnsi="Calibri" w:asciiTheme="minorHAnsi" w:cstheme="minorHAnsi" w:hAnsiTheme="minorHAnsi"/>
                <w:kern w:val="0"/>
                <w:szCs w:val="22"/>
                <w:lang w:val="en-US" w:eastAsia="en-US" w:bidi="ar-SA"/>
              </w:rPr>
              <w:t>(g P m</w:t>
            </w:r>
            <w:r>
              <w:rPr>
                <w:rFonts w:eastAsia="Times New Roman" w:cs="Calibri" w:ascii="Calibri" w:hAnsi="Calibri" w:asciiTheme="minorHAnsi" w:cstheme="minorHAnsi" w:hAnsiTheme="minorHAnsi"/>
                <w:kern w:val="0"/>
                <w:szCs w:val="22"/>
                <w:vertAlign w:val="superscript"/>
                <w:lang w:val="en-US" w:eastAsia="en-US" w:bidi="ar-SA"/>
              </w:rPr>
              <w:t>-3</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0.100, 0.0100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0.012</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cstheme="minorHAnsi" w:ascii="Calibri" w:hAnsi="Calibri"/>
                <w:kern w:val="0"/>
                <w:szCs w:val="22"/>
                <w:lang w:val="en-US" w:eastAsia="en-US" w:bidi="ar-SA"/>
              </w:rPr>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0.007</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vertAlign w:val="subscript"/>
              </w:rPr>
            </w:pPr>
            <w:r>
              <w:rPr>
                <w:rFonts w:eastAsia="Times New Roman" w:cs="Calibri" w:ascii="Calibri" w:hAnsi="Calibri" w:asciiTheme="minorHAnsi" w:cstheme="minorHAnsi" w:hAnsiTheme="minorHAnsi"/>
                <w:kern w:val="0"/>
                <w:szCs w:val="22"/>
                <w:lang w:val="en-US" w:eastAsia="en-US" w:bidi="ar-SA"/>
              </w:rPr>
              <w:t>DOP</w:t>
            </w:r>
            <w:r>
              <w:rPr>
                <w:rFonts w:eastAsia="Times New Roman" w:cs="Calibri" w:ascii="Calibri" w:hAnsi="Calibri" w:asciiTheme="minorHAnsi" w:cstheme="minorHAnsi" w:hAnsiTheme="minorHAnsi"/>
                <w:kern w:val="0"/>
                <w:szCs w:val="22"/>
                <w:vertAlign w:val="subscript"/>
                <w:lang w:val="en-US" w:eastAsia="en-US" w:bidi="ar-SA"/>
              </w:rPr>
              <w:t xml:space="preserve">w  </w:t>
            </w:r>
            <w:r>
              <w:rPr>
                <w:rFonts w:eastAsia="Times New Roman" w:cs="Calibri" w:ascii="Calibri" w:hAnsi="Calibri" w:asciiTheme="minorHAnsi" w:cstheme="minorHAnsi" w:hAnsiTheme="minorHAnsi"/>
                <w:kern w:val="0"/>
                <w:szCs w:val="22"/>
                <w:lang w:val="en-US" w:eastAsia="en-US" w:bidi="ar-SA"/>
              </w:rPr>
              <w:t>(g P m</w:t>
            </w:r>
            <w:r>
              <w:rPr>
                <w:rFonts w:eastAsia="Times New Roman" w:cs="Calibri" w:ascii="Calibri" w:hAnsi="Calibri" w:asciiTheme="minorHAnsi" w:cstheme="minorHAnsi" w:hAnsiTheme="minorHAnsi"/>
                <w:kern w:val="0"/>
                <w:szCs w:val="22"/>
                <w:vertAlign w:val="superscript"/>
                <w:lang w:val="en-US" w:eastAsia="en-US" w:bidi="ar-SA"/>
              </w:rPr>
              <w:t>-3</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0.014, 0.0074</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0.007</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cstheme="minorHAnsi" w:ascii="Calibri" w:hAnsi="Calibri"/>
                <w:kern w:val="0"/>
                <w:szCs w:val="22"/>
                <w:lang w:val="en-US" w:eastAsia="en-US" w:bidi="ar-SA"/>
              </w:rPr>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0.005</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DIP</w:t>
            </w:r>
            <w:r>
              <w:rPr>
                <w:rFonts w:eastAsia="Times New Roman" w:cs="Calibri" w:ascii="Calibri" w:hAnsi="Calibri" w:asciiTheme="minorHAnsi" w:cstheme="minorHAnsi" w:hAnsiTheme="minorHAnsi"/>
                <w:kern w:val="0"/>
                <w:szCs w:val="22"/>
                <w:vertAlign w:val="subscript"/>
                <w:lang w:val="en-US" w:eastAsia="en-US" w:bidi="ar-SA"/>
              </w:rPr>
              <w:t>w</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-3</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0.026, 0.0282</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0.014</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cstheme="minorHAnsi" w:ascii="Calibri" w:hAnsi="Calibri"/>
                <w:kern w:val="0"/>
                <w:szCs w:val="22"/>
                <w:lang w:val="en-US" w:eastAsia="en-US" w:bidi="ar-SA"/>
              </w:rPr>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0.007</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PIP</w:t>
            </w:r>
            <w:r>
              <w:rPr>
                <w:rFonts w:eastAsia="Times New Roman" w:cs="Calibri" w:ascii="Calibri" w:hAnsi="Calibri" w:asciiTheme="minorHAnsi" w:cstheme="minorHAnsi" w:hAnsiTheme="minorHAnsi"/>
                <w:kern w:val="0"/>
                <w:szCs w:val="22"/>
                <w:vertAlign w:val="subscript"/>
                <w:lang w:val="en-US" w:eastAsia="en-US" w:bidi="ar-SA"/>
              </w:rPr>
              <w:t>w</w:t>
            </w:r>
            <w:r>
              <w:rPr>
                <w:rFonts w:eastAsia="Times New Roman" w:cs="Calibri" w:ascii="Calibri" w:hAnsi="Calibri" w:asciiTheme="minorHAnsi" w:cstheme="minorHAnsi" w:hAnsiTheme="minorHAnsi"/>
                <w:kern w:val="0"/>
                <w:szCs w:val="22"/>
                <w:lang w:val="en-US" w:eastAsia="en-US" w:bidi="ar-SA"/>
              </w:rPr>
              <w:t xml:space="preserve">   (g P m</w:t>
            </w:r>
            <w:r>
              <w:rPr>
                <w:rFonts w:eastAsia="Times New Roman" w:cs="Calibri" w:ascii="Calibri" w:hAnsi="Calibri" w:asciiTheme="minorHAnsi" w:cstheme="minorHAnsi" w:hAnsiTheme="minorHAnsi"/>
                <w:kern w:val="0"/>
                <w:szCs w:val="22"/>
                <w:vertAlign w:val="superscript"/>
                <w:lang w:val="en-US" w:eastAsia="en-US" w:bidi="ar-SA"/>
              </w:rPr>
              <w:t>-3</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0.006, 0.0025</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0.003</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cstheme="minorHAnsi" w:ascii="Calibri" w:hAnsi="Calibri"/>
                <w:kern w:val="0"/>
                <w:szCs w:val="22"/>
                <w:lang w:val="en-US" w:eastAsia="en-US" w:bidi="ar-SA"/>
              </w:rPr>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0.0014</w:t>
            </w:r>
          </w:p>
        </w:tc>
      </w:tr>
      <w:tr>
        <w:trPr/>
        <w:tc>
          <w:tcPr>
            <w:tcW w:w="1974"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TP</w:t>
            </w:r>
            <w:r>
              <w:rPr>
                <w:rFonts w:eastAsia="Times New Roman" w:cs="Calibri" w:ascii="Calibri" w:hAnsi="Calibri" w:asciiTheme="minorHAnsi" w:cstheme="minorHAnsi" w:hAnsiTheme="minorHAnsi"/>
                <w:kern w:val="0"/>
                <w:szCs w:val="22"/>
                <w:vertAlign w:val="subscript"/>
                <w:lang w:val="en-US" w:eastAsia="en-US" w:bidi="ar-SA"/>
              </w:rPr>
              <w:t xml:space="preserve">W      </w:t>
            </w:r>
            <w:r>
              <w:rPr>
                <w:rFonts w:eastAsia="Times New Roman" w:cs="Calibri" w:ascii="Calibri" w:hAnsi="Calibri" w:asciiTheme="minorHAnsi" w:cstheme="minorHAnsi" w:hAnsiTheme="minorHAnsi"/>
                <w:kern w:val="0"/>
                <w:szCs w:val="22"/>
                <w:lang w:val="en-US" w:eastAsia="en-US" w:bidi="ar-SA"/>
              </w:rPr>
              <w:t>(g P m</w:t>
            </w:r>
            <w:r>
              <w:rPr>
                <w:rFonts w:eastAsia="Times New Roman" w:cs="Calibri" w:ascii="Calibri" w:hAnsi="Calibri" w:asciiTheme="minorHAnsi" w:cstheme="minorHAnsi" w:hAnsiTheme="minorHAnsi"/>
                <w:kern w:val="0"/>
                <w:szCs w:val="22"/>
                <w:vertAlign w:val="superscript"/>
                <w:lang w:val="en-US" w:eastAsia="en-US" w:bidi="ar-SA"/>
              </w:rPr>
              <w:t>-3</w:t>
            </w:r>
            <w:r>
              <w:rPr>
                <w:rFonts w:eastAsia="Times New Roman" w:cs="Calibri" w:ascii="Calibri" w:hAnsi="Calibri" w:asciiTheme="minorHAnsi" w:cstheme="minorHAnsi" w:hAnsiTheme="minorHAnsi"/>
                <w:kern w:val="0"/>
                <w:szCs w:val="22"/>
                <w:lang w:val="en-US" w:eastAsia="en-US" w:bidi="ar-SA"/>
              </w:rPr>
              <w:t>)</w:t>
            </w:r>
          </w:p>
        </w:tc>
        <w:tc>
          <w:tcPr>
            <w:tcW w:w="1766"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0.056, 0.0120</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0.036</w:t>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cstheme="minorHAnsi" w:ascii="Calibri" w:hAnsi="Calibri"/>
                <w:kern w:val="0"/>
                <w:szCs w:val="22"/>
                <w:lang w:val="en-US" w:eastAsia="en-US" w:bidi="ar-SA"/>
              </w:rPr>
            </w:r>
          </w:p>
        </w:tc>
        <w:tc>
          <w:tcPr>
            <w:tcW w:w="187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0.002</w:t>
            </w:r>
          </w:p>
        </w:tc>
      </w:tr>
    </w:tbl>
    <w:p>
      <w:pPr>
        <w:pStyle w:val="Normal"/>
        <w:rPr/>
      </w:pPr>
      <w:r>
        <w:rPr/>
      </w:r>
    </w:p>
    <w:p>
      <w:pPr>
        <w:pStyle w:val="Normal"/>
        <w:rPr/>
      </w:pPr>
      <w:r>
        <w:rPr/>
        <mc:AlternateContent>
          <mc:Choice Requires="wps">
            <w:drawing>
              <wp:anchor behindDoc="0" distT="40005" distB="55880" distL="109220" distR="128270" simplePos="0" locked="0" layoutInCell="0" allowOverlap="1" relativeHeight="118" wp14:anchorId="344DCAEA">
                <wp:simplePos x="0" y="0"/>
                <wp:positionH relativeFrom="margin">
                  <wp:align>center</wp:align>
                </wp:positionH>
                <wp:positionV relativeFrom="paragraph">
                  <wp:posOffset>254000</wp:posOffset>
                </wp:positionV>
                <wp:extent cx="5981700" cy="3261360"/>
                <wp:effectExtent l="5080" t="5080" r="5080" b="5080"/>
                <wp:wrapTopAndBottom/>
                <wp:docPr id="180" name="Text Box 2"/>
                <a:graphic xmlns:a="http://schemas.openxmlformats.org/drawingml/2006/main">
                  <a:graphicData uri="http://schemas.microsoft.com/office/word/2010/wordprocessingShape">
                    <wps:wsp>
                      <wps:cNvSpPr/>
                      <wps:spPr>
                        <a:xfrm>
                          <a:off x="0" y="0"/>
                          <a:ext cx="5981760" cy="32612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pPr>
                            <w:r>
                              <w:rPr/>
                              <w:drawing>
                                <wp:inline distT="0" distB="0" distL="0" distR="0">
                                  <wp:extent cx="5751830" cy="2636520"/>
                                  <wp:effectExtent l="0" t="0" r="0" b="0"/>
                                  <wp:docPr id="182" name="Picture 52"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52" descr="A diagram of a plant&#10;&#10;Description automatically generated"/>
                                          <pic:cNvPicPr>
                                            <a:picLocks noChangeAspect="1" noChangeArrowheads="1"/>
                                          </pic:cNvPicPr>
                                        </pic:nvPicPr>
                                        <pic:blipFill>
                                          <a:blip r:embed="rId184"/>
                                          <a:stretch>
                                            <a:fillRect/>
                                          </a:stretch>
                                        </pic:blipFill>
                                        <pic:spPr bwMode="auto">
                                          <a:xfrm>
                                            <a:off x="0" y="0"/>
                                            <a:ext cx="5751830" cy="2636520"/>
                                          </a:xfrm>
                                          <a:prstGeom prst="rect">
                                            <a:avLst/>
                                          </a:prstGeom>
                                        </pic:spPr>
                                      </pic:pic>
                                    </a:graphicData>
                                  </a:graphic>
                                </wp:inline>
                              </w:drawing>
                            </w:r>
                          </w:p>
                          <w:p>
                            <w:pPr>
                              <w:pStyle w:val="Caption"/>
                              <w:widowControl/>
                              <w:bidi w:val="0"/>
                              <w:spacing w:lineRule="auto" w:line="276" w:before="0" w:after="60"/>
                              <w:jc w:val="center"/>
                              <w:rPr/>
                            </w:pPr>
                            <w:bookmarkStart w:id="192" w:name="_Toc181802677"/>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37</w:t>
                            </w:r>
                            <w:r>
                              <w:rPr/>
                              <w:fldChar w:fldCharType="end"/>
                            </w:r>
                            <w:r>
                              <w:rPr/>
                              <w:t>.  Integration of the historical CASM and the biogeochemical (BGC) model of an STA wetland to produce the CASM-STA.</w:t>
                            </w:r>
                            <w:bookmarkEnd w:id="192"/>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1.5pt;margin-top:20pt;width:470.95pt;height:256.75pt;mso-wrap-style:square;v-text-anchor:top;mso-position-horizontal:center;mso-position-horizontal-relative:margin" wp14:anchorId="344DCAEA">
                <v:fill o:detectmouseclick="t" type="solid" color2="black"/>
                <v:stroke color="black" weight="9360" joinstyle="miter" endcap="flat"/>
                <v:textbox>
                  <w:txbxContent>
                    <w:p>
                      <w:pPr>
                        <w:pStyle w:val="FrameContents"/>
                        <w:rPr/>
                      </w:pPr>
                      <w:r>
                        <w:rPr/>
                        <w:drawing>
                          <wp:inline distT="0" distB="0" distL="0" distR="0">
                            <wp:extent cx="5751830" cy="2636520"/>
                            <wp:effectExtent l="0" t="0" r="0" b="0"/>
                            <wp:docPr id="183" name="Picture 52"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52" descr="A diagram of a plant&#10;&#10;Description automatically generated"/>
                                    <pic:cNvPicPr>
                                      <a:picLocks noChangeAspect="1" noChangeArrowheads="1"/>
                                    </pic:cNvPicPr>
                                  </pic:nvPicPr>
                                  <pic:blipFill>
                                    <a:blip r:embed="rId185"/>
                                    <a:stretch>
                                      <a:fillRect/>
                                    </a:stretch>
                                  </pic:blipFill>
                                  <pic:spPr bwMode="auto">
                                    <a:xfrm>
                                      <a:off x="0" y="0"/>
                                      <a:ext cx="5751830" cy="2636520"/>
                                    </a:xfrm>
                                    <a:prstGeom prst="rect">
                                      <a:avLst/>
                                    </a:prstGeom>
                                  </pic:spPr>
                                </pic:pic>
                              </a:graphicData>
                            </a:graphic>
                          </wp:inline>
                        </w:drawing>
                      </w:r>
                    </w:p>
                    <w:p>
                      <w:pPr>
                        <w:pStyle w:val="Caption"/>
                        <w:widowControl/>
                        <w:bidi w:val="0"/>
                        <w:spacing w:lineRule="auto" w:line="276" w:before="0" w:after="60"/>
                        <w:jc w:val="center"/>
                        <w:rPr/>
                      </w:pPr>
                      <w:bookmarkStart w:id="193" w:name="_Toc181802677"/>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37</w:t>
                      </w:r>
                      <w:r>
                        <w:rPr/>
                        <w:fldChar w:fldCharType="end"/>
                      </w:r>
                      <w:r>
                        <w:rPr/>
                        <w:t>.  Integration of the historical CASM and the biogeochemical (BGC) model of an STA wetland to produce the CASM-STA.</w:t>
                      </w:r>
                      <w:bookmarkEnd w:id="193"/>
                    </w:p>
                  </w:txbxContent>
                </v:textbox>
                <w10:wrap type="topAndBottom"/>
              </v:rect>
            </w:pict>
          </mc:Fallback>
        </mc:AlternateContent>
      </w:r>
    </w:p>
    <w:p>
      <w:pPr>
        <w:pStyle w:val="Normal"/>
        <w:spacing w:lineRule="auto" w:line="240" w:before="0" w:after="0"/>
        <w:jc w:val="left"/>
        <w:rPr/>
      </w:pPr>
      <w:r>
        <w:rPr/>
      </w:r>
      <w:r>
        <w:br w:type="page"/>
      </w:r>
    </w:p>
    <w:p>
      <w:pPr>
        <w:pStyle w:val="Normal"/>
        <w:spacing w:before="0" w:after="120"/>
        <w:rPr/>
      </w:pPr>
      <w:r>
        <w:rPr/>
        <w:t xml:space="preserve">The calibration began with the values of the BGC parameters defined in the calibration of the BGC model (Stantec 2024e, CELLC 2024). Parameters were adjusted by working through the P pools beginning with floc P and proceeding through the soils/sediment pools to the water column pools. Parameters that defined source and sink terms were adjusted with a focus on an individual pool P concentration, but with the recognition that other P pools are simultaneously affected. </w:t>
      </w:r>
    </w:p>
    <w:p>
      <w:pPr>
        <w:pStyle w:val="Normal"/>
        <w:rPr/>
      </w:pPr>
      <w:r>
        <w:rPr/>
        <w:t xml:space="preserve">Initial efforts in calibrating the CASM-STA divided the 16 years of daily P input loadings and hydrodynamics (e.g., segment water volumes, segment depths) into a calibration period (2005 – 2012) and validation period (2013 – 2020). Following the same process used in calibrating the BGC, annual averages of daily CASM-STA results were computed for modeled state variables and compared with the target values. The entire process was repeated until further improvements in the accuracy of one state variable substantially reduced the accuracy for other variables. The result defined a set of calibration CASM-STA parameters that best agree with the target values throughout the entire model (Table 3-15). The CASM-STA includes processes that influence the internal cycling dynamics of P but are not simple rate constants (Table 3-16). The values of these processes reflect primarily the food web production in the CASM-STA, which is determined mainly by the bioenergetics-based parameters for the modeled populations (i.e., Tables 3-8 and 3-9). </w:t>
      </w:r>
    </w:p>
    <w:p>
      <w:pPr>
        <w:pStyle w:val="Caption"/>
        <w:rPr/>
      </w:pPr>
      <w:bookmarkStart w:id="194" w:name="_Toc182250941"/>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32</w:t>
      </w:r>
      <w:r>
        <w:rPr/>
        <w:fldChar w:fldCharType="end"/>
      </w:r>
      <w:r>
        <w:rPr/>
        <w:t>. CASM-STA calibrated internal P cycling parameters (d</w:t>
      </w:r>
      <w:r>
        <w:rPr>
          <w:vertAlign w:val="superscript"/>
        </w:rPr>
        <w:t>-1</w:t>
      </w:r>
      <w:r>
        <w:rPr/>
        <w:t>) compared to values from the calibrated BGC (CELLC 2024).</w:t>
      </w:r>
      <w:bookmarkEnd w:id="194"/>
    </w:p>
    <w:tbl>
      <w:tblPr>
        <w:tblStyle w:val="TableGrid"/>
        <w:tblW w:w="89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75"/>
        <w:gridCol w:w="1390"/>
        <w:gridCol w:w="1079"/>
        <w:gridCol w:w="4860"/>
      </w:tblGrid>
      <w:tr>
        <w:trPr/>
        <w:tc>
          <w:tcPr>
            <w:tcW w:w="1575" w:type="dxa"/>
            <w:tcBorders/>
          </w:tcPr>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CASM-STA</w:t>
            </w:r>
          </w:p>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Parameter</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CASM-STA</w:t>
            </w:r>
          </w:p>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Value</w:t>
            </w:r>
            <w:r>
              <w:rPr>
                <w:rFonts w:eastAsia="Times New Roman" w:cs="Calibri" w:ascii="Calibri" w:hAnsi="Calibri" w:asciiTheme="minorHAnsi" w:cstheme="minorHAnsi" w:hAnsiTheme="minorHAnsi"/>
                <w:b/>
                <w:bCs/>
                <w:kern w:val="0"/>
                <w:szCs w:val="22"/>
                <w:vertAlign w:val="superscript"/>
                <w:lang w:val="en-US" w:eastAsia="en-US" w:bidi="ar-SA"/>
              </w:rPr>
              <w:t>a</w:t>
            </w:r>
          </w:p>
        </w:tc>
        <w:tc>
          <w:tcPr>
            <w:tcW w:w="1079" w:type="dxa"/>
            <w:tcBorders/>
          </w:tcPr>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BGC</w:t>
            </w:r>
          </w:p>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Value</w:t>
            </w:r>
            <w:r>
              <w:rPr>
                <w:rFonts w:eastAsia="Times New Roman" w:cs="Calibri" w:ascii="Calibri" w:hAnsi="Calibri" w:asciiTheme="minorHAnsi" w:cstheme="minorHAnsi" w:hAnsiTheme="minorHAnsi"/>
                <w:b/>
                <w:bCs/>
                <w:kern w:val="0"/>
                <w:szCs w:val="22"/>
                <w:vertAlign w:val="superscript"/>
                <w:lang w:val="en-US" w:eastAsia="en-US" w:bidi="ar-SA"/>
              </w:rPr>
              <w:t>b</w:t>
            </w:r>
          </w:p>
        </w:tc>
        <w:tc>
          <w:tcPr>
            <w:tcW w:w="4860" w:type="dxa"/>
            <w:tcBorders/>
          </w:tcPr>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cstheme="minorHAnsi" w:ascii="Calibri" w:hAnsi="Calibri"/>
                <w:b/>
                <w:bCs/>
                <w:kern w:val="0"/>
                <w:szCs w:val="22"/>
                <w:lang w:val="en-US" w:eastAsia="en-US" w:bidi="ar-SA"/>
              </w:rPr>
            </w:r>
          </w:p>
          <w:p>
            <w:pPr>
              <w:pStyle w:val="Normal"/>
              <w:widowControl w:val="false"/>
              <w:spacing w:lineRule="auto" w:line="240" w:before="0" w:after="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Description</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rlsf_pops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0.00065</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Floc loss (decomposition) to POPs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rlsl_pops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0.00100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Litter loss to POPs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rhyd_dops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0.0075</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POPs hydrolysis to DOPs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rdep_pops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0.00002</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0.0001</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POPs deposition to sediments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rrem_dips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0.02000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DOPs remineralization to DIPs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rpht_dips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0.50000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0.50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DOPs photolysis to DIPs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rdif_dopw</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0.00200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DOPs diffusion to DOPw</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rsor_pips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0.30000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1.46</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DIPs sorption PIPs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rdif_dipw</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0.03500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DIPs diffusion to DIPw</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rsnk_pips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0.97500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1.00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PIPw sinking to PIPs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rdes_dips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0.00500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0.02</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PIPs desorption to DIPs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rdep_pips</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0.00070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0.03</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PIPs loss to deep sediments</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rxud_phyt</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0.35000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0.350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Exudation of phytoplankton to DIPw</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rxud_peri</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Exudation of periphyton to DIPw</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rstl_pflc</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0.25000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POPw settling to floc</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rhyd_dopw</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0.02</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 xml:space="preserve">Hydrolysis of POPw to DOPw </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rpht_dipw</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0.05500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0.50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DOPw photolysis to DIPw</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rrem_dipw</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0.05000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DOPw remineralization to DIPw</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rsor_pipw</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1.46</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DIPw sorption to PIPw</w:t>
            </w:r>
          </w:p>
        </w:tc>
      </w:tr>
      <w:tr>
        <w:trPr/>
        <w:tc>
          <w:tcPr>
            <w:tcW w:w="1575"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rdes_dipw</w:t>
            </w:r>
          </w:p>
        </w:tc>
        <w:tc>
          <w:tcPr>
            <w:tcW w:w="1390" w:type="dxa"/>
            <w:tcBorders/>
          </w:tcPr>
          <w:p>
            <w:pPr>
              <w:pStyle w:val="Normal"/>
              <w:widowControl w:val="false"/>
              <w:spacing w:lineRule="auto" w:line="240" w:before="0" w:after="0"/>
              <w:jc w:val="center"/>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0.01000</w:t>
            </w:r>
          </w:p>
        </w:tc>
        <w:tc>
          <w:tcPr>
            <w:tcW w:w="1079"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0.02</w:t>
            </w:r>
          </w:p>
        </w:tc>
        <w:tc>
          <w:tcPr>
            <w:tcW w:w="4860" w:type="dxa"/>
            <w:tcBorders/>
          </w:tcPr>
          <w:p>
            <w:pPr>
              <w:pStyle w:val="Normal"/>
              <w:widowControl w:val="false"/>
              <w:spacing w:lineRule="auto" w:line="240" w:before="0" w:after="0"/>
              <w:rPr>
                <w:rFonts w:ascii="Calibri" w:hAnsi="Calibri" w:cs="Calibri" w:asciiTheme="minorHAnsi" w:cstheme="minorHAnsi" w:hAnsiTheme="minorHAnsi"/>
                <w:szCs w:val="22"/>
              </w:rPr>
            </w:pPr>
            <w:r>
              <w:rPr>
                <w:rFonts w:eastAsia="Times New Roman" w:cs="Calibri" w:ascii="Calibri" w:hAnsi="Calibri" w:asciiTheme="minorHAnsi" w:cstheme="minorHAnsi" w:hAnsiTheme="minorHAnsi"/>
                <w:kern w:val="0"/>
                <w:szCs w:val="22"/>
                <w:lang w:val="en-US" w:eastAsia="en-US" w:bidi="ar-SA"/>
              </w:rPr>
              <w:t>PIPw desorption to DIPw</w:t>
            </w:r>
          </w:p>
        </w:tc>
      </w:tr>
    </w:tbl>
    <w:p>
      <w:pPr>
        <w:pStyle w:val="Normal"/>
        <w:spacing w:lineRule="auto" w:line="240" w:before="0" w:after="0"/>
        <w:rPr>
          <w:rFonts w:ascii="Calibri" w:hAnsi="Calibri" w:cs="Calibri"/>
          <w:sz w:val="18"/>
          <w:szCs w:val="18"/>
        </w:rPr>
      </w:pPr>
      <w:r>
        <w:rPr>
          <w:rFonts w:cs="Calibri" w:ascii="Calibri" w:hAnsi="Calibri"/>
          <w:sz w:val="18"/>
          <w:szCs w:val="18"/>
          <w:vertAlign w:val="superscript"/>
        </w:rPr>
        <w:t>a</w:t>
      </w:r>
      <w:r>
        <w:rPr>
          <w:rFonts w:cs="Calibri" w:ascii="Calibri" w:hAnsi="Calibri"/>
          <w:sz w:val="18"/>
          <w:szCs w:val="18"/>
        </w:rPr>
        <w:t>Task 9.2 resulting calibration value</w:t>
      </w:r>
    </w:p>
    <w:p>
      <w:pPr>
        <w:pStyle w:val="Normal"/>
        <w:spacing w:lineRule="auto" w:line="240" w:before="0" w:after="0"/>
        <w:rPr>
          <w:rFonts w:ascii="Calibri" w:hAnsi="Calibri" w:cs="Calibri"/>
          <w:sz w:val="18"/>
          <w:szCs w:val="18"/>
        </w:rPr>
      </w:pPr>
      <w:r>
        <w:rPr>
          <w:rFonts w:cs="Calibri" w:ascii="Calibri" w:hAnsi="Calibri"/>
          <w:sz w:val="18"/>
          <w:szCs w:val="18"/>
          <w:vertAlign w:val="superscript"/>
        </w:rPr>
        <w:t>b</w:t>
      </w:r>
      <w:r>
        <w:rPr>
          <w:rFonts w:cs="Calibri" w:ascii="Calibri" w:hAnsi="Calibri"/>
          <w:sz w:val="18"/>
          <w:szCs w:val="18"/>
        </w:rPr>
        <w:t>Corresponding parameter values in BGC model (CELLC (2024)</w:t>
      </w:r>
    </w:p>
    <w:p>
      <w:pPr>
        <w:pStyle w:val="Caption"/>
        <w:rPr/>
      </w:pPr>
      <w:bookmarkStart w:id="195" w:name="_Toc182250942"/>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33</w:t>
      </w:r>
      <w:r>
        <w:rPr/>
        <w:fldChar w:fldCharType="end"/>
      </w:r>
      <w:r>
        <w:rPr/>
        <w:t>. Parameters/process rates that vary in relation to CASM-STA food web dynamics used in internal cycling among sediment and water column P state variables.</w:t>
      </w:r>
      <w:bookmarkEnd w:id="195"/>
      <w:r>
        <w:rPr/>
        <w:t xml:space="preserve"> </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67"/>
        <w:gridCol w:w="2042"/>
        <w:gridCol w:w="5941"/>
      </w:tblGrid>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Parameter</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 xml:space="preserve">Value </w:t>
            </w:r>
          </w:p>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(g P/m</w:t>
            </w:r>
            <w:r>
              <w:rPr>
                <w:rFonts w:eastAsia="Times New Roman" w:cs="Calibri" w:ascii="Calibri" w:hAnsi="Calibri"/>
                <w:kern w:val="0"/>
                <w:szCs w:val="22"/>
                <w:vertAlign w:val="superscript"/>
                <w:lang w:val="en-US" w:eastAsia="en-US" w:bidi="ar-SA"/>
              </w:rPr>
              <w:t>2</w:t>
            </w:r>
            <w:r>
              <w:rPr>
                <w:rFonts w:eastAsia="Times New Roman" w:cs="Calibri" w:ascii="Calibri" w:hAnsi="Calibri"/>
                <w:kern w:val="0"/>
                <w:szCs w:val="22"/>
                <w:lang w:val="en-US" w:eastAsia="en-US" w:bidi="ar-SA"/>
              </w:rPr>
              <w:t>/d</w:t>
            </w:r>
            <w:r>
              <w:rPr>
                <w:rFonts w:eastAsia="Times New Roman" w:cs="Calibri" w:ascii="Calibri" w:hAnsi="Calibri"/>
                <w:kern w:val="0"/>
                <w:szCs w:val="22"/>
                <w:vertAlign w:val="superscript"/>
                <w:lang w:val="en-US" w:eastAsia="en-US" w:bidi="ar-SA"/>
              </w:rPr>
              <w:t>-1</w:t>
            </w:r>
            <w:r>
              <w:rPr>
                <w:rFonts w:eastAsia="Times New Roman" w:cs="Calibri" w:ascii="Calibri" w:hAnsi="Calibri"/>
                <w:kern w:val="0"/>
                <w:szCs w:val="22"/>
                <w:lang w:val="en-US" w:eastAsia="en-US" w:bidi="ar-SA"/>
              </w:rPr>
              <w:t>)</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Description</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fsnk</w:t>
            </w:r>
            <w:r>
              <w:rPr>
                <w:rFonts w:eastAsia="Times New Roman" w:cs="Calibri" w:ascii="Calibri" w:hAnsi="Calibri"/>
                <w:kern w:val="0"/>
                <w:szCs w:val="22"/>
                <w:vertAlign w:val="subscript"/>
                <w:lang w:val="en-US" w:eastAsia="en-US" w:bidi="ar-SA"/>
              </w:rPr>
              <w:t>PHYTO</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phytoplankton sinking input to floc P</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fsuf_popw</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 xml:space="preserve">floc resuspension to POPw </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fsls</w:t>
            </w:r>
            <w:r>
              <w:rPr>
                <w:rFonts w:eastAsia="Times New Roman" w:cs="Calibri" w:ascii="Calibri" w:hAnsi="Calibri"/>
                <w:kern w:val="0"/>
                <w:szCs w:val="22"/>
                <w:vertAlign w:val="subscript"/>
                <w:lang w:val="en-US" w:eastAsia="en-US" w:bidi="ar-SA"/>
              </w:rPr>
              <w:t>VEG</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Input of shoot P to litter P</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frmt</w:t>
            </w:r>
            <w:r>
              <w:rPr>
                <w:rFonts w:eastAsia="Times New Roman" w:cs="Calibri" w:ascii="Calibri" w:hAnsi="Calibri"/>
                <w:kern w:val="0"/>
                <w:szCs w:val="22"/>
                <w:vertAlign w:val="subscript"/>
                <w:lang w:val="en-US" w:eastAsia="en-US" w:bidi="ar-SA"/>
              </w:rPr>
              <w:t>PHYT</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phytoplankton mortality P input to POPw</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fslr</w:t>
            </w:r>
            <w:r>
              <w:rPr>
                <w:rFonts w:eastAsia="Times New Roman" w:cs="Calibri" w:ascii="Calibri" w:hAnsi="Calibri"/>
                <w:kern w:val="0"/>
                <w:szCs w:val="22"/>
                <w:vertAlign w:val="subscript"/>
                <w:lang w:val="en-US" w:eastAsia="en-US" w:bidi="ar-SA"/>
              </w:rPr>
              <w:t>VEG</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Input of root P to POPs</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fsul_popw</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 xml:space="preserve">litter resuspension to POPw                                                   </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fmrt</w:t>
            </w:r>
            <w:r>
              <w:rPr>
                <w:rFonts w:eastAsia="Times New Roman" w:cs="Calibri" w:ascii="Calibri" w:hAnsi="Calibri"/>
                <w:kern w:val="0"/>
                <w:szCs w:val="22"/>
                <w:vertAlign w:val="subscript"/>
                <w:lang w:val="en-US" w:eastAsia="en-US" w:bidi="ar-SA"/>
              </w:rPr>
              <w:t>PERI</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Periphyton mortality P input to floc P</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fsuo_popw</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POPs resuspension to POPw</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fegs</w:t>
            </w:r>
            <w:r>
              <w:rPr>
                <w:rFonts w:eastAsia="Times New Roman" w:cs="Calibri" w:ascii="Calibri" w:hAnsi="Calibri"/>
                <w:kern w:val="0"/>
                <w:szCs w:val="22"/>
                <w:vertAlign w:val="subscript"/>
                <w:lang w:val="en-US" w:eastAsia="en-US" w:bidi="ar-SA"/>
              </w:rPr>
              <w:t>FAUNA</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consumer egestion to POPw</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fsup_pipw</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PIPs resuspension to PIPw</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fupt</w:t>
            </w:r>
            <w:r>
              <w:rPr>
                <w:rFonts w:eastAsia="Times New Roman" w:cs="Calibri" w:ascii="Calibri" w:hAnsi="Calibri"/>
                <w:kern w:val="0"/>
                <w:szCs w:val="22"/>
                <w:vertAlign w:val="subscript"/>
                <w:lang w:val="en-US" w:eastAsia="en-US" w:bidi="ar-SA"/>
              </w:rPr>
              <w:t>VEG</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DIPs uptake by SAV, EAV shoots and roots</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fexc</w:t>
            </w:r>
            <w:r>
              <w:rPr>
                <w:rFonts w:eastAsia="Times New Roman" w:cs="Calibri" w:ascii="Calibri" w:hAnsi="Calibri"/>
                <w:kern w:val="0"/>
                <w:szCs w:val="22"/>
                <w:vertAlign w:val="subscript"/>
                <w:lang w:val="en-US" w:eastAsia="en-US" w:bidi="ar-SA"/>
              </w:rPr>
              <w:t>FAUNA</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consumer excretion to DIPw</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fupt</w:t>
            </w:r>
            <w:r>
              <w:rPr>
                <w:rFonts w:eastAsia="Times New Roman" w:cs="Calibri" w:ascii="Calibri" w:hAnsi="Calibri"/>
                <w:kern w:val="0"/>
                <w:szCs w:val="22"/>
                <w:vertAlign w:val="subscript"/>
                <w:lang w:val="en-US" w:eastAsia="en-US" w:bidi="ar-SA"/>
              </w:rPr>
              <w:t>PHYTO</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DIPw uptake by phytoplankton</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fupt</w:t>
            </w:r>
            <w:r>
              <w:rPr>
                <w:rFonts w:eastAsia="Times New Roman" w:cs="Calibri" w:ascii="Calibri" w:hAnsi="Calibri"/>
                <w:kern w:val="0"/>
                <w:szCs w:val="22"/>
                <w:vertAlign w:val="subscript"/>
                <w:lang w:val="en-US" w:eastAsia="en-US" w:bidi="ar-SA"/>
              </w:rPr>
              <w:t>PERI</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DIPw uptake by periphyton</w:t>
            </w:r>
          </w:p>
        </w:tc>
      </w:tr>
      <w:tr>
        <w:trPr/>
        <w:tc>
          <w:tcPr>
            <w:tcW w:w="136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fbtb</w:t>
            </w:r>
          </w:p>
        </w:tc>
        <w:tc>
          <w:tcPr>
            <w:tcW w:w="2042"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Variable</w:t>
            </w:r>
          </w:p>
        </w:tc>
        <w:tc>
          <w:tcPr>
            <w:tcW w:w="5941"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bioturbation of floc P, litter P, POPs to POPw and PIPs to PIPw</w:t>
            </w:r>
          </w:p>
        </w:tc>
      </w:tr>
    </w:tbl>
    <w:p>
      <w:pPr>
        <w:pStyle w:val="Normal"/>
        <w:rPr/>
      </w:pPr>
      <w:r>
        <w:rPr/>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Consumer populations</w:t>
      </w:r>
    </w:p>
    <w:p>
      <w:pPr>
        <w:pStyle w:val="Normal"/>
        <w:rPr/>
      </w:pPr>
      <w:r>
        <w:rPr/>
        <w:t>The calibrated values of modeled consumer population biomass (g C/m</w:t>
      </w:r>
      <w:r>
        <w:rPr>
          <w:vertAlign w:val="superscript"/>
        </w:rPr>
        <w:t>2</w:t>
      </w:r>
      <w:r>
        <w:rPr/>
        <w:t xml:space="preserve">) compared reasonably with data relevant to FW1 (Table 3-17). The minimum and maximum values for largemouth bass were nearly identical to the available data, while the mean population biomass was slightly greater than reported values. Similarly favorable comparisons were evident for Eastern mosquitofish, although the modeled minimum value 0.049 was about six times greater than the reported estimate (Evans et al. 2019). The mean biomass of tilapia was similar to the value reported by Evans et a. (2019), but two orders of magnitude lower than the value estimated from Goeke et al. (2023). The modeled minimum value substantially greater than the reported value, while the modeled maximum tilapia biomass was nearly identical to the data. The accuracy of the modeled values of tilapia biomass is important because this fish biomass drives the calculation of sediments resuspended by bioturbation. </w:t>
      </w:r>
    </w:p>
    <w:p>
      <w:pPr>
        <w:pStyle w:val="Normal"/>
        <w:rPr/>
      </w:pPr>
      <w:r>
        <w:rPr/>
        <w:t>The calibration results for the modeled invertebrates were similarly in agreement with the reported values (Table 3-17). Mean grass shrimp biomass was very nearly the same as values estimated from Evans et al. (2019). The range of modeled grass shrimp biomass was also similar to that derived from the data. The mean infauna biomass was essentially equal to the upper estimate from Evans et al. (2019), although the modeled minimum was nearly 3-fold greater than the data; maximum values were nearly the same. Data that quantify zooplankton production in FW1 were not identified during the course of the modeling project. The CASM-STA results suggest zooplankton population biomass in the same order of magnitude as the benthic infauna, perhaps not entirely unrealistic for modeling purposes.</w:t>
      </w:r>
    </w:p>
    <w:p>
      <w:pPr>
        <w:pStyle w:val="Normal"/>
        <w:rPr/>
      </w:pPr>
      <w:r>
        <w:rPr/>
        <w:t>The reasonable comparisons of modeled and measured values of biomass for fish and invertebrates suggest that corresponding modeled values of P egestion, excretion and bioturbation are likely within at least order-of-magnitude accuracy. These results provide a basis for comparing the relative importance of different processes (e.g., remineralization, co-precipitation, deposition to deep sediments) in influencing the internal P dynamics within FW1.</w:t>
      </w:r>
    </w:p>
    <w:p>
      <w:pPr>
        <w:pStyle w:val="Caption"/>
        <w:rPr/>
      </w:pPr>
      <w:bookmarkStart w:id="196" w:name="_Hlk170426653"/>
      <w:bookmarkStart w:id="197" w:name="_Toc182250943"/>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34</w:t>
      </w:r>
      <w:r>
        <w:rPr/>
        <w:fldChar w:fldCharType="end"/>
      </w:r>
      <w:r>
        <w:rPr/>
        <w:t>. Measured and modeled biomass (g C/m</w:t>
      </w:r>
      <w:r>
        <w:rPr>
          <w:vertAlign w:val="superscript"/>
        </w:rPr>
        <w:t>2</w:t>
      </w:r>
      <w:r>
        <w:rPr/>
        <w:t>) of STA-2 fish, grass shrimp, benthic infauna, and zooplankton included in the CASM-STA.</w:t>
      </w:r>
      <w:bookmarkEnd w:id="196"/>
      <w:bookmarkEnd w:id="197"/>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7"/>
        <w:gridCol w:w="2337"/>
        <w:gridCol w:w="2338"/>
        <w:gridCol w:w="2337"/>
      </w:tblGrid>
      <w:tr>
        <w:trPr/>
        <w:tc>
          <w:tcPr>
            <w:tcW w:w="2337"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Mean</w:t>
            </w:r>
          </w:p>
        </w:tc>
        <w:tc>
          <w:tcPr>
            <w:tcW w:w="2338"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Minimum</w:t>
            </w:r>
          </w:p>
        </w:tc>
        <w:tc>
          <w:tcPr>
            <w:tcW w:w="2337" w:type="dxa"/>
            <w:tcBorders/>
          </w:tcPr>
          <w:p>
            <w:pPr>
              <w:pStyle w:val="Normal"/>
              <w:widowControl w:val="false"/>
              <w:spacing w:lineRule="auto" w:line="240" w:before="0" w:after="0"/>
              <w:rPr>
                <w:rFonts w:ascii="Calibri" w:hAnsi="Calibri" w:cs="Calibri"/>
                <w:b/>
                <w:bCs/>
                <w:szCs w:val="22"/>
              </w:rPr>
            </w:pPr>
            <w:r>
              <w:rPr>
                <w:rFonts w:eastAsia="Times New Roman" w:cs="Calibri" w:ascii="Calibri" w:hAnsi="Calibri"/>
                <w:b/>
                <w:bCs/>
                <w:kern w:val="0"/>
                <w:szCs w:val="22"/>
                <w:lang w:val="en-US" w:eastAsia="en-US" w:bidi="ar-SA"/>
              </w:rPr>
              <w:t>Maximum</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Largemouth bass</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Evans et al. 2019</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0.039 (0.050)</w:t>
            </w:r>
            <w:r>
              <w:rPr>
                <w:rFonts w:eastAsia="Times New Roman" w:cs="Calibri" w:ascii="Calibri" w:hAnsi="Calibri"/>
                <w:kern w:val="0"/>
                <w:szCs w:val="22"/>
                <w:vertAlign w:val="superscript"/>
                <w:lang w:val="en-US" w:eastAsia="en-US" w:bidi="ar-SA"/>
              </w:rPr>
              <w:t>4</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0.001</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0.171</w:t>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Goeke et al. 2023</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0.028 (0.014)</w:t>
            </w:r>
            <w:r>
              <w:rPr>
                <w:rFonts w:eastAsia="Times New Roman" w:cs="Calibri" w:ascii="Calibri" w:hAnsi="Calibri"/>
                <w:kern w:val="0"/>
                <w:szCs w:val="22"/>
                <w:vertAlign w:val="superscript"/>
                <w:lang w:val="en-US" w:eastAsia="en-US" w:bidi="ar-SA"/>
              </w:rPr>
              <w:t>4</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Phase II CASM-STA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0.059</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0.001</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0.142</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Eastern mosquitofish</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Evans et al. 2019</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0.050 (0.038)</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0.008</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0.124</w:t>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Phase II CASM-STA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0.084</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0.049</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0.112</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Blue Tilapia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Evans et al. 2019</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0.003 (0.004)</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0.0001</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0.011</w:t>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Goeke et al. 2023</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0.102 (0.130)</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Phase II CASM-STA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0.0094</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0.0088</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0.010</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Grass shrimp</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Evans et al. 2019</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0.064 (0.059)</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0.006</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0.181</w:t>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Phase II CASM-STA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0.074</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0.027</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0.118</w:t>
            </w:r>
          </w:p>
        </w:tc>
      </w:tr>
      <w:tr>
        <w:trPr/>
        <w:tc>
          <w:tcPr>
            <w:tcW w:w="233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Benthic infauna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Evans et al. 2019</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0.14 – 0.24</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0.050</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0.380</w:t>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Phase II CASM-STA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0.25</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0.137</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0.300</w:t>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Zooplankton</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r>
      <w:tr>
        <w:trPr/>
        <w:tc>
          <w:tcPr>
            <w:tcW w:w="2337" w:type="dxa"/>
            <w:tcBorders/>
          </w:tcPr>
          <w:p>
            <w:pPr>
              <w:pStyle w:val="Normal"/>
              <w:widowControl w:val="false"/>
              <w:spacing w:lineRule="auto" w:line="240" w:before="0" w:after="0"/>
              <w:jc w:val="right"/>
              <w:rPr>
                <w:rFonts w:ascii="Calibri" w:hAnsi="Calibri" w:cs="Calibri"/>
                <w:szCs w:val="22"/>
              </w:rPr>
            </w:pPr>
            <w:r>
              <w:rPr>
                <w:rFonts w:eastAsia="Times New Roman" w:cs="Calibri" w:ascii="Calibri" w:hAnsi="Calibri"/>
                <w:kern w:val="0"/>
                <w:szCs w:val="22"/>
                <w:lang w:val="en-US" w:eastAsia="en-US" w:bidi="ar-SA"/>
              </w:rPr>
              <w:t>CASM-STA</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0.154</w:t>
            </w:r>
          </w:p>
        </w:tc>
        <w:tc>
          <w:tcPr>
            <w:tcW w:w="2338"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0.010</w:t>
            </w:r>
          </w:p>
        </w:tc>
        <w:tc>
          <w:tcPr>
            <w:tcW w:w="2337"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0.183</w:t>
            </w:r>
          </w:p>
        </w:tc>
      </w:tr>
    </w:tbl>
    <w:p>
      <w:pPr>
        <w:pStyle w:val="Normal"/>
        <w:rPr/>
      </w:pPr>
      <w:r>
        <w:rPr/>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Soils/sediments</w:t>
      </w:r>
    </w:p>
    <w:p>
      <w:pPr>
        <w:pStyle w:val="Normal"/>
        <w:rPr/>
      </w:pPr>
      <w:r>
        <w:rPr/>
        <w:t>The average daily values of the modeled sediment P pools were summarized for each spatial segment as well as the combined three segments used to represent FW1 (Table 3-18). Calibrated CASM-STA values of floc P were slightly greater than the 1.64 g P/m</w:t>
      </w:r>
      <w:r>
        <w:rPr>
          <w:vertAlign w:val="superscript"/>
        </w:rPr>
        <w:t>2</w:t>
      </w:r>
      <w:r>
        <w:rPr/>
        <w:t xml:space="preserve"> target value (Table 3-18). The overall modeled FW1 mean value for floc was 2.07 (SD 0.75) g P/m</w:t>
      </w:r>
      <w:r>
        <w:rPr>
          <w:vertAlign w:val="superscript"/>
        </w:rPr>
        <w:t>2</w:t>
      </w:r>
      <w:r>
        <w:rPr/>
        <w:t>. Comparison between modeled and target litter P values were quite similar, 1.34 vs 0.70 for the FW1 mean values. The modeled values of POPs were very similar to the target value, modeled FW1 mean 3.49 (SD 2.03) 0.462 compared favorably with the 2.57 (SD 2.16) g P/m</w:t>
      </w:r>
      <w:r>
        <w:rPr>
          <w:vertAlign w:val="superscript"/>
        </w:rPr>
        <w:t>2</w:t>
      </w:r>
      <w:r>
        <w:rPr/>
        <w:t xml:space="preserve"> target value. The model calibration underpredicted values of DOP</w:t>
      </w:r>
      <w:r>
        <w:rPr>
          <w:vertAlign w:val="subscript"/>
        </w:rPr>
        <w:t>s</w:t>
      </w:r>
      <w:r>
        <w:rPr/>
        <w:t xml:space="preserve"> by about half, with a modeled mean FW1 value of 0.067 g P/m</w:t>
      </w:r>
      <w:r>
        <w:rPr>
          <w:vertAlign w:val="superscript"/>
        </w:rPr>
        <w:t>2</w:t>
      </w:r>
      <w:r>
        <w:rPr/>
        <w:t xml:space="preserve"> compared to the target value of 0.15 (SD 0.12) g P/m</w:t>
      </w:r>
      <w:r>
        <w:rPr>
          <w:vertAlign w:val="superscript"/>
        </w:rPr>
        <w:t>2</w:t>
      </w:r>
      <w:r>
        <w:rPr/>
        <w:t>. The modeled and target values for the calibration of DIPs were nearly identical with a modeled mean FW1 value of 0.107 (SD 0.055) g P/m</w:t>
      </w:r>
      <w:r>
        <w:rPr>
          <w:vertAlign w:val="superscript"/>
        </w:rPr>
        <w:t>2</w:t>
      </w:r>
      <w:r>
        <w:rPr/>
        <w:t xml:space="preserve"> compared to the target value of 0.10 (SD 0.08) (Table 3-18). The calibrated CASM-STA overestimated PIP</w:t>
      </w:r>
      <w:r>
        <w:rPr>
          <w:vertAlign w:val="subscript"/>
        </w:rPr>
        <w:t>s</w:t>
      </w:r>
      <w:r>
        <w:rPr/>
        <w:t xml:space="preserve"> by about ten-fold (Table 3-18), which might result from an overestimation of the settling rate of PIPw or the dynamics of net sorption-desorption to DIPs.  </w:t>
      </w:r>
    </w:p>
    <w:p>
      <w:pPr>
        <w:pStyle w:val="Normal"/>
        <w:spacing w:lineRule="auto" w:line="240" w:before="0" w:after="60"/>
        <w:jc w:val="left"/>
        <w:rPr>
          <w:bCs/>
          <w:sz w:val="20"/>
        </w:rPr>
      </w:pPr>
      <w:r>
        <w:rPr>
          <w:bCs/>
          <w:sz w:val="20"/>
        </w:rPr>
      </w:r>
    </w:p>
    <w:p>
      <w:pPr>
        <w:pStyle w:val="Caption"/>
        <w:rPr/>
      </w:pPr>
      <w:bookmarkStart w:id="198" w:name="_Toc182250944"/>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35</w:t>
      </w:r>
      <w:r>
        <w:rPr/>
        <w:fldChar w:fldCharType="end"/>
      </w:r>
      <w:r>
        <w:rPr/>
        <w:t>. Comparison of FW1 soil P pool target values and results from the Phase III CASM-STA model calibration (g P/m</w:t>
      </w:r>
      <w:r>
        <w:rPr>
          <w:vertAlign w:val="superscript"/>
        </w:rPr>
        <w:t>2</w:t>
      </w:r>
      <w:r>
        <w:rPr/>
        <w:t>).</w:t>
      </w:r>
      <w:bookmarkEnd w:id="198"/>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94"/>
        <w:gridCol w:w="803"/>
        <w:gridCol w:w="907"/>
        <w:gridCol w:w="735"/>
        <w:gridCol w:w="852"/>
        <w:gridCol w:w="872"/>
        <w:gridCol w:w="852"/>
        <w:gridCol w:w="882"/>
        <w:gridCol w:w="852"/>
        <w:gridCol w:w="856"/>
        <w:gridCol w:w="843"/>
      </w:tblGrid>
      <w:tr>
        <w:trPr/>
        <w:tc>
          <w:tcPr>
            <w:tcW w:w="89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710"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FW1 Target values</w:t>
            </w:r>
          </w:p>
        </w:tc>
        <w:tc>
          <w:tcPr>
            <w:tcW w:w="1587"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Segment A</w:t>
            </w:r>
          </w:p>
        </w:tc>
        <w:tc>
          <w:tcPr>
            <w:tcW w:w="1724"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Segment B</w:t>
            </w:r>
          </w:p>
        </w:tc>
        <w:tc>
          <w:tcPr>
            <w:tcW w:w="1734"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Segment C</w:t>
            </w:r>
          </w:p>
        </w:tc>
        <w:tc>
          <w:tcPr>
            <w:tcW w:w="1699"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FW1</w:t>
            </w:r>
          </w:p>
        </w:tc>
      </w:tr>
      <w:tr>
        <w:trPr/>
        <w:tc>
          <w:tcPr>
            <w:tcW w:w="89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803"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907"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735"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52"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72"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52"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82"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52"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56"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43"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r>
      <w:tr>
        <w:trPr/>
        <w:tc>
          <w:tcPr>
            <w:tcW w:w="89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Floc P</w:t>
            </w:r>
          </w:p>
        </w:tc>
        <w:tc>
          <w:tcPr>
            <w:tcW w:w="80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1.64</w:t>
            </w:r>
          </w:p>
        </w:tc>
        <w:tc>
          <w:tcPr>
            <w:tcW w:w="90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0.65</w:t>
            </w:r>
          </w:p>
        </w:tc>
        <w:tc>
          <w:tcPr>
            <w:tcW w:w="73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1.94</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0.56</w:t>
            </w:r>
          </w:p>
        </w:tc>
        <w:tc>
          <w:tcPr>
            <w:tcW w:w="87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1.95</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0.79</w:t>
            </w:r>
          </w:p>
        </w:tc>
        <w:tc>
          <w:tcPr>
            <w:tcW w:w="88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2.32</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1.00</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2.07</w:t>
            </w:r>
          </w:p>
        </w:tc>
        <w:tc>
          <w:tcPr>
            <w:tcW w:w="8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0.75</w:t>
            </w:r>
          </w:p>
        </w:tc>
      </w:tr>
      <w:tr>
        <w:trPr/>
        <w:tc>
          <w:tcPr>
            <w:tcW w:w="89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Litter P</w:t>
            </w:r>
          </w:p>
        </w:tc>
        <w:tc>
          <w:tcPr>
            <w:tcW w:w="80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0.70</w:t>
            </w:r>
          </w:p>
        </w:tc>
        <w:tc>
          <w:tcPr>
            <w:tcW w:w="90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0.32</w:t>
            </w:r>
          </w:p>
        </w:tc>
        <w:tc>
          <w:tcPr>
            <w:tcW w:w="73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1.23</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0.46</w:t>
            </w:r>
          </w:p>
        </w:tc>
        <w:tc>
          <w:tcPr>
            <w:tcW w:w="87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1.20</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0.48</w:t>
            </w:r>
          </w:p>
        </w:tc>
        <w:tc>
          <w:tcPr>
            <w:tcW w:w="88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1.58</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0.92</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1.34</w:t>
            </w:r>
          </w:p>
        </w:tc>
        <w:tc>
          <w:tcPr>
            <w:tcW w:w="8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0.66</w:t>
            </w:r>
          </w:p>
        </w:tc>
      </w:tr>
      <w:tr>
        <w:trPr/>
        <w:tc>
          <w:tcPr>
            <w:tcW w:w="89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POPs</w:t>
            </w:r>
          </w:p>
        </w:tc>
        <w:tc>
          <w:tcPr>
            <w:tcW w:w="80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2.57</w:t>
            </w:r>
          </w:p>
        </w:tc>
        <w:tc>
          <w:tcPr>
            <w:tcW w:w="90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2.16</w:t>
            </w:r>
          </w:p>
        </w:tc>
        <w:tc>
          <w:tcPr>
            <w:tcW w:w="73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2.95</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0.98</w:t>
            </w:r>
          </w:p>
        </w:tc>
        <w:tc>
          <w:tcPr>
            <w:tcW w:w="87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3.11</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1.34</w:t>
            </w:r>
          </w:p>
        </w:tc>
        <w:tc>
          <w:tcPr>
            <w:tcW w:w="88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4.40</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2.96</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3.49</w:t>
            </w:r>
          </w:p>
        </w:tc>
        <w:tc>
          <w:tcPr>
            <w:tcW w:w="8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2.03</w:t>
            </w:r>
          </w:p>
        </w:tc>
      </w:tr>
      <w:tr>
        <w:trPr/>
        <w:tc>
          <w:tcPr>
            <w:tcW w:w="89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DOPs</w:t>
            </w:r>
          </w:p>
        </w:tc>
        <w:tc>
          <w:tcPr>
            <w:tcW w:w="80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0.15</w:t>
            </w:r>
            <w:r>
              <w:rPr>
                <w:rFonts w:eastAsia="Times New Roman" w:cs="Calibri" w:ascii="Calibri" w:hAnsi="Calibri"/>
                <w:kern w:val="0"/>
                <w:szCs w:val="22"/>
                <w:vertAlign w:val="superscript"/>
                <w:lang w:val="en-US" w:eastAsia="en-US" w:bidi="ar-SA"/>
              </w:rPr>
              <w:t>a</w:t>
            </w:r>
          </w:p>
        </w:tc>
        <w:tc>
          <w:tcPr>
            <w:tcW w:w="90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0.12</w:t>
            </w:r>
          </w:p>
        </w:tc>
        <w:tc>
          <w:tcPr>
            <w:tcW w:w="73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0.057</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0.019</w:t>
            </w:r>
          </w:p>
        </w:tc>
        <w:tc>
          <w:tcPr>
            <w:tcW w:w="87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0.060</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0.026</w:t>
            </w:r>
          </w:p>
        </w:tc>
        <w:tc>
          <w:tcPr>
            <w:tcW w:w="88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0.084</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0.057</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0.067</w:t>
            </w:r>
          </w:p>
        </w:tc>
        <w:tc>
          <w:tcPr>
            <w:tcW w:w="8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0.039</w:t>
            </w:r>
          </w:p>
        </w:tc>
      </w:tr>
      <w:tr>
        <w:trPr/>
        <w:tc>
          <w:tcPr>
            <w:tcW w:w="89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DIPs</w:t>
            </w:r>
          </w:p>
        </w:tc>
        <w:tc>
          <w:tcPr>
            <w:tcW w:w="80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0.10</w:t>
            </w:r>
            <w:r>
              <w:rPr>
                <w:rFonts w:eastAsia="Times New Roman" w:cs="Calibri" w:ascii="Calibri" w:hAnsi="Calibri"/>
                <w:kern w:val="0"/>
                <w:szCs w:val="22"/>
                <w:vertAlign w:val="superscript"/>
                <w:lang w:val="en-US" w:eastAsia="en-US" w:bidi="ar-SA"/>
              </w:rPr>
              <w:t>b</w:t>
            </w:r>
          </w:p>
        </w:tc>
        <w:tc>
          <w:tcPr>
            <w:tcW w:w="90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0.08</w:t>
            </w:r>
          </w:p>
        </w:tc>
        <w:tc>
          <w:tcPr>
            <w:tcW w:w="73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0.15</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0.041</w:t>
            </w:r>
          </w:p>
        </w:tc>
        <w:tc>
          <w:tcPr>
            <w:tcW w:w="87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0.097</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0.044</w:t>
            </w:r>
          </w:p>
        </w:tc>
        <w:tc>
          <w:tcPr>
            <w:tcW w:w="88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0.119</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0.075</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0.107</w:t>
            </w:r>
          </w:p>
        </w:tc>
        <w:tc>
          <w:tcPr>
            <w:tcW w:w="8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0.055</w:t>
            </w:r>
          </w:p>
        </w:tc>
      </w:tr>
      <w:tr>
        <w:trPr/>
        <w:tc>
          <w:tcPr>
            <w:tcW w:w="89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PIPs</w:t>
            </w:r>
          </w:p>
        </w:tc>
        <w:tc>
          <w:tcPr>
            <w:tcW w:w="80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0.440</w:t>
            </w:r>
          </w:p>
        </w:tc>
        <w:tc>
          <w:tcPr>
            <w:tcW w:w="90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0.27</w:t>
            </w:r>
          </w:p>
        </w:tc>
        <w:tc>
          <w:tcPr>
            <w:tcW w:w="73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6.340</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2.724</w:t>
            </w:r>
          </w:p>
        </w:tc>
        <w:tc>
          <w:tcPr>
            <w:tcW w:w="87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5.556</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2.472</w:t>
            </w:r>
          </w:p>
        </w:tc>
        <w:tc>
          <w:tcPr>
            <w:tcW w:w="88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6.614</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3.948</w:t>
            </w:r>
          </w:p>
        </w:tc>
        <w:tc>
          <w:tcPr>
            <w:tcW w:w="85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6.170</w:t>
            </w:r>
          </w:p>
        </w:tc>
        <w:tc>
          <w:tcPr>
            <w:tcW w:w="8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3.082</w:t>
            </w:r>
          </w:p>
        </w:tc>
      </w:tr>
    </w:tbl>
    <w:p>
      <w:pPr>
        <w:pStyle w:val="Normal"/>
        <w:spacing w:lineRule="auto" w:line="240" w:before="0" w:after="0"/>
        <w:rPr>
          <w:rFonts w:ascii="Calibri" w:hAnsi="Calibri" w:cs="Calibri"/>
          <w:sz w:val="20"/>
        </w:rPr>
      </w:pPr>
      <w:r>
        <w:rPr>
          <w:rFonts w:cs="Calibri" w:ascii="Calibri" w:hAnsi="Calibri"/>
          <w:sz w:val="20"/>
          <w:vertAlign w:val="superscript"/>
        </w:rPr>
        <w:t>a</w:t>
      </w:r>
      <w:r>
        <w:rPr>
          <w:rFonts w:cs="Calibri" w:ascii="Calibri" w:hAnsi="Calibri"/>
          <w:sz w:val="20"/>
        </w:rPr>
        <w:t>Previous targets were 0.004 – 0.007 g P/m</w:t>
      </w:r>
      <w:r>
        <w:rPr>
          <w:rFonts w:cs="Calibri" w:ascii="Calibri" w:hAnsi="Calibri"/>
          <w:sz w:val="20"/>
          <w:vertAlign w:val="superscript"/>
        </w:rPr>
        <w:t>2</w:t>
      </w:r>
    </w:p>
    <w:p>
      <w:pPr>
        <w:pStyle w:val="Normal"/>
        <w:spacing w:lineRule="auto" w:line="240" w:before="0" w:after="0"/>
        <w:rPr>
          <w:rFonts w:ascii="Calibri" w:hAnsi="Calibri" w:cs="Calibri"/>
          <w:sz w:val="20"/>
        </w:rPr>
      </w:pPr>
      <w:r>
        <w:rPr>
          <w:rFonts w:cs="Calibri" w:ascii="Calibri" w:hAnsi="Calibri"/>
          <w:sz w:val="20"/>
          <w:vertAlign w:val="superscript"/>
        </w:rPr>
        <w:t>b</w:t>
      </w:r>
      <w:r>
        <w:rPr>
          <w:rFonts w:cs="Calibri" w:ascii="Calibri" w:hAnsi="Calibri"/>
          <w:sz w:val="20"/>
        </w:rPr>
        <w:t>Previous targets were 0.006 – 0.19 g P/m</w:t>
      </w:r>
      <w:r>
        <w:rPr>
          <w:rFonts w:cs="Calibri" w:ascii="Calibri" w:hAnsi="Calibri"/>
          <w:sz w:val="20"/>
          <w:vertAlign w:val="superscript"/>
        </w:rPr>
        <w:t>2</w:t>
      </w:r>
    </w:p>
    <w:p>
      <w:pPr>
        <w:pStyle w:val="Normal"/>
        <w:rPr/>
      </w:pPr>
      <w:r>
        <w:rPr/>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Water column</w:t>
      </w:r>
    </w:p>
    <w:p>
      <w:pPr>
        <w:pStyle w:val="Normal"/>
        <w:rPr/>
      </w:pPr>
      <w:r>
        <w:rPr/>
        <w:t>The calibration of the CASM-STA presented in the draft Final Report overestimated POPw by two orders of magnitude (modeled FW1 mean of 0.212 versus target value of 0.010 g P/m</w:t>
      </w:r>
      <w:r>
        <w:rPr>
          <w:vertAlign w:val="superscript"/>
        </w:rPr>
        <w:t>3</w:t>
      </w:r>
      <w:r>
        <w:rPr/>
        <w:t>) and was not accepted by the SFWMD (T. James, personal communication) and led to the re-calibration of the model that serves as the basis for a revised Final Report. The re-calibration more accurately represented the target value for POPw with a mean model FW1 value of 0.009 g P/m3 compared to a target value of 0.010 (Table 3-19). Improving the agreement between the calibrated values of POPw also changed the results for the remaining water column P pools (Table 3-19). Model values for DOPw were about a third of the target values with a mean modeled value of 0.005 (SD 0.003) g P/m3 compared to a target value of 0.014 (SD 0.007) (Table 3-19). Values of the calibrated model DIPw compared favorably with the target values with a mean modeled FW1 value of 0.034 (SD 0.041) g P/m</w:t>
      </w:r>
      <w:r>
        <w:rPr>
          <w:vertAlign w:val="superscript"/>
        </w:rPr>
        <w:t>3</w:t>
      </w:r>
      <w:r>
        <w:rPr/>
        <w:t xml:space="preserve"> versus a target value of 0.026 (SD 0.028). The calibration for PIPw produced a mean modeled FW1 value of 0.015 (SD 0.010) g P/m</w:t>
      </w:r>
      <w:r>
        <w:rPr>
          <w:vertAlign w:val="superscript"/>
        </w:rPr>
        <w:t>3</w:t>
      </w:r>
      <w:r>
        <w:rPr/>
        <w:t xml:space="preserve"> which was about double the target value of 0.006 (SD 0.003). The net result of improving the water column calibration across the P pools was a more accurate calibration for water column TP, the overall management endpoint. The mean model FW1 value for TP was 0.064 (SD 0.050) g P/m</w:t>
      </w:r>
      <w:r>
        <w:rPr>
          <w:vertAlign w:val="superscript"/>
        </w:rPr>
        <w:t>3</w:t>
      </w:r>
      <w:r>
        <w:rPr/>
        <w:t xml:space="preserve"> compared to the target value of 0.056 (SD 0.012) (Table 3-19).   </w:t>
      </w:r>
    </w:p>
    <w:p>
      <w:pPr>
        <w:pStyle w:val="Caption"/>
        <w:rPr/>
      </w:pPr>
      <w:bookmarkStart w:id="199" w:name="_Toc182250945"/>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36</w:t>
      </w:r>
      <w:r>
        <w:rPr/>
        <w:fldChar w:fldCharType="end"/>
      </w:r>
      <w:r>
        <w:rPr/>
        <w:t>. Comparison of FW1 water column P pool target values and results from the Phase III CASM-STA model calibration (g P/m</w:t>
      </w:r>
      <w:r>
        <w:rPr>
          <w:vertAlign w:val="superscript"/>
        </w:rPr>
        <w:t>3</w:t>
      </w:r>
      <w:r>
        <w:rPr/>
        <w:t>).</w:t>
      </w:r>
      <w:bookmarkEnd w:id="199"/>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69"/>
        <w:gridCol w:w="898"/>
        <w:gridCol w:w="836"/>
        <w:gridCol w:w="850"/>
        <w:gridCol w:w="839"/>
        <w:gridCol w:w="852"/>
        <w:gridCol w:w="839"/>
        <w:gridCol w:w="859"/>
        <w:gridCol w:w="839"/>
        <w:gridCol w:w="837"/>
        <w:gridCol w:w="830"/>
      </w:tblGrid>
      <w:tr>
        <w:trPr/>
        <w:tc>
          <w:tcPr>
            <w:tcW w:w="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734"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FW1 Target values</w:t>
            </w:r>
          </w:p>
        </w:tc>
        <w:tc>
          <w:tcPr>
            <w:tcW w:w="1689"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Segment A</w:t>
            </w:r>
          </w:p>
        </w:tc>
        <w:tc>
          <w:tcPr>
            <w:tcW w:w="1691"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Segment B</w:t>
            </w:r>
          </w:p>
        </w:tc>
        <w:tc>
          <w:tcPr>
            <w:tcW w:w="1698"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Segment C</w:t>
            </w:r>
          </w:p>
        </w:tc>
        <w:tc>
          <w:tcPr>
            <w:tcW w:w="1667"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FW1</w:t>
            </w:r>
          </w:p>
        </w:tc>
      </w:tr>
      <w:tr>
        <w:trPr/>
        <w:tc>
          <w:tcPr>
            <w:tcW w:w="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898"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36"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50"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3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52"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3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5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3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37"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30"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r>
      <w:tr>
        <w:trPr/>
        <w:tc>
          <w:tcPr>
            <w:tcW w:w="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POPw</w:t>
            </w:r>
          </w:p>
        </w:tc>
        <w:tc>
          <w:tcPr>
            <w:tcW w:w="89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0.010</w:t>
            </w:r>
          </w:p>
        </w:tc>
        <w:tc>
          <w:tcPr>
            <w:tcW w:w="83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0.010</w:t>
            </w:r>
          </w:p>
        </w:tc>
        <w:tc>
          <w:tcPr>
            <w:tcW w:w="85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0.007</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0.003</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0.009</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0.003</w:t>
            </w:r>
          </w:p>
        </w:tc>
        <w:tc>
          <w:tcPr>
            <w:tcW w:w="85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0.012</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0.006</w:t>
            </w:r>
          </w:p>
        </w:tc>
        <w:tc>
          <w:tcPr>
            <w:tcW w:w="83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0.009</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0.005</w:t>
            </w:r>
          </w:p>
        </w:tc>
      </w:tr>
      <w:tr>
        <w:trPr/>
        <w:tc>
          <w:tcPr>
            <w:tcW w:w="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DOPw</w:t>
            </w:r>
          </w:p>
        </w:tc>
        <w:tc>
          <w:tcPr>
            <w:tcW w:w="89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0.014</w:t>
            </w:r>
            <w:r>
              <w:rPr>
                <w:rFonts w:eastAsia="Times New Roman" w:cs="Calibri" w:ascii="Calibri" w:hAnsi="Calibri"/>
                <w:kern w:val="0"/>
                <w:szCs w:val="22"/>
                <w:vertAlign w:val="superscript"/>
                <w:lang w:val="en-US" w:eastAsia="en-US" w:bidi="ar-SA"/>
              </w:rPr>
              <w:t>a</w:t>
            </w:r>
          </w:p>
        </w:tc>
        <w:tc>
          <w:tcPr>
            <w:tcW w:w="83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0.007</w:t>
            </w:r>
          </w:p>
        </w:tc>
        <w:tc>
          <w:tcPr>
            <w:tcW w:w="85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0.003</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0.001</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0.004</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0.001</w:t>
            </w:r>
          </w:p>
        </w:tc>
        <w:tc>
          <w:tcPr>
            <w:tcW w:w="85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0.007</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0.001</w:t>
            </w:r>
          </w:p>
        </w:tc>
        <w:tc>
          <w:tcPr>
            <w:tcW w:w="83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0.005</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0.003</w:t>
            </w:r>
          </w:p>
        </w:tc>
      </w:tr>
      <w:tr>
        <w:trPr/>
        <w:tc>
          <w:tcPr>
            <w:tcW w:w="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DIPw</w:t>
            </w:r>
          </w:p>
        </w:tc>
        <w:tc>
          <w:tcPr>
            <w:tcW w:w="89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0.026</w:t>
            </w:r>
            <w:r>
              <w:rPr>
                <w:rFonts w:eastAsia="Times New Roman" w:cs="Calibri" w:ascii="Calibri" w:hAnsi="Calibri"/>
                <w:kern w:val="0"/>
                <w:szCs w:val="22"/>
                <w:vertAlign w:val="superscript"/>
                <w:lang w:val="en-US" w:eastAsia="en-US" w:bidi="ar-SA"/>
              </w:rPr>
              <w:t>b</w:t>
            </w:r>
          </w:p>
        </w:tc>
        <w:tc>
          <w:tcPr>
            <w:tcW w:w="83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0.028</w:t>
            </w:r>
          </w:p>
        </w:tc>
        <w:tc>
          <w:tcPr>
            <w:tcW w:w="85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0.011</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0.008</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0.027</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0.017</w:t>
            </w:r>
          </w:p>
        </w:tc>
        <w:tc>
          <w:tcPr>
            <w:tcW w:w="85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0.063</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0.057</w:t>
            </w:r>
          </w:p>
        </w:tc>
        <w:tc>
          <w:tcPr>
            <w:tcW w:w="83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0.034</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0.041</w:t>
            </w:r>
          </w:p>
        </w:tc>
      </w:tr>
      <w:tr>
        <w:trPr/>
        <w:tc>
          <w:tcPr>
            <w:tcW w:w="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PIPw</w:t>
            </w:r>
          </w:p>
        </w:tc>
        <w:tc>
          <w:tcPr>
            <w:tcW w:w="89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0.006</w:t>
            </w:r>
          </w:p>
        </w:tc>
        <w:tc>
          <w:tcPr>
            <w:tcW w:w="83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0.003</w:t>
            </w:r>
          </w:p>
        </w:tc>
        <w:tc>
          <w:tcPr>
            <w:tcW w:w="85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0.019</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0.014</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0.012</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0.005</w:t>
            </w:r>
          </w:p>
        </w:tc>
        <w:tc>
          <w:tcPr>
            <w:tcW w:w="85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0.015</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0.008</w:t>
            </w:r>
          </w:p>
        </w:tc>
        <w:tc>
          <w:tcPr>
            <w:tcW w:w="83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0.015</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0.010</w:t>
            </w:r>
          </w:p>
        </w:tc>
      </w:tr>
      <w:tr>
        <w:trPr/>
        <w:tc>
          <w:tcPr>
            <w:tcW w:w="869"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TP</w:t>
            </w:r>
          </w:p>
        </w:tc>
        <w:tc>
          <w:tcPr>
            <w:tcW w:w="89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0.056</w:t>
            </w:r>
          </w:p>
        </w:tc>
        <w:tc>
          <w:tcPr>
            <w:tcW w:w="83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0.012</w:t>
            </w:r>
          </w:p>
        </w:tc>
        <w:tc>
          <w:tcPr>
            <w:tcW w:w="85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0.041</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0.014</w:t>
            </w:r>
          </w:p>
        </w:tc>
        <w:tc>
          <w:tcPr>
            <w:tcW w:w="852"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0.053</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0.022</w:t>
            </w:r>
          </w:p>
        </w:tc>
        <w:tc>
          <w:tcPr>
            <w:tcW w:w="85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0.097</w:t>
            </w:r>
          </w:p>
        </w:tc>
        <w:tc>
          <w:tcPr>
            <w:tcW w:w="83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0.074</w:t>
            </w:r>
          </w:p>
        </w:tc>
        <w:tc>
          <w:tcPr>
            <w:tcW w:w="837"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0.064</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0.050</w:t>
            </w:r>
          </w:p>
        </w:tc>
      </w:tr>
    </w:tbl>
    <w:p>
      <w:pPr>
        <w:pStyle w:val="Normal"/>
        <w:spacing w:lineRule="auto" w:line="240" w:before="0" w:after="0"/>
        <w:rPr>
          <w:rFonts w:ascii="Calibri" w:hAnsi="Calibri" w:cs="Calibri"/>
          <w:szCs w:val="22"/>
        </w:rPr>
      </w:pPr>
      <w:r>
        <w:rPr>
          <w:rFonts w:cs="Calibri" w:ascii="Calibri" w:hAnsi="Calibri"/>
          <w:szCs w:val="22"/>
          <w:vertAlign w:val="superscript"/>
        </w:rPr>
        <w:t>a</w:t>
      </w:r>
      <w:r>
        <w:rPr>
          <w:rFonts w:cs="Calibri" w:ascii="Calibri" w:hAnsi="Calibri"/>
          <w:szCs w:val="22"/>
        </w:rPr>
        <w:t>Previous targets were 0.005 – 0.080 g P/m</w:t>
      </w:r>
      <w:r>
        <w:rPr>
          <w:rFonts w:cs="Calibri" w:ascii="Calibri" w:hAnsi="Calibri"/>
          <w:szCs w:val="22"/>
          <w:vertAlign w:val="superscript"/>
        </w:rPr>
        <w:t>3</w:t>
      </w:r>
    </w:p>
    <w:p>
      <w:pPr>
        <w:pStyle w:val="Normal"/>
        <w:spacing w:lineRule="auto" w:line="240" w:before="0" w:after="0"/>
        <w:rPr>
          <w:rFonts w:ascii="Calibri" w:hAnsi="Calibri" w:cs="Calibri"/>
          <w:szCs w:val="22"/>
        </w:rPr>
      </w:pPr>
      <w:r>
        <w:rPr>
          <w:rFonts w:cs="Calibri" w:ascii="Calibri" w:hAnsi="Calibri"/>
          <w:szCs w:val="22"/>
          <w:vertAlign w:val="superscript"/>
        </w:rPr>
        <w:t>b</w:t>
      </w:r>
      <w:r>
        <w:rPr>
          <w:rFonts w:cs="Calibri" w:ascii="Calibri" w:hAnsi="Calibri"/>
          <w:szCs w:val="22"/>
        </w:rPr>
        <w:t>Previous targets were 0.007 – 0.20 g P/m</w:t>
      </w:r>
      <w:r>
        <w:rPr>
          <w:rFonts w:cs="Calibri" w:ascii="Calibri" w:hAnsi="Calibri"/>
          <w:szCs w:val="22"/>
          <w:vertAlign w:val="superscript"/>
        </w:rPr>
        <w:t>3</w:t>
      </w:r>
    </w:p>
    <w:p>
      <w:pPr>
        <w:pStyle w:val="Normal"/>
        <w:rPr/>
      </w:pPr>
      <w:r>
        <w:rPr/>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Food web components</w:t>
      </w:r>
    </w:p>
    <w:p>
      <w:pPr>
        <w:pStyle w:val="Normal"/>
        <w:rPr/>
      </w:pPr>
      <w:r>
        <w:rPr/>
        <w:t>Values for the re-calibrated biological P pool are given in Table 3-20. The model underestimates phytoplankton production in FW1 by an order of magnitude with the added recognition that phytoplankton are not an important contribution to the overall aquatic primary productivity or internal P cycling in FW1. The model value for periphyton P of 0.100 (SD 0.081) g P/m</w:t>
      </w:r>
      <w:r>
        <w:rPr>
          <w:vertAlign w:val="superscript"/>
        </w:rPr>
        <w:t>2</w:t>
      </w:r>
      <w:r>
        <w:rPr/>
        <w:t xml:space="preserve"> is about double the target value of 0.050 (SD 0.030) (Table 3-20). The CASM-STA similarly produces greater SAV P than observed in FW1 with a mean model value of 0.693 (SD 0.809) g P/m</w:t>
      </w:r>
      <w:r>
        <w:rPr>
          <w:vertAlign w:val="superscript"/>
        </w:rPr>
        <w:t>2</w:t>
      </w:r>
      <w:r>
        <w:rPr/>
        <w:t xml:space="preserve"> compared to a measured value of 0.160 (SD 0.040). The re-calibrated values for EAV P are also greater than the observed values with a mean model FW1 value of 4.762 (SD 2.893) g P/m</w:t>
      </w:r>
      <w:r>
        <w:rPr>
          <w:vertAlign w:val="superscript"/>
        </w:rPr>
        <w:t>2</w:t>
      </w:r>
      <w:r>
        <w:rPr/>
        <w:t xml:space="preserve"> compared to 1.95 (SD 0.870). While the calibration appears to overstate the production of periphyton, SAV, and EAV, the variability implied in the target values largely overlap the modeled variability. The mean aggregate modeled consumer P for FW1 was 0.616 (SD 0.266) g P/m</w:t>
      </w:r>
      <w:r>
        <w:rPr>
          <w:vertAlign w:val="superscript"/>
        </w:rPr>
        <w:t>2</w:t>
      </w:r>
      <w:r>
        <w:rPr/>
        <w:t xml:space="preserve">. A target value was not developed for FW1.  </w:t>
      </w:r>
    </w:p>
    <w:p>
      <w:pPr>
        <w:pStyle w:val="Caption"/>
        <w:rPr/>
      </w:pPr>
      <w:bookmarkStart w:id="200" w:name="_Toc182250946"/>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37</w:t>
      </w:r>
      <w:r>
        <w:rPr/>
        <w:fldChar w:fldCharType="end"/>
      </w:r>
      <w:r>
        <w:rPr/>
        <w:t>. Comparison of FW1 biological P pool target values and results from the Phase III CASM-STA model calibration (g P/m</w:t>
      </w:r>
      <w:r>
        <w:rPr>
          <w:vertAlign w:val="superscript"/>
        </w:rPr>
        <w:t>2</w:t>
      </w:r>
      <w:r>
        <w:rPr/>
        <w:t>).</w:t>
      </w:r>
      <w:bookmarkEnd w:id="200"/>
    </w:p>
    <w:tbl>
      <w:tblPr>
        <w:tblStyle w:val="TableGrid"/>
        <w:tblW w:w="944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4"/>
        <w:gridCol w:w="746"/>
        <w:gridCol w:w="718"/>
        <w:gridCol w:w="829"/>
        <w:gridCol w:w="719"/>
        <w:gridCol w:w="829"/>
        <w:gridCol w:w="830"/>
        <w:gridCol w:w="943"/>
        <w:gridCol w:w="940"/>
        <w:gridCol w:w="830"/>
        <w:gridCol w:w="805"/>
      </w:tblGrid>
      <w:tr>
        <w:trPr/>
        <w:tc>
          <w:tcPr>
            <w:tcW w:w="125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1464"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FW1 Target values</w:t>
            </w:r>
          </w:p>
        </w:tc>
        <w:tc>
          <w:tcPr>
            <w:tcW w:w="1548"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Segment A</w:t>
            </w:r>
          </w:p>
        </w:tc>
        <w:tc>
          <w:tcPr>
            <w:tcW w:w="1659"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Segment B</w:t>
            </w:r>
          </w:p>
        </w:tc>
        <w:tc>
          <w:tcPr>
            <w:tcW w:w="1883"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Segment C</w:t>
            </w:r>
          </w:p>
        </w:tc>
        <w:tc>
          <w:tcPr>
            <w:tcW w:w="1635" w:type="dxa"/>
            <w:gridSpan w:val="2"/>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FW1</w:t>
            </w:r>
          </w:p>
        </w:tc>
      </w:tr>
      <w:tr>
        <w:trPr/>
        <w:tc>
          <w:tcPr>
            <w:tcW w:w="125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r>
          </w:p>
        </w:tc>
        <w:tc>
          <w:tcPr>
            <w:tcW w:w="746"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718"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2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71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29"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30"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943"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940"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c>
          <w:tcPr>
            <w:tcW w:w="830"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mean</w:t>
            </w:r>
          </w:p>
        </w:tc>
        <w:tc>
          <w:tcPr>
            <w:tcW w:w="805" w:type="dxa"/>
            <w:tcBorders/>
          </w:tcPr>
          <w:p>
            <w:pPr>
              <w:pStyle w:val="Normal"/>
              <w:widowControl w:val="false"/>
              <w:spacing w:lineRule="auto" w:line="240" w:before="0" w:after="0"/>
              <w:jc w:val="center"/>
              <w:rPr>
                <w:rFonts w:ascii="Calibri" w:hAnsi="Calibri" w:cs="Calibri"/>
                <w:b/>
                <w:bCs/>
                <w:szCs w:val="22"/>
              </w:rPr>
            </w:pPr>
            <w:r>
              <w:rPr>
                <w:rFonts w:eastAsia="Times New Roman" w:cs="Calibri" w:ascii="Calibri" w:hAnsi="Calibri"/>
                <w:b/>
                <w:bCs/>
                <w:kern w:val="0"/>
                <w:szCs w:val="22"/>
                <w:lang w:val="en-US" w:eastAsia="en-US" w:bidi="ar-SA"/>
              </w:rPr>
              <w:t>SD</w:t>
            </w:r>
          </w:p>
        </w:tc>
      </w:tr>
      <w:tr>
        <w:trPr/>
        <w:tc>
          <w:tcPr>
            <w:tcW w:w="125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Phyto P</w:t>
            </w:r>
          </w:p>
        </w:tc>
        <w:tc>
          <w:tcPr>
            <w:tcW w:w="74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0.002</w:t>
            </w:r>
          </w:p>
        </w:tc>
        <w:tc>
          <w:tcPr>
            <w:tcW w:w="71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0.001</w:t>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0.0001</w:t>
            </w:r>
          </w:p>
        </w:tc>
        <w:tc>
          <w:tcPr>
            <w:tcW w:w="71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0.003</w:t>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0.0001</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0.0002</w:t>
            </w:r>
          </w:p>
        </w:tc>
        <w:tc>
          <w:tcPr>
            <w:tcW w:w="9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0.00006</w:t>
            </w:r>
          </w:p>
        </w:tc>
        <w:tc>
          <w:tcPr>
            <w:tcW w:w="94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0.00002</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0.0001</w:t>
            </w:r>
          </w:p>
        </w:tc>
        <w:tc>
          <w:tcPr>
            <w:tcW w:w="80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0.002</w:t>
            </w:r>
          </w:p>
        </w:tc>
      </w:tr>
      <w:tr>
        <w:trPr/>
        <w:tc>
          <w:tcPr>
            <w:tcW w:w="125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Peri P</w:t>
            </w:r>
          </w:p>
        </w:tc>
        <w:tc>
          <w:tcPr>
            <w:tcW w:w="74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0.050</w:t>
            </w:r>
          </w:p>
        </w:tc>
        <w:tc>
          <w:tcPr>
            <w:tcW w:w="71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0.030</w:t>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0.065</w:t>
            </w:r>
          </w:p>
        </w:tc>
        <w:tc>
          <w:tcPr>
            <w:tcW w:w="71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0.022</w:t>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0.080</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0.039</w:t>
            </w:r>
          </w:p>
        </w:tc>
        <w:tc>
          <w:tcPr>
            <w:tcW w:w="9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0.153</w:t>
            </w:r>
          </w:p>
        </w:tc>
        <w:tc>
          <w:tcPr>
            <w:tcW w:w="94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0.117</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0.100</w:t>
            </w:r>
          </w:p>
        </w:tc>
        <w:tc>
          <w:tcPr>
            <w:tcW w:w="80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0.081</w:t>
            </w:r>
          </w:p>
        </w:tc>
      </w:tr>
      <w:tr>
        <w:trPr/>
        <w:tc>
          <w:tcPr>
            <w:tcW w:w="125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SAV P</w:t>
            </w:r>
          </w:p>
        </w:tc>
        <w:tc>
          <w:tcPr>
            <w:tcW w:w="74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0.160</w:t>
            </w:r>
          </w:p>
        </w:tc>
        <w:tc>
          <w:tcPr>
            <w:tcW w:w="71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0.040</w:t>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1.299</w:t>
            </w:r>
          </w:p>
        </w:tc>
        <w:tc>
          <w:tcPr>
            <w:tcW w:w="71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1.175</w:t>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0.505</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0.216</w:t>
            </w:r>
          </w:p>
        </w:tc>
        <w:tc>
          <w:tcPr>
            <w:tcW w:w="9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0.275</w:t>
            </w:r>
          </w:p>
        </w:tc>
        <w:tc>
          <w:tcPr>
            <w:tcW w:w="94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0.073</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0.693</w:t>
            </w:r>
          </w:p>
        </w:tc>
        <w:tc>
          <w:tcPr>
            <w:tcW w:w="80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0.809</w:t>
            </w:r>
          </w:p>
        </w:tc>
      </w:tr>
      <w:tr>
        <w:trPr/>
        <w:tc>
          <w:tcPr>
            <w:tcW w:w="125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EAV P</w:t>
            </w:r>
          </w:p>
        </w:tc>
        <w:tc>
          <w:tcPr>
            <w:tcW w:w="74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1.950</w:t>
            </w:r>
          </w:p>
        </w:tc>
        <w:tc>
          <w:tcPr>
            <w:tcW w:w="71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0.870</w:t>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3.521</w:t>
            </w:r>
          </w:p>
        </w:tc>
        <w:tc>
          <w:tcPr>
            <w:tcW w:w="71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0.767</w:t>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4.393</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1.872</w:t>
            </w:r>
          </w:p>
        </w:tc>
        <w:tc>
          <w:tcPr>
            <w:tcW w:w="9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6.371</w:t>
            </w:r>
          </w:p>
        </w:tc>
        <w:tc>
          <w:tcPr>
            <w:tcW w:w="94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4.192</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4.762</w:t>
            </w:r>
          </w:p>
        </w:tc>
        <w:tc>
          <w:tcPr>
            <w:tcW w:w="80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2.893</w:t>
            </w:r>
          </w:p>
        </w:tc>
      </w:tr>
      <w:tr>
        <w:trPr/>
        <w:tc>
          <w:tcPr>
            <w:tcW w:w="1254" w:type="dxa"/>
            <w:tcBorders/>
          </w:tcPr>
          <w:p>
            <w:pPr>
              <w:pStyle w:val="Normal"/>
              <w:widowControl w:val="false"/>
              <w:spacing w:lineRule="auto" w:line="240" w:before="0" w:after="0"/>
              <w:rPr>
                <w:rFonts w:ascii="Calibri" w:hAnsi="Calibri" w:cs="Calibri"/>
                <w:szCs w:val="22"/>
              </w:rPr>
            </w:pPr>
            <w:r>
              <w:rPr>
                <w:rFonts w:eastAsia="Times New Roman" w:cs="Calibri" w:ascii="Calibri" w:hAnsi="Calibri"/>
                <w:kern w:val="0"/>
                <w:szCs w:val="22"/>
                <w:lang w:val="en-US" w:eastAsia="en-US" w:bidi="ar-SA"/>
              </w:rPr>
              <w:t>Consumer P</w:t>
            </w:r>
            <w:r>
              <w:rPr>
                <w:rFonts w:eastAsia="Times New Roman" w:cs="Calibri" w:ascii="Calibri" w:hAnsi="Calibri"/>
                <w:kern w:val="0"/>
                <w:szCs w:val="22"/>
                <w:vertAlign w:val="superscript"/>
                <w:lang w:val="en-US" w:eastAsia="en-US" w:bidi="ar-SA"/>
              </w:rPr>
              <w:t>a</w:t>
            </w:r>
          </w:p>
        </w:tc>
        <w:tc>
          <w:tcPr>
            <w:tcW w:w="746"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r>
          </w:p>
        </w:tc>
        <w:tc>
          <w:tcPr>
            <w:tcW w:w="718"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0.544</w:t>
            </w:r>
          </w:p>
        </w:tc>
        <w:tc>
          <w:tcPr>
            <w:tcW w:w="71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0.179</w:t>
            </w:r>
          </w:p>
        </w:tc>
        <w:tc>
          <w:tcPr>
            <w:tcW w:w="829"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0.600</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0.243</w:t>
            </w:r>
          </w:p>
        </w:tc>
        <w:tc>
          <w:tcPr>
            <w:tcW w:w="943"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0.703</w:t>
            </w:r>
          </w:p>
        </w:tc>
        <w:tc>
          <w:tcPr>
            <w:tcW w:w="94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0.341</w:t>
            </w:r>
          </w:p>
        </w:tc>
        <w:tc>
          <w:tcPr>
            <w:tcW w:w="830"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0.616</w:t>
            </w:r>
          </w:p>
        </w:tc>
        <w:tc>
          <w:tcPr>
            <w:tcW w:w="805" w:type="dxa"/>
            <w:tcBorders/>
          </w:tcPr>
          <w:p>
            <w:pPr>
              <w:pStyle w:val="Normal"/>
              <w:widowControl w:val="false"/>
              <w:spacing w:lineRule="auto" w:line="240" w:before="0" w:after="0"/>
              <w:jc w:val="center"/>
              <w:rPr>
                <w:rFonts w:ascii="Calibri" w:hAnsi="Calibri" w:cs="Calibri"/>
                <w:szCs w:val="22"/>
              </w:rPr>
            </w:pPr>
            <w:r>
              <w:rPr>
                <w:rFonts w:eastAsia="Times New Roman" w:cs="Calibri" w:ascii="Calibri" w:hAnsi="Calibri"/>
                <w:kern w:val="0"/>
                <w:szCs w:val="22"/>
                <w:lang w:val="en-US" w:eastAsia="en-US" w:bidi="ar-SA"/>
              </w:rPr>
              <w:t>0.266</w:t>
            </w:r>
          </w:p>
        </w:tc>
      </w:tr>
    </w:tbl>
    <w:p>
      <w:pPr>
        <w:pStyle w:val="Normal"/>
        <w:spacing w:lineRule="auto" w:line="240" w:before="0" w:after="0"/>
        <w:rPr>
          <w:rFonts w:ascii="Calibri" w:hAnsi="Calibri" w:cs="Calibri" w:asciiTheme="minorHAnsi" w:cstheme="minorHAnsi" w:hAnsiTheme="minorHAnsi"/>
        </w:rPr>
      </w:pPr>
      <w:r>
        <w:rPr>
          <w:rFonts w:cs="Calibri" w:ascii="Calibri" w:hAnsi="Calibri"/>
          <w:szCs w:val="22"/>
          <w:vertAlign w:val="superscript"/>
        </w:rPr>
        <w:t>a</w:t>
      </w:r>
      <w:r>
        <w:rPr>
          <w:rFonts w:cs="Calibri" w:ascii="Calibri" w:hAnsi="Calibri" w:asciiTheme="minorHAnsi" w:cstheme="minorHAnsi" w:hAnsiTheme="minorHAnsi"/>
        </w:rPr>
        <w:t>Total consumer biomass (aggregate zooplankton, benthic invertebrates, and fish biomass as P)</w:t>
      </w:r>
    </w:p>
    <w:p>
      <w:pPr>
        <w:pStyle w:val="Normal"/>
        <w:spacing w:lineRule="auto" w:line="240" w:before="0" w:after="0"/>
        <w:rPr>
          <w:rFonts w:ascii="Calibri" w:hAnsi="Calibri" w:cs="Calibri" w:asciiTheme="minorHAnsi" w:cstheme="minorHAnsi" w:hAnsiTheme="minorHAnsi"/>
        </w:rPr>
      </w:pPr>
      <w:r>
        <w:rPr>
          <w:rFonts w:cs="Calibri" w:cstheme="minorHAnsi" w:ascii="Calibri" w:hAnsi="Calibri"/>
        </w:rPr>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Modeled FW1 gradients</w:t>
      </w:r>
    </w:p>
    <w:p>
      <w:pPr>
        <w:pStyle w:val="Normal"/>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re-calibration produced different results for each of the modeled segments which imply spatial gradients in P pool values across FW1 (Tables 3-18 – 3-20). Depending on the selected P state variable, the modeled gradients go in both directions, increasing or decreasing in mean value from segment A to C. The modeled gradients might simply be an artifact of similar internal P cycling within segments that differ in mean depth. It was assumed that the same BGC process-level cycling parameters applied equally across the segments. Initial P values and food web component biomass were also identical for each segment. Transport factors differed daily and for each segment but produced similar values of flow when adjusted for decreasing water depths in flow calculations across the segments for each modeled day. </w:t>
      </w:r>
    </w:p>
    <w:p>
      <w:pPr>
        <w:pStyle w:val="Normal"/>
        <w:spacing w:before="0" w:after="0"/>
        <w:rPr>
          <w:rFonts w:ascii="Calibri" w:hAnsi="Calibri" w:cs="Calibri" w:asciiTheme="minorHAnsi" w:cstheme="minorHAnsi" w:hAnsiTheme="minorHAnsi"/>
        </w:rPr>
      </w:pPr>
      <w:r>
        <w:rPr>
          <w:rFonts w:cs="Calibri" w:cstheme="minorHAnsi" w:ascii="Calibri" w:hAnsi="Calibri"/>
        </w:rPr>
      </w:r>
    </w:p>
    <w:p>
      <w:pPr>
        <w:pStyle w:val="Normal"/>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boundary condition that was originally specified for inputs to segment A was set to zero in the most recent versions of the CASM-STA. This assumption avoided the creation of “phantom P” associated with previously modeled boundary inputs of phytoplankton, zooplankton, and POC. However, a by-product of relaxing the boundary condition was to deplete these state variables simply due to advection from segment A. This contributes as well to setting up a gradient of decreasing values from segments A to C. </w:t>
      </w:r>
    </w:p>
    <w:p>
      <w:pPr>
        <w:pStyle w:val="Normal"/>
        <w:spacing w:before="0" w:after="0"/>
        <w:rPr>
          <w:rFonts w:ascii="Calibri" w:hAnsi="Calibri" w:cs="Calibri" w:asciiTheme="minorHAnsi" w:cstheme="minorHAnsi" w:hAnsiTheme="minorHAnsi"/>
        </w:rPr>
      </w:pPr>
      <w:r>
        <w:rPr>
          <w:rFonts w:cs="Calibri" w:cstheme="minorHAnsi" w:ascii="Calibri" w:hAnsi="Calibri"/>
        </w:rPr>
      </w:r>
    </w:p>
    <w:p>
      <w:pPr>
        <w:pStyle w:val="Normal"/>
        <w:spacing w:before="0" w:after="0"/>
        <w:rPr>
          <w:rFonts w:ascii="Calibri" w:hAnsi="Calibri" w:cs="Calibri" w:asciiTheme="minorHAnsi" w:cstheme="minorHAnsi" w:hAnsiTheme="minorHAnsi"/>
        </w:rPr>
      </w:pPr>
      <w:r>
        <w:rPr>
          <w:rFonts w:cs="Calibri" w:ascii="Calibri" w:hAnsi="Calibri" w:asciiTheme="minorHAnsi" w:cstheme="minorHAnsi" w:hAnsiTheme="minorHAnsi"/>
        </w:rPr>
        <w:t xml:space="preserve">The combination of these limitations and assumptions may have produced spatial differences in model results that bear little resemblance to any demonstrated gradients for STA-2 in FW1.    </w:t>
      </w:r>
    </w:p>
    <w:p>
      <w:pPr>
        <w:pStyle w:val="Normal"/>
        <w:spacing w:before="0" w:after="0"/>
        <w:rPr>
          <w:rFonts w:ascii="Calibri" w:hAnsi="Calibri" w:cs="Calibri" w:asciiTheme="minorHAnsi" w:cstheme="minorHAnsi" w:hAnsiTheme="minorHAnsi"/>
        </w:rPr>
      </w:pPr>
      <w:r>
        <w:rPr>
          <w:rFonts w:cs="Calibri" w:cstheme="minorHAnsi" w:ascii="Calibri" w:hAnsi="Calibri"/>
        </w:rPr>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Mass-balance</w:t>
      </w:r>
    </w:p>
    <w:p>
      <w:pPr>
        <w:pStyle w:val="Normal"/>
        <w:rPr/>
      </w:pPr>
      <w:r>
        <w:rPr/>
        <w:t>Multiple lines of evidence were developed to assess the overall mass-balance of the CASM-STA. The model is not programmed to track and report P flux along all individual pathways of biomass (carbon) and P transport and transformation calculated in the model. Nevertheless, some inferences may be drawn concerning mass-balance from the following analyses:</w:t>
      </w:r>
    </w:p>
    <w:p>
      <w:pPr>
        <w:pStyle w:val="Normal"/>
        <w:rPr/>
      </w:pPr>
      <w:r>
        <w:rPr/>
        <w:t xml:space="preserve">The CASM-STA equations were inspected to ensure that process-based biomass or P losses from one state variable were defined as corresponding inputs to receiving state variables (e.g., Tables 3-10 and 3-11). </w:t>
      </w:r>
    </w:p>
    <w:p>
      <w:pPr>
        <w:pStyle w:val="Normal"/>
        <w:rPr/>
      </w:pPr>
      <w:r>
        <w:rPr/>
        <w:t>The CASM-STA was simulated using initial conditions set to zero for all the model state variables. The simulation results demonstrated that the model-maintained values of zero. The model does not create biomass (carbon) or P during the course of the 16-y simulation period (Stantec 2024c).</w:t>
      </w:r>
    </w:p>
    <w:p>
      <w:pPr>
        <w:pStyle w:val="Normal"/>
        <w:rPr/>
      </w:pPr>
      <w:r>
        <w:rPr/>
        <w:t>Simulations of 20 years were performed using constant inputs of P and constant values for light, temperature, and other model inputs. The results showed that modeled population biomass and P pool concentrations initially oscillated and then tended toward a dynamic steady-state, although all state variables had not achieved steady-state after the 20-year model period. Demonstration of steady-state behavior under conditions of constant inputs additionally suggest overall mass-balance (Stantec 2024c).</w:t>
      </w:r>
    </w:p>
    <w:p>
      <w:pPr>
        <w:pStyle w:val="Normal"/>
        <w:rPr/>
      </w:pPr>
      <w:r>
        <w:rPr/>
        <w:t xml:space="preserve">Analysis of changes in the annual average P pool concentrations for the 16-year simulation period provides additional insights concerning mass-balance (Table 3-21). For each year, the annual changes of all the sediment P state variables were computed across the 2006-2020 period using 2005 values as a reference point. Corresponding annual P inputs were tabulated for reference. Calculations were performed for all three spatial segments in the CASM-STA, but the corresponding average values (i.e., modeled FW1) are presented. Similar calculations were performed for the water column P pools and the biological P pools (Table 3-22). The TPw is the sum of all the water column P pools and the other pools that contribute to TPw were therefore not tabulated. The magnitudes of annual changes (increases or decreases) can be interpreted as a measure of the importance of the state variable and its associated input-output processes in determining the internal cycling of P within the modeled FW1.  The results indicate that the overall dynamics were driven by deposition to deep sediments (i.e., burial) (Table 3-21) and the growth of EAV (Table 3-22). Importantly, the model results demonstrate both increases and decreases from year-to-year for the state variables. That is, the CASM-STA internal P dynamics are being influenced by the modeled environmental conditions (e.g., flows, depths, temperatures, trophic interactions) specific to each year as well as yearly P inputs. There are no consistent patterns of increase or decrease for individual state variables that would suggest significant mass-balance issues with the CASM-STA. The summation of annual changes across the state variables averaged across the modeled FW1 are on the order of the modeled inputs, generally less than and certainly on the same order of magnitude as the corresponding annual P input – also suggesting minimal mass-balance issues if any.   </w:t>
      </w:r>
    </w:p>
    <w:p>
      <w:pPr>
        <w:pStyle w:val="Normal"/>
        <w:keepNext w:val="true"/>
        <w:numPr>
          <w:ilvl w:val="2"/>
          <w:numId w:val="1"/>
        </w:numPr>
        <w:spacing w:before="120" w:after="120"/>
        <w:jc w:val="left"/>
        <w:outlineLvl w:val="2"/>
        <w:rPr>
          <w:bCs/>
          <w:i/>
          <w:i/>
          <w:color w:themeColor="accent1" w:themeShade="bf" w:val="2E74B5"/>
          <w:szCs w:val="22"/>
        </w:rPr>
      </w:pPr>
      <w:bookmarkStart w:id="201" w:name="_Toc182252528"/>
      <w:r>
        <w:rPr>
          <w:bCs/>
          <w:i/>
          <w:color w:themeColor="accent1" w:themeShade="bf" w:val="2E74B5"/>
          <w:szCs w:val="22"/>
        </w:rPr>
        <w:t>Sensitivity analysis</w:t>
      </w:r>
      <w:bookmarkEnd w:id="201"/>
    </w:p>
    <w:p>
      <w:pPr>
        <w:pStyle w:val="Normal"/>
        <w:rPr/>
      </w:pPr>
      <w:r>
        <w:rPr/>
        <w:t xml:space="preserve">The overall approach in performing the sensitivity analysis of the Phase III CASM-STA model paralleled the approach used by CELLC (2024). The analysis focused on model response to systematic alterations of FW1 flows, input P loading values, and selected GBC internal cycling parameters, as well as impacts on EAV initial biomass on overall EAV production. In addition, the analysis of the CASM-STA included the effects of alterations in the maximum photosynthetic rate of modeled periphyton growth (Pmax) and the impacts of systematic alterations of the initial (day 1) values of the soils/sediments and water column P pools (Stantec 2024x). </w:t>
      </w:r>
    </w:p>
    <w:p>
      <w:pPr>
        <w:pStyle w:val="Normal"/>
        <w:rPr/>
      </w:pPr>
      <w:r>
        <w:rPr/>
        <w:t>The sensitivity analysis of the CASM-STA was performed using the input values for the 2005-2102 calibration period. The Task 9.2 calibration (2005 – 2012) simulation is used as the baseline in evaluating model sensitivity (Stantec 2024x). The following summarizes the Task 9.3 sensitivity analysis report, where detailed comprehensive tables of model results are tabulated (Stantec 2024f).</w:t>
      </w:r>
    </w:p>
    <w:p>
      <w:pPr>
        <w:pStyle w:val="Normal"/>
        <w:rPr/>
      </w:pPr>
      <w:r>
        <w:rPr/>
      </w:r>
    </w:p>
    <w:p>
      <w:pPr>
        <w:pStyle w:val="Normal"/>
        <w:rPr/>
      </w:pPr>
      <w:r>
        <w:rPr/>
        <w:t xml:space="preserve"> </w:t>
      </w:r>
    </w:p>
    <w:p>
      <w:pPr>
        <w:pStyle w:val="Caption"/>
        <w:rPr/>
      </w:pPr>
      <w:bookmarkStart w:id="202" w:name="_Toc182250947"/>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38</w:t>
      </w:r>
      <w:r>
        <w:rPr/>
        <w:fldChar w:fldCharType="end"/>
      </w:r>
      <w:r>
        <w:rPr/>
        <w:t>. Mass-balance evaluation for Phase III CASM-STA sediment pools.</w:t>
      </w:r>
      <w:bookmarkEnd w:id="202"/>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8"/>
        <w:gridCol w:w="1039"/>
        <w:gridCol w:w="1039"/>
        <w:gridCol w:w="1039"/>
        <w:gridCol w:w="1038"/>
        <w:gridCol w:w="1039"/>
        <w:gridCol w:w="1040"/>
        <w:gridCol w:w="1039"/>
        <w:gridCol w:w="1038"/>
      </w:tblGrid>
      <w:tr>
        <w:trPr/>
        <w:tc>
          <w:tcPr>
            <w:tcW w:w="103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r>
          </w:p>
        </w:tc>
        <w:tc>
          <w:tcPr>
            <w:tcW w:w="8311" w:type="dxa"/>
            <w:gridSpan w:val="8"/>
            <w:tcBorders/>
          </w:tcPr>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0"/>
                <w:lang w:val="en-US" w:eastAsia="en-US" w:bidi="ar-SA"/>
              </w:rPr>
              <w:t xml:space="preserve">Δ </w:t>
            </w:r>
            <w:r>
              <w:rPr>
                <w:rFonts w:eastAsia="Times New Roman" w:cs="Calibri" w:ascii="Calibri" w:hAnsi="Calibri"/>
                <w:b/>
                <w:bCs/>
                <w:kern w:val="0"/>
                <w:szCs w:val="22"/>
                <w:lang w:val="en-US" w:eastAsia="en-US" w:bidi="ar-SA"/>
              </w:rPr>
              <w:t>g P/m2/y</w:t>
            </w:r>
          </w:p>
        </w:tc>
      </w:tr>
      <w:tr>
        <w:trPr/>
        <w:tc>
          <w:tcPr>
            <w:tcW w:w="1038" w:type="dxa"/>
            <w:tcBorders/>
            <w:vAlign w:val="bottom"/>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Year</w:t>
            </w:r>
          </w:p>
        </w:tc>
        <w:tc>
          <w:tcPr>
            <w:tcW w:w="1039"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TP in</w:t>
            </w:r>
          </w:p>
        </w:tc>
        <w:tc>
          <w:tcPr>
            <w:tcW w:w="1039"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Burial</w:t>
            </w:r>
          </w:p>
        </w:tc>
        <w:tc>
          <w:tcPr>
            <w:tcW w:w="1039"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Floc</w:t>
            </w:r>
          </w:p>
        </w:tc>
        <w:tc>
          <w:tcPr>
            <w:tcW w:w="103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Litter</w:t>
            </w:r>
          </w:p>
        </w:tc>
        <w:tc>
          <w:tcPr>
            <w:tcW w:w="1039"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POPs</w:t>
            </w:r>
          </w:p>
        </w:tc>
        <w:tc>
          <w:tcPr>
            <w:tcW w:w="1040"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DOPs</w:t>
            </w:r>
          </w:p>
        </w:tc>
        <w:tc>
          <w:tcPr>
            <w:tcW w:w="1039"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DIPs</w:t>
            </w:r>
          </w:p>
        </w:tc>
        <w:tc>
          <w:tcPr>
            <w:tcW w:w="1038"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PIPs</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2006</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4.44</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0.87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0.072</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0.043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0.090</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-0.0001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0.009</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1.32</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2007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2.02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1.11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0.118</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0.170</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0.162</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0.0032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0.000</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0.47</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2008</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2.87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1.12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0.160</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0.124</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0.076</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0.0014</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-0.010</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-0.25</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2009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2.15</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1.05</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0.175</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0.072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0.024</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0.0004</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-0.006</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-0.35</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2010</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1.06</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1.03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0.172</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0.036</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0.323</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0.0063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0.012</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0.34</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1.54</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1.07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0.170</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0.070</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-0.149</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-0.0029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-0.009</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-0.19</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2.98</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1.03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0.075</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0.226</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0.0043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0.009</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0.15</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1.60</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1.09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0.056</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0.024</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0.046</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0.0008</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-0.012</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-0.07</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2014</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4.31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1.23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0.061</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0.948</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0.0183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0.063</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1.81</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2015</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2.08</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1.81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0.069</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0.092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-0.147</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-0.0029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0.026</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2.01</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2016</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2.47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2.09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0.133</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0.279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0.469</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0.0090</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-0.022</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0.23</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4.37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2.05</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0.261</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0.271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0.432</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0.0081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0.024</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-0.03</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2018</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3.35</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2.38</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0.242</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0.673</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0.0130</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0.010</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1.82</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3.01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2.57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0.291</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0.571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1.237</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0.0237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0.012</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0.14</w:t>
            </w:r>
          </w:p>
        </w:tc>
      </w:tr>
      <w:tr>
        <w:trPr/>
        <w:tc>
          <w:tcPr>
            <w:tcW w:w="1038"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2020</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2.79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3.02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0.477</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0.468</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1.846</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0.0353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0.058</w:t>
            </w:r>
          </w:p>
        </w:tc>
        <w:tc>
          <w:tcPr>
            <w:tcW w:w="103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3.33</w:t>
            </w:r>
          </w:p>
        </w:tc>
      </w:tr>
    </w:tbl>
    <w:p>
      <w:pPr>
        <w:pStyle w:val="Normal"/>
        <w:rPr/>
      </w:pPr>
      <w:r>
        <w:rPr/>
      </w:r>
    </w:p>
    <w:p>
      <w:pPr>
        <w:pStyle w:val="Caption"/>
        <w:rPr/>
      </w:pPr>
      <w:bookmarkStart w:id="203" w:name="_Toc182250948"/>
      <w:r>
        <w:rPr/>
        <w:t xml:space="preserve">Table </w:t>
      </w:r>
      <w:r>
        <w:rPr/>
        <w:fldChar w:fldCharType="begin"/>
      </w:r>
      <w:r>
        <w:rPr/>
        <w:instrText xml:space="preserve"> STYLEREF "1" </w:instrText>
      </w:r>
      <w:r>
        <w:rPr/>
        <w:fldChar w:fldCharType="separate"/>
      </w:r>
      <w:r>
        <w:rPr/>
        <w:t>CASM-STA MODEL Development</w:t>
      </w:r>
      <w:r>
        <w:rPr/>
        <w:fldChar w:fldCharType="end"/>
      </w:r>
      <w:r>
        <w:rPr/>
        <w:noBreakHyphen/>
      </w:r>
      <w:r>
        <w:rPr/>
        <w:fldChar w:fldCharType="begin"/>
      </w:r>
      <w:r>
        <w:rPr/>
        <w:instrText xml:space="preserve"> SEQ Table \* ARABIC </w:instrText>
      </w:r>
      <w:r>
        <w:rPr/>
        <w:fldChar w:fldCharType="separate"/>
      </w:r>
      <w:r>
        <w:rPr/>
        <w:t>39</w:t>
      </w:r>
      <w:r>
        <w:rPr/>
        <w:fldChar w:fldCharType="end"/>
      </w:r>
      <w:r>
        <w:rPr/>
        <w:t>. Mass-balance evaluation for Phase III CASM-STA biota and TPw pools.</w:t>
      </w:r>
      <w:bookmarkEnd w:id="203"/>
    </w:p>
    <w:tbl>
      <w:tblPr>
        <w:tblStyle w:val="TableGrid"/>
        <w:tblW w:w="82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01"/>
        <w:gridCol w:w="1039"/>
        <w:gridCol w:w="1518"/>
        <w:gridCol w:w="807"/>
        <w:gridCol w:w="1040"/>
        <w:gridCol w:w="1618"/>
        <w:gridCol w:w="1003"/>
      </w:tblGrid>
      <w:tr>
        <w:trPr/>
        <w:tc>
          <w:tcPr>
            <w:tcW w:w="1201" w:type="dxa"/>
            <w:tcBorders/>
            <w:vAlign w:val="bottom"/>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r>
          </w:p>
        </w:tc>
        <w:tc>
          <w:tcPr>
            <w:tcW w:w="7025" w:type="dxa"/>
            <w:gridSpan w:val="6"/>
            <w:tcBorders/>
          </w:tcPr>
          <w:p>
            <w:pPr>
              <w:pStyle w:val="Normal"/>
              <w:widowControl w:val="false"/>
              <w:spacing w:before="0" w:after="120"/>
              <w:jc w:val="center"/>
              <w:rPr>
                <w:rFonts w:ascii="Calibri" w:hAnsi="Calibri" w:cs="Calibri"/>
                <w:color w:val="000000"/>
              </w:rPr>
            </w:pPr>
            <w:r>
              <w:rPr>
                <w:rFonts w:eastAsia="Times New Roman" w:cs="Calibri" w:ascii="Calibri" w:hAnsi="Calibri"/>
                <w:b/>
                <w:bCs/>
                <w:kern w:val="0"/>
                <w:szCs w:val="20"/>
                <w:lang w:val="en-US" w:eastAsia="en-US" w:bidi="ar-SA"/>
              </w:rPr>
              <w:t xml:space="preserve">Δ </w:t>
            </w:r>
            <w:r>
              <w:rPr>
                <w:rFonts w:eastAsia="Times New Roman" w:cs="Calibri" w:ascii="Calibri" w:hAnsi="Calibri"/>
                <w:b/>
                <w:bCs/>
                <w:kern w:val="0"/>
                <w:szCs w:val="22"/>
                <w:lang w:val="en-US" w:eastAsia="en-US" w:bidi="ar-SA"/>
              </w:rPr>
              <w:t>g P/m2/y</w:t>
            </w:r>
          </w:p>
        </w:tc>
      </w:tr>
      <w:tr>
        <w:trPr/>
        <w:tc>
          <w:tcPr>
            <w:tcW w:w="1201" w:type="dxa"/>
            <w:tcBorders/>
            <w:vAlign w:val="bottom"/>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Year</w:t>
            </w:r>
          </w:p>
        </w:tc>
        <w:tc>
          <w:tcPr>
            <w:tcW w:w="1039" w:type="dxa"/>
            <w:tcBorders/>
          </w:tcPr>
          <w:p>
            <w:pPr>
              <w:pStyle w:val="Normal"/>
              <w:widowControl w:val="false"/>
              <w:spacing w:before="0" w:after="120"/>
              <w:rPr>
                <w:rFonts w:ascii="Calibri" w:hAnsi="Calibri" w:cs="Calibri"/>
                <w:b/>
                <w:bCs/>
                <w:szCs w:val="22"/>
              </w:rPr>
            </w:pPr>
            <w:r>
              <w:rPr>
                <w:rFonts w:eastAsia="Times New Roman" w:cs="Calibri" w:ascii="Calibri" w:hAnsi="Calibri"/>
                <w:b/>
                <w:bCs/>
                <w:kern w:val="0"/>
                <w:szCs w:val="22"/>
                <w:lang w:val="en-US" w:eastAsia="en-US" w:bidi="ar-SA"/>
              </w:rPr>
              <w:t>TP in</w:t>
            </w:r>
          </w:p>
        </w:tc>
        <w:tc>
          <w:tcPr>
            <w:tcW w:w="1518" w:type="dxa"/>
            <w:tcBorders/>
            <w:vAlign w:val="bottom"/>
          </w:tcPr>
          <w:p>
            <w:pPr>
              <w:pStyle w:val="Normal"/>
              <w:widowControl w:val="false"/>
              <w:spacing w:before="0" w:after="120"/>
              <w:rPr>
                <w:rFonts w:ascii="Calibri" w:hAnsi="Calibri" w:cs="Calibri"/>
                <w:b/>
                <w:bCs/>
                <w:szCs w:val="22"/>
              </w:rPr>
            </w:pPr>
            <w:r>
              <w:rPr>
                <w:rFonts w:eastAsia="Times New Roman" w:cs="Calibri" w:ascii="Calibri" w:hAnsi="Calibri"/>
                <w:b/>
                <w:bCs/>
                <w:color w:val="000000"/>
                <w:kern w:val="0"/>
                <w:szCs w:val="22"/>
                <w:lang w:val="en-US" w:eastAsia="en-US" w:bidi="ar-SA"/>
              </w:rPr>
              <w:t>Periphyton P</w:t>
            </w:r>
          </w:p>
        </w:tc>
        <w:tc>
          <w:tcPr>
            <w:tcW w:w="807" w:type="dxa"/>
            <w:tcBorders/>
            <w:vAlign w:val="bottom"/>
          </w:tcPr>
          <w:p>
            <w:pPr>
              <w:pStyle w:val="Normal"/>
              <w:widowControl w:val="false"/>
              <w:spacing w:before="0" w:after="120"/>
              <w:rPr>
                <w:rFonts w:ascii="Calibri" w:hAnsi="Calibri" w:cs="Calibri"/>
                <w:b/>
                <w:bCs/>
                <w:szCs w:val="22"/>
              </w:rPr>
            </w:pPr>
            <w:r>
              <w:rPr>
                <w:rFonts w:eastAsia="Times New Roman" w:cs="Calibri" w:ascii="Calibri" w:hAnsi="Calibri"/>
                <w:b/>
                <w:bCs/>
                <w:color w:val="000000"/>
                <w:kern w:val="0"/>
                <w:szCs w:val="22"/>
                <w:lang w:val="en-US" w:eastAsia="en-US" w:bidi="ar-SA"/>
              </w:rPr>
              <w:t>SAV P</w:t>
            </w:r>
          </w:p>
        </w:tc>
        <w:tc>
          <w:tcPr>
            <w:tcW w:w="1040" w:type="dxa"/>
            <w:tcBorders/>
            <w:vAlign w:val="bottom"/>
          </w:tcPr>
          <w:p>
            <w:pPr>
              <w:pStyle w:val="Normal"/>
              <w:widowControl w:val="false"/>
              <w:spacing w:before="0" w:after="120"/>
              <w:rPr>
                <w:rFonts w:ascii="Calibri" w:hAnsi="Calibri" w:cs="Calibri"/>
                <w:b/>
                <w:bCs/>
                <w:szCs w:val="22"/>
              </w:rPr>
            </w:pPr>
            <w:r>
              <w:rPr>
                <w:rFonts w:eastAsia="Times New Roman" w:cs="Calibri" w:ascii="Calibri" w:hAnsi="Calibri"/>
                <w:b/>
                <w:bCs/>
                <w:color w:val="000000"/>
                <w:kern w:val="0"/>
                <w:szCs w:val="22"/>
                <w:lang w:val="en-US" w:eastAsia="en-US" w:bidi="ar-SA"/>
              </w:rPr>
              <w:t>EAV P</w:t>
            </w:r>
          </w:p>
        </w:tc>
        <w:tc>
          <w:tcPr>
            <w:tcW w:w="1618" w:type="dxa"/>
            <w:tcBorders/>
            <w:vAlign w:val="bottom"/>
          </w:tcPr>
          <w:p>
            <w:pPr>
              <w:pStyle w:val="Normal"/>
              <w:widowControl w:val="false"/>
              <w:spacing w:before="0" w:after="120"/>
              <w:rPr>
                <w:rFonts w:ascii="Calibri" w:hAnsi="Calibri" w:cs="Calibri"/>
                <w:b/>
                <w:bCs/>
                <w:szCs w:val="22"/>
              </w:rPr>
            </w:pPr>
            <w:r>
              <w:rPr>
                <w:rFonts w:eastAsia="Times New Roman" w:cs="Calibri" w:ascii="Calibri" w:hAnsi="Calibri"/>
                <w:b/>
                <w:bCs/>
                <w:color w:val="000000"/>
                <w:kern w:val="0"/>
                <w:szCs w:val="22"/>
                <w:lang w:val="en-US" w:eastAsia="en-US" w:bidi="ar-SA"/>
              </w:rPr>
              <w:t>Consumer P</w:t>
            </w:r>
          </w:p>
        </w:tc>
        <w:tc>
          <w:tcPr>
            <w:tcW w:w="1003" w:type="dxa"/>
            <w:tcBorders/>
          </w:tcPr>
          <w:p>
            <w:pPr>
              <w:pStyle w:val="Normal"/>
              <w:widowControl w:val="false"/>
              <w:spacing w:before="0" w:after="120"/>
              <w:rPr>
                <w:rFonts w:ascii="Calibri" w:hAnsi="Calibri" w:cs="Calibri"/>
                <w:b/>
                <w:bCs/>
                <w:color w:val="000000"/>
              </w:rPr>
            </w:pPr>
            <w:r>
              <w:rPr>
                <w:rFonts w:eastAsia="Times New Roman" w:cs="Calibri" w:ascii="Calibri" w:hAnsi="Calibri"/>
                <w:b/>
                <w:bCs/>
                <w:color w:val="000000"/>
                <w:kern w:val="0"/>
                <w:szCs w:val="20"/>
                <w:lang w:val="en-US" w:eastAsia="en-US" w:bidi="ar-SA"/>
              </w:rPr>
              <w:t>TPw</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2006</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4.44</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0.011</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0.094</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0.507</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0.215</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-0.0003</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2007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2.02</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-0.019</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0.060</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0.704</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0.016</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-0.0004</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2008</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2.87</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-0.003</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-0.002</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0.437</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0.031</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-0.0004</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2009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2.15</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-0.005</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-0.042</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0.188</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-0.052</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-0.0004</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2010</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1.06</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0.008</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0.024</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0.209</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0.180</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0.0033</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2011</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1.54</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-0.004</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-0.037</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0.206</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-0.107</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-0.0028</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2012</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2.98</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0.015</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0.010</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-0.144</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0.013</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0.0010</w:t>
            </w:r>
          </w:p>
        </w:tc>
      </w:tr>
      <w:tr>
        <w:trPr/>
        <w:tc>
          <w:tcPr>
            <w:tcW w:w="8226" w:type="dxa"/>
            <w:gridSpan w:val="7"/>
            <w:tcBorders>
              <w:left w:val="nil"/>
              <w:right w:val="nil"/>
            </w:tcBorders>
            <w:vAlign w:val="bottom"/>
          </w:tcPr>
          <w:p>
            <w:pPr>
              <w:pStyle w:val="Normal"/>
              <w:widowControl w:val="false"/>
              <w:spacing w:before="0" w:after="120"/>
              <w:jc w:val="left"/>
              <w:rPr>
                <w:rFonts w:cs="Segoe UI"/>
                <w:b/>
                <w:bCs/>
                <w:color w:val="000000"/>
                <w:szCs w:val="22"/>
              </w:rPr>
            </w:pPr>
            <w:r>
              <w:rPr>
                <w:rFonts w:eastAsia="Times New Roman" w:cs="Segoe UI"/>
                <w:b/>
                <w:bCs/>
                <w:color w:val="000000"/>
                <w:kern w:val="0"/>
                <w:szCs w:val="22"/>
                <w:lang w:val="en-US" w:eastAsia="en-US" w:bidi="ar-SA"/>
              </w:rPr>
              <w:t>Table 3-22.  Continued.</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2013</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1.60</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-0.024</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-0.014</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0.202</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-0.132</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-0.0002</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2014</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4.31</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0.073</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-0.007</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0.155</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0.158</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0.0136</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2015</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2.08</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0.024</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0.140</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0.083</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0.016</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0.0109</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2016</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2.47</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-0.025</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0.270</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1.389</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0.094</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-0.0122</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2017</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4.37</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0.031</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0.025</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0.329</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-0.075</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0.0099</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2018</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3.35</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0.002</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0.145</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0.637</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0.291</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-0.0040</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2019</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3.01</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-0.014</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0.542</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1.804</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-0.194</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0.0056</w:t>
            </w:r>
          </w:p>
        </w:tc>
      </w:tr>
      <w:tr>
        <w:trPr/>
        <w:tc>
          <w:tcPr>
            <w:tcW w:w="1201" w:type="dxa"/>
            <w:tcBorders/>
            <w:vAlign w:val="bottom"/>
          </w:tcPr>
          <w:p>
            <w:pPr>
              <w:pStyle w:val="Normal"/>
              <w:widowControl w:val="false"/>
              <w:spacing w:before="0" w:after="120"/>
              <w:rPr>
                <w:rFonts w:ascii="Calibri" w:hAnsi="Calibri" w:cs="Calibri"/>
                <w:szCs w:val="22"/>
              </w:rPr>
            </w:pPr>
            <w:r>
              <w:rPr>
                <w:rFonts w:eastAsia="Times New Roman" w:cs="Calibri" w:ascii="Calibri" w:hAnsi="Calibri"/>
                <w:color w:val="000000"/>
                <w:kern w:val="0"/>
                <w:szCs w:val="22"/>
                <w:lang w:val="en-US" w:eastAsia="en-US" w:bidi="ar-SA"/>
              </w:rPr>
              <w:t>2020</w:t>
            </w:r>
          </w:p>
        </w:tc>
        <w:tc>
          <w:tcPr>
            <w:tcW w:w="1039"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2.79</w:t>
            </w:r>
          </w:p>
        </w:tc>
        <w:tc>
          <w:tcPr>
            <w:tcW w:w="15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0.079</w:t>
            </w:r>
          </w:p>
        </w:tc>
        <w:tc>
          <w:tcPr>
            <w:tcW w:w="807"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0.398</w:t>
            </w:r>
          </w:p>
        </w:tc>
        <w:tc>
          <w:tcPr>
            <w:tcW w:w="1040"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1.653</w:t>
            </w:r>
          </w:p>
        </w:tc>
        <w:tc>
          <w:tcPr>
            <w:tcW w:w="1618" w:type="dxa"/>
            <w:tcBorders/>
            <w:vAlign w:val="bottom"/>
          </w:tcPr>
          <w:p>
            <w:pPr>
              <w:pStyle w:val="Normal"/>
              <w:widowControl w:val="false"/>
              <w:spacing w:before="0" w:after="120"/>
              <w:jc w:val="center"/>
              <w:rPr>
                <w:rFonts w:ascii="Calibri" w:hAnsi="Calibri" w:cs="Calibri"/>
                <w:szCs w:val="22"/>
              </w:rPr>
            </w:pPr>
            <w:r>
              <w:rPr>
                <w:rFonts w:eastAsia="Times New Roman" w:cs="Calibri" w:ascii="Calibri" w:hAnsi="Calibri"/>
                <w:color w:val="000000"/>
                <w:kern w:val="0"/>
                <w:szCs w:val="22"/>
                <w:lang w:val="en-US" w:eastAsia="en-US" w:bidi="ar-SA"/>
              </w:rPr>
              <w:t>0.687</w:t>
            </w:r>
          </w:p>
        </w:tc>
        <w:tc>
          <w:tcPr>
            <w:tcW w:w="1003" w:type="dxa"/>
            <w:tcBorders/>
            <w:vAlign w:val="bottom"/>
          </w:tcPr>
          <w:p>
            <w:pPr>
              <w:pStyle w:val="Normal"/>
              <w:widowControl w:val="false"/>
              <w:spacing w:before="0" w:after="120"/>
              <w:jc w:val="center"/>
              <w:rPr>
                <w:rFonts w:ascii="Calibri" w:hAnsi="Calibri" w:cs="Calibri"/>
                <w:color w:val="000000"/>
              </w:rPr>
            </w:pPr>
            <w:r>
              <w:rPr>
                <w:rFonts w:eastAsia="Times New Roman" w:cs="Calibri" w:ascii="Calibri" w:hAnsi="Calibri"/>
                <w:color w:val="000000"/>
                <w:kern w:val="0"/>
                <w:szCs w:val="22"/>
                <w:lang w:val="en-US" w:eastAsia="en-US" w:bidi="ar-SA"/>
              </w:rPr>
              <w:t>0.0120</w:t>
            </w:r>
          </w:p>
        </w:tc>
      </w:tr>
    </w:tbl>
    <w:p>
      <w:pPr>
        <w:pStyle w:val="Normal"/>
        <w:rPr/>
      </w:pPr>
      <w:r>
        <w:rPr/>
      </w:r>
    </w:p>
    <w:p>
      <w:pPr>
        <w:pStyle w:val="Normal"/>
        <w:spacing w:lineRule="auto" w:line="240" w:before="0" w:after="60"/>
        <w:jc w:val="left"/>
        <w:rPr>
          <w:b/>
          <w:sz w:val="20"/>
        </w:rPr>
      </w:pPr>
      <w:r>
        <w:rPr>
          <w:b/>
          <w:sz w:val="20"/>
        </w:rPr>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Flows</w:t>
      </w:r>
    </w:p>
    <w:p>
      <w:pPr>
        <w:pStyle w:val="Normal"/>
        <w:rPr/>
      </w:pPr>
      <w:r>
        <w:rPr/>
        <w:t>Increasing or decreasing daily flows by 25 and 50% produced minimal changes in the values of floc P, litter P, and the soils/sediment P pools; P concentrations changed by &lt;5% across all of these pools. Generally, increasing flows by 50% translated into changes in the soils/sediment pools by &lt;10%, except for floc P, which increased by 22.6%. The results for increased flows of by 100% substantially increased the value of floc P in relative terms, although the P concentration increased in absolute terms only from 0.291 g P/m</w:t>
      </w:r>
      <w:r>
        <w:rPr>
          <w:vertAlign w:val="superscript"/>
        </w:rPr>
        <w:t>2</w:t>
      </w:r>
      <w:r>
        <w:rPr/>
        <w:t xml:space="preserve"> (baseline) to 0.719. The remaining soils/sediment P pools and litter P decreased by 25% or less. </w:t>
      </w:r>
    </w:p>
    <w:p>
      <w:pPr>
        <w:pStyle w:val="Normal"/>
        <w:rPr/>
      </w:pPr>
      <w:r>
        <w:rPr/>
        <w:t>Reducing flows by 25 and 50% had minimal impact on the water column P pools. The P pools were changed by &lt;10%. The results for flow increases of 50 and 100% showed that only the PIP</w:t>
      </w:r>
      <w:r>
        <w:rPr>
          <w:vertAlign w:val="subscript"/>
        </w:rPr>
        <w:t>w</w:t>
      </w:r>
      <w:r>
        <w:rPr/>
        <w:t xml:space="preserve"> (-39%) value was changed by &gt;20% for the water column P pools, although DIP</w:t>
      </w:r>
      <w:r>
        <w:rPr>
          <w:vertAlign w:val="subscript"/>
        </w:rPr>
        <w:t>w</w:t>
      </w:r>
      <w:r>
        <w:rPr/>
        <w:t xml:space="preserve"> increased by 19%. The overall impact of flow alterations on concentrations of TPw in segment C (i.e., outflow TPw) were less than 10% of the baseline simulation. The model results are due to lower simulated water depths; sediment-water interactions are not a function of depth in the CASM-STA</w:t>
      </w:r>
    </w:p>
    <w:p>
      <w:pPr>
        <w:pStyle w:val="Normal"/>
        <w:rPr/>
      </w:pPr>
      <w:r>
        <w:rPr/>
        <w:t>Reducing flows by 25 and 50% correspondingly reduced the values of the aquatic plant and total consumer production by &lt;20%. Increased flows by 50 and 100% produced a dramatic relative increase (&gt;1000%) in phytoplankton biomass values, although absolute increases in biomass (g P/m2) indicated that phytoplankton remained a small component of the overall FW1 aquatic plants assemblage.</w:t>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External P loading</w:t>
      </w:r>
    </w:p>
    <w:p>
      <w:pPr>
        <w:pStyle w:val="Normal"/>
        <w:rPr/>
      </w:pPr>
      <w:r>
        <w:rPr/>
        <w:t>As observed in the sensitivity analysis of the BGC model (CELLC 2024), the state variables in the CASM-STA were generally insensitive to reductions (25, 50%) or increases (50, 100%) in external P loading, while flows were not correspondingly adjusted, to the modeled FW1 (Tables 3-4, 3-5 and 3-6). None of the results were &gt;20% difference from the baseline P values; sensitivities were generally &lt;1% for soils/sediments, water column, and aquatic plants and consumers.</w:t>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 xml:space="preserve">Co-precipitation slope </w:t>
      </w:r>
    </w:p>
    <w:p>
      <w:pPr>
        <w:pStyle w:val="Normal"/>
        <w:rPr/>
      </w:pPr>
      <w:r>
        <w:rPr/>
        <w:t>Simulations with slope values of 0.001, 0.002 (baseline), 0.003, 0.004, and 0.005 were performed with the CASM-STA. The resulting values of floc P, litter P, and the soils/sediment P pools were not sensitive to the different values used to define the slope in the formulation of co-precipitation of DIP</w:t>
      </w:r>
      <w:r>
        <w:rPr>
          <w:vertAlign w:val="subscript"/>
        </w:rPr>
        <w:t>w</w:t>
      </w:r>
      <w:r>
        <w:rPr/>
        <w:t xml:space="preserve"> to PIP</w:t>
      </w:r>
      <w:r>
        <w:rPr>
          <w:vertAlign w:val="subscript"/>
        </w:rPr>
        <w:t>w</w:t>
      </w:r>
      <w:r>
        <w:rPr/>
        <w:t xml:space="preserve">. Percentage changes in P pool values were &lt;20% and for the most part around or below 10% compared to the baseline model simulation. </w:t>
      </w:r>
    </w:p>
    <w:p>
      <w:pPr>
        <w:pStyle w:val="Normal"/>
        <w:rPr/>
      </w:pPr>
      <w:r>
        <w:rPr/>
        <w:t>The CASM-STA values for DIP</w:t>
      </w:r>
      <w:r>
        <w:rPr>
          <w:vertAlign w:val="subscript"/>
        </w:rPr>
        <w:t>w</w:t>
      </w:r>
      <w:r>
        <w:rPr/>
        <w:t xml:space="preserve"> and PIP</w:t>
      </w:r>
      <w:r>
        <w:rPr>
          <w:vertAlign w:val="subscript"/>
        </w:rPr>
        <w:t>w</w:t>
      </w:r>
      <w:r>
        <w:rPr/>
        <w:t>, which are directly affected by the slope of the co-precipitation function, demonstrated sensitivity to the selected slope. Decreasing the slope had the expected effect of increasing DIPw (38.8%) and decreasing PIP</w:t>
      </w:r>
      <w:r>
        <w:rPr>
          <w:vertAlign w:val="subscript"/>
        </w:rPr>
        <w:t>w</w:t>
      </w:r>
      <w:r>
        <w:rPr/>
        <w:t xml:space="preserve"> by approximately the same amount (39.8%). Correspondingly, increasing the slope and the amount of daily DIP</w:t>
      </w:r>
      <w:r>
        <w:rPr>
          <w:vertAlign w:val="subscript"/>
        </w:rPr>
        <w:t>w</w:t>
      </w:r>
      <w:r>
        <w:rPr/>
        <w:t xml:space="preserve"> co-precipitation reduced DIP</w:t>
      </w:r>
      <w:r>
        <w:rPr>
          <w:vertAlign w:val="subscript"/>
        </w:rPr>
        <w:t>w</w:t>
      </w:r>
      <w:r>
        <w:rPr/>
        <w:t xml:space="preserve"> (-63.9%) and increased PIP</w:t>
      </w:r>
      <w:r>
        <w:rPr>
          <w:vertAlign w:val="subscript"/>
        </w:rPr>
        <w:t>w</w:t>
      </w:r>
      <w:r>
        <w:rPr/>
        <w:t xml:space="preserve"> by 56.4%.</w:t>
      </w:r>
    </w:p>
    <w:p>
      <w:pPr>
        <w:pStyle w:val="Normal"/>
        <w:rPr/>
      </w:pPr>
      <w:r>
        <w:rPr/>
        <w:t>Reducing the slope to 0.001 from 0.002 made more DIP</w:t>
      </w:r>
      <w:r>
        <w:rPr>
          <w:vertAlign w:val="subscript"/>
        </w:rPr>
        <w:t>w</w:t>
      </w:r>
      <w:r>
        <w:rPr/>
        <w:t xml:space="preserve"> available to support phytoplankton and periphyton growth and these populations correspondingly increased, but by &lt;10%. Increasing the slope values reduced DIP</w:t>
      </w:r>
      <w:r>
        <w:rPr>
          <w:vertAlign w:val="subscript"/>
        </w:rPr>
        <w:t>w</w:t>
      </w:r>
      <w:r>
        <w:rPr/>
        <w:t xml:space="preserve"> values and reduced phytoplankton and periphyton. Slope values of 0.004 and 0.005 reduced periphyton annual average P (g P/m</w:t>
      </w:r>
      <w:r>
        <w:rPr>
          <w:vertAlign w:val="superscript"/>
        </w:rPr>
        <w:t>2</w:t>
      </w:r>
      <w:r>
        <w:rPr/>
        <w:t xml:space="preserve">) values by 27.2 and 45.6%. The slope of 0.005 translated periphyton losses to decreased consumer production by 29.9%. </w:t>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Soils/sediments diffusion constants</w:t>
      </w:r>
    </w:p>
    <w:p>
      <w:pPr>
        <w:pStyle w:val="Normal"/>
        <w:rPr/>
      </w:pPr>
      <w:r>
        <w:rPr>
          <w:b/>
          <w:bCs/>
        </w:rPr>
        <w:t>rdif_DOPw -</w:t>
      </w:r>
      <w:r>
        <w:rPr/>
        <w:t xml:space="preserve"> The diffusion of DOPs from the soils/sediments to the water column DOP</w:t>
      </w:r>
      <w:r>
        <w:rPr>
          <w:vertAlign w:val="subscript"/>
        </w:rPr>
        <w:t>w</w:t>
      </w:r>
      <w:r>
        <w:rPr/>
        <w:t xml:space="preserve"> pool is determined in part by the value of the rdif_DOP</w:t>
      </w:r>
      <w:r>
        <w:rPr>
          <w:vertAlign w:val="subscript"/>
        </w:rPr>
        <w:t>w</w:t>
      </w:r>
      <w:r>
        <w:rPr/>
        <w:t xml:space="preserve"> parameter in the CASM-STA. Simulations using rdif_DOP</w:t>
      </w:r>
      <w:r>
        <w:rPr>
          <w:vertAlign w:val="subscript"/>
        </w:rPr>
        <w:t>w</w:t>
      </w:r>
      <w:r>
        <w:rPr/>
        <w:t xml:space="preserve"> values of the baseline 0.0001 (d</w:t>
      </w:r>
      <w:r>
        <w:rPr>
          <w:vertAlign w:val="superscript"/>
        </w:rPr>
        <w:t>-1</w:t>
      </w:r>
      <w:r>
        <w:rPr/>
        <w:t xml:space="preserve">), and values of 0.0005, 0.0010, 0.0015, and 0.0020 were performed. The resulting values of floc P, litter P, and the soils/sediment P pools proved to be relatively insensitive to variations in the value of this diffusion coefficient.  </w:t>
      </w:r>
    </w:p>
    <w:p>
      <w:pPr>
        <w:pStyle w:val="Normal"/>
        <w:rPr/>
      </w:pPr>
      <w:r>
        <w:rPr/>
        <w:t>Increasing the value of rdif_DOP</w:t>
      </w:r>
      <w:r>
        <w:rPr>
          <w:vertAlign w:val="subscript"/>
        </w:rPr>
        <w:t>w</w:t>
      </w:r>
      <w:r>
        <w:rPr/>
        <w:t xml:space="preserve"> did result in modeled increases in the water column P pools, particularly DOP</w:t>
      </w:r>
      <w:r>
        <w:rPr>
          <w:vertAlign w:val="subscript"/>
        </w:rPr>
        <w:t>w</w:t>
      </w:r>
      <w:r>
        <w:rPr/>
        <w:t xml:space="preserve"> and DIP</w:t>
      </w:r>
      <w:r>
        <w:rPr>
          <w:vertAlign w:val="subscript"/>
        </w:rPr>
        <w:t>w</w:t>
      </w:r>
      <w:r>
        <w:rPr/>
        <w:t>, but by &lt;20%. All of the modeled plant and consumer responses to variations in rdif_DOP</w:t>
      </w:r>
      <w:r>
        <w:rPr>
          <w:vertAlign w:val="subscript"/>
        </w:rPr>
        <w:t>w</w:t>
      </w:r>
      <w:r>
        <w:rPr/>
        <w:t xml:space="preserve"> were &lt;10% of baseline. </w:t>
      </w:r>
    </w:p>
    <w:p>
      <w:pPr>
        <w:pStyle w:val="Normal"/>
        <w:rPr/>
      </w:pPr>
      <w:r>
        <w:rPr>
          <w:b/>
          <w:bCs/>
        </w:rPr>
        <w:t>rdif_DIPw –</w:t>
      </w:r>
      <w:r>
        <w:rPr/>
        <w:t xml:space="preserve"> Simulations were performed using the baseline value of 0.0005 (d</w:t>
      </w:r>
      <w:r>
        <w:rPr>
          <w:vertAlign w:val="superscript"/>
        </w:rPr>
        <w:t>-1</w:t>
      </w:r>
      <w:r>
        <w:rPr/>
        <w:t>), 0.001, 0.0010, 0.0015, and 0.0020. CASM-STA responses to variations in the assigned values of rdif_DIP</w:t>
      </w:r>
      <w:r>
        <w:rPr>
          <w:vertAlign w:val="subscript"/>
        </w:rPr>
        <w:t>w</w:t>
      </w:r>
      <w:r>
        <w:rPr/>
        <w:t xml:space="preserve"> were &lt;5% for the soils/sediments state variables. Increasing the values of the diffusion rate constant from the DIP</w:t>
      </w:r>
      <w:r>
        <w:rPr>
          <w:vertAlign w:val="subscript"/>
        </w:rPr>
        <w:t>s</w:t>
      </w:r>
      <w:r>
        <w:rPr/>
        <w:t xml:space="preserve"> to the DIP</w:t>
      </w:r>
      <w:r>
        <w:rPr>
          <w:vertAlign w:val="subscript"/>
        </w:rPr>
        <w:t>w</w:t>
      </w:r>
      <w:r>
        <w:rPr/>
        <w:t xml:space="preserve"> pool did increase the annual average value of the DIPw pool, but by &lt;20%. Increasing the rate of DIPs diffusion to DIP</w:t>
      </w:r>
      <w:r>
        <w:rPr>
          <w:vertAlign w:val="subscript"/>
        </w:rPr>
        <w:t>w</w:t>
      </w:r>
      <w:r>
        <w:rPr/>
        <w:t xml:space="preserve"> slightly increased phytoplankton (1.3%), periphyton (3.4%), and consumer (1.4%) production compared to baseline. </w:t>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EAV initial biomass</w:t>
      </w:r>
    </w:p>
    <w:p>
      <w:pPr>
        <w:pStyle w:val="Normal"/>
        <w:rPr/>
      </w:pPr>
      <w:r>
        <w:rPr/>
        <w:t>The CASM-STA was used to determine the impacts of EAV removal on subsequent production by setting the initial EAV biomass to 400 g C/m</w:t>
      </w:r>
      <w:r>
        <w:rPr>
          <w:vertAlign w:val="superscript"/>
        </w:rPr>
        <w:t>2</w:t>
      </w:r>
      <w:r>
        <w:rPr/>
        <w:t xml:space="preserve"> (50% reduction) and 200 g C/m</w:t>
      </w:r>
      <w:r>
        <w:rPr>
          <w:vertAlign w:val="superscript"/>
        </w:rPr>
        <w:t>2</w:t>
      </w:r>
      <w:r>
        <w:rPr/>
        <w:t xml:space="preserve"> (75% reduction) in separate simulations. The calibration baseline initial value was 800 g C/m</w:t>
      </w:r>
      <w:r>
        <w:rPr>
          <w:vertAlign w:val="superscript"/>
        </w:rPr>
        <w:t>2</w:t>
      </w:r>
      <w:r>
        <w:rPr/>
        <w:t xml:space="preserve">. The time-varying pattern of EAV production in the two treatment simulations essentially paralleled the baseline simulation and suggested an overall decrease in EAV biomass during the 2005-2012 simulated CASM-STA calibration period. </w:t>
      </w:r>
    </w:p>
    <w:p>
      <w:pPr>
        <w:pStyle w:val="Normal"/>
        <w:rPr/>
      </w:pPr>
      <w:r>
        <w:rPr/>
        <w:t>The calibration value of EAV Pmax is 0.024 d</w:t>
      </w:r>
      <w:r>
        <w:rPr>
          <w:vertAlign w:val="superscript"/>
        </w:rPr>
        <w:t>-1</w:t>
      </w:r>
      <w:r>
        <w:rPr/>
        <w:t xml:space="preserve"> and was based on the 8-y average annual biomass, which compared reasonably with the target value (Stantec 2024x). However, the overall trajectory of declining biomass suggests that the calibrated value of Pmax might be insufficient to sustain growth given the environmental conditions specified for the 2005-2012 period. However, the Task 9.2 simulation for the validation period showed an overall increasing trend for EAV production for the 2013-2020 environmental conditions, which indicates that the 0.024 d</w:t>
      </w:r>
      <w:r>
        <w:rPr>
          <w:vertAlign w:val="superscript"/>
        </w:rPr>
        <w:t>-1</w:t>
      </w:r>
      <w:r>
        <w:rPr/>
        <w:t xml:space="preserve"> value of Pmax is not entirely unrealistic.     </w:t>
      </w:r>
    </w:p>
    <w:p>
      <w:pPr>
        <w:pStyle w:val="Normal"/>
        <w:keepNext w:val="true"/>
        <w:numPr>
          <w:ilvl w:val="3"/>
          <w:numId w:val="1"/>
        </w:numPr>
        <w:tabs>
          <w:tab w:val="clear" w:pos="720"/>
          <w:tab w:val="left" w:pos="1800" w:leader="none"/>
        </w:tabs>
        <w:jc w:val="left"/>
        <w:outlineLvl w:val="3"/>
        <w:rPr>
          <w:bCs/>
          <w:szCs w:val="22"/>
          <w:u w:val="single"/>
        </w:rPr>
      </w:pPr>
      <w:r>
        <w:rPr>
          <w:bCs/>
          <w:szCs w:val="22"/>
          <w:u w:val="single"/>
        </w:rPr>
        <w:t>Periphyton growth rate</w:t>
      </w:r>
    </w:p>
    <w:p>
      <w:pPr>
        <w:pStyle w:val="Normal"/>
        <w:rPr/>
      </w:pPr>
      <w:r>
        <w:rPr/>
        <w:t>The bioenergetics-based models are typically sensitive to the parameters that determine energy (or biomass equivalent) inputs to the corresponding population state variable (Bartell et al. 1988a, b; 1986). For the CASM-STA, these parameters include the values of Pmax, maximum photosynthetic (growth) rate for modeled plant populations. Decreasing the maximum growth rate of periphyton from 0.25 d</w:t>
      </w:r>
      <w:r>
        <w:rPr>
          <w:vertAlign w:val="superscript"/>
        </w:rPr>
        <w:t>-1</w:t>
      </w:r>
      <w:r>
        <w:rPr/>
        <w:t xml:space="preserve"> (baseline) to 0.10 and 0.05 d</w:t>
      </w:r>
      <w:r>
        <w:rPr>
          <w:vertAlign w:val="superscript"/>
        </w:rPr>
        <w:t>-1</w:t>
      </w:r>
      <w:r>
        <w:rPr/>
        <w:t xml:space="preserve"> reduced periphyton annual average biomass by &gt;95% with corresponding increases in phytoplankton biomass. Similarly, increasing the Pmax value for periphyton to 0.35 and 0.50 d</w:t>
      </w:r>
      <w:r>
        <w:rPr>
          <w:vertAlign w:val="superscript"/>
        </w:rPr>
        <w:t>-1</w:t>
      </w:r>
      <w:r>
        <w:rPr/>
        <w:t xml:space="preserve"> increased annual average periphyton biomass by 36.5 and 71.5%, respectively. These increases were accompanied by 17% decreases in phytoplankton and an 18.9% increase in total consumer biomass for the Pmax of 0.5. </w:t>
      </w:r>
    </w:p>
    <w:p>
      <w:pPr>
        <w:sectPr>
          <w:headerReference w:type="default" r:id="rId186"/>
          <w:headerReference w:type="first" r:id="rId187"/>
          <w:footerReference w:type="default" r:id="rId188"/>
          <w:footerReference w:type="first" r:id="rId189"/>
          <w:type w:val="nextPage"/>
          <w:pgSz w:w="12240" w:h="15840"/>
          <w:pgMar w:left="1440" w:right="1440" w:gutter="0" w:header="576" w:top="1440" w:footer="576" w:bottom="1440"/>
          <w:pgNumType w:fmt="decimal"/>
          <w:formProt w:val="false"/>
          <w:titlePg/>
          <w:textDirection w:val="lrTb"/>
          <w:docGrid w:type="default" w:linePitch="299" w:charSpace="0"/>
        </w:sectPr>
        <w:pStyle w:val="Normal"/>
        <w:rPr>
          <w:color w:themeColor="text1" w:val="000000"/>
        </w:rPr>
      </w:pPr>
      <w:r>
        <w:rPr>
          <w:color w:themeColor="text1" w:val="000000"/>
        </w:rPr>
        <w:t xml:space="preserve"> </w:t>
      </w:r>
    </w:p>
    <w:p>
      <w:pPr>
        <w:pStyle w:val="Heading1"/>
        <w:rPr/>
      </w:pPr>
      <w:bookmarkStart w:id="204" w:name="_Toc182252529"/>
      <w:r>
        <w:rPr/>
        <w:t>Conclusions and Management implications</w:t>
      </w:r>
      <w:bookmarkEnd w:id="204"/>
    </w:p>
    <w:p>
      <w:pPr>
        <w:pStyle w:val="Normal"/>
        <w:rPr/>
      </w:pPr>
      <w:r>
        <w:rPr>
          <w:color w:themeColor="text1" w:val="000000"/>
        </w:rPr>
        <w:t xml:space="preserve">The </w:t>
      </w:r>
      <w:r>
        <w:rPr/>
        <w:t xml:space="preserve">BGC Model was developed in three Phases to integrate accumulated STA data and information, simulate patterns of and changes in the internal P biogeochemical concentrations, and evaluate wetland TP loading and removal at the flow-way scale. The model was based on a 744-hectare, cattail dominated flow-way with a comprehensive empirical database which removes ~86% of incoming TP annually (STA-2 FW1). It evolved from the initial conceptualization (Phase I) into a first-generation mathematical model to simulate changes in P concentrations among the water, periphyton, SAV, </w:t>
      </w:r>
      <w:r>
        <w:rPr>
          <w:i/>
        </w:rPr>
        <w:t>Typha</w:t>
      </w:r>
      <w:r>
        <w:rPr/>
        <w:t xml:space="preserve">, and soils from 1/1/2005 to 12/31/2020 (Phase II). A Hydrologic Model and equation syntax to ensure mass balance were added so the simulated P concentrations could be calibrated, validated, and tested (Phase III). </w:t>
      </w:r>
    </w:p>
    <w:p>
      <w:pPr>
        <w:pStyle w:val="Normal"/>
        <w:rPr/>
      </w:pPr>
      <w:r>
        <w:rPr/>
        <w:t>The Phase III BGC Model was used to generate the daily time series of P concentrations and calculate the grand averages for comparison to the empirical targets (Figure 2-25). P</w:t>
      </w:r>
      <w:r>
        <w:rPr>
          <w:vertAlign w:val="subscript"/>
        </w:rPr>
        <w:t>EAVSH</w:t>
      </w:r>
      <w:r>
        <w:rPr/>
        <w:t>, P</w:t>
      </w:r>
      <w:r>
        <w:rPr>
          <w:vertAlign w:val="subscript"/>
        </w:rPr>
        <w:t>LITTER</w:t>
      </w:r>
      <w:r>
        <w:rPr/>
        <w:t>, P</w:t>
      </w:r>
      <w:r>
        <w:rPr>
          <w:vertAlign w:val="subscript"/>
        </w:rPr>
        <w:t>FLOC</w:t>
      </w:r>
      <w:r>
        <w:rPr/>
        <w:t>, and POP</w:t>
      </w:r>
      <w:r>
        <w:rPr>
          <w:vertAlign w:val="subscript"/>
        </w:rPr>
        <w:t>S</w:t>
      </w:r>
      <w:r>
        <w:rPr/>
        <w:t xml:space="preserve"> ranged from 0.5-4.0 g P m</w:t>
      </w:r>
      <w:r>
        <w:rPr>
          <w:vertAlign w:val="superscript"/>
        </w:rPr>
        <w:t>-2</w:t>
      </w:r>
      <w:r>
        <w:rPr/>
        <w:t xml:space="preserve"> over the fifteen water years (5/1/2005 to 4/30/2020). P</w:t>
      </w:r>
      <w:r>
        <w:rPr>
          <w:vertAlign w:val="subscript"/>
        </w:rPr>
        <w:t>PERI</w:t>
      </w:r>
      <w:r>
        <w:rPr/>
        <w:t>, P</w:t>
      </w:r>
      <w:r>
        <w:rPr>
          <w:vertAlign w:val="subscript"/>
        </w:rPr>
        <w:t>EAVRR</w:t>
      </w:r>
      <w:r>
        <w:rPr/>
        <w:t>, P</w:t>
      </w:r>
      <w:r>
        <w:rPr>
          <w:vertAlign w:val="subscript"/>
        </w:rPr>
        <w:t>SAV</w:t>
      </w:r>
      <w:r>
        <w:rPr/>
        <w:t>, DOP</w:t>
      </w:r>
      <w:r>
        <w:rPr>
          <w:vertAlign w:val="subscript"/>
        </w:rPr>
        <w:t>S</w:t>
      </w:r>
      <w:r>
        <w:rPr/>
        <w:t>, DIP</w:t>
      </w:r>
      <w:r>
        <w:rPr>
          <w:vertAlign w:val="subscript"/>
        </w:rPr>
        <w:t>S</w:t>
      </w:r>
      <w:r>
        <w:rPr/>
        <w:t>, and PIP</w:t>
      </w:r>
      <w:r>
        <w:rPr>
          <w:vertAlign w:val="subscript"/>
        </w:rPr>
        <w:t>S</w:t>
      </w:r>
      <w:r>
        <w:rPr/>
        <w:t xml:space="preserve"> ranged from 0.01-0.75 g P m</w:t>
      </w:r>
      <w:r>
        <w:rPr>
          <w:vertAlign w:val="superscript"/>
        </w:rPr>
        <w:t>-2</w:t>
      </w:r>
      <w:r>
        <w:rPr/>
        <w:t>. Finally, PPHYTO, POP</w:t>
      </w:r>
      <w:r>
        <w:rPr>
          <w:vertAlign w:val="subscript"/>
        </w:rPr>
        <w:t>W</w:t>
      </w:r>
      <w:r>
        <w:rPr/>
        <w:t>, DOP</w:t>
      </w:r>
      <w:r>
        <w:rPr>
          <w:vertAlign w:val="subscript"/>
        </w:rPr>
        <w:t>W</w:t>
      </w:r>
      <w:r>
        <w:rPr/>
        <w:t>, DIP</w:t>
      </w:r>
      <w:r>
        <w:rPr>
          <w:vertAlign w:val="subscript"/>
        </w:rPr>
        <w:t>W</w:t>
      </w:r>
      <w:r>
        <w:rPr/>
        <w:t>, PIP</w:t>
      </w:r>
      <w:r>
        <w:rPr>
          <w:vertAlign w:val="subscript"/>
        </w:rPr>
        <w:t>W</w:t>
      </w:r>
      <w:r>
        <w:rPr/>
        <w:t>, and TP</w:t>
      </w:r>
      <w:r>
        <w:rPr>
          <w:vertAlign w:val="subscript"/>
        </w:rPr>
        <w:t>W</w:t>
      </w:r>
      <w:r>
        <w:rPr/>
        <w:t xml:space="preserve"> ranged from near zero to ~0.25 g P m</w:t>
      </w:r>
      <w:r>
        <w:rPr>
          <w:vertAlign w:val="superscript"/>
        </w:rPr>
        <w:t>-3</w:t>
      </w:r>
      <w:r>
        <w:rPr/>
        <w:t>. All of the phosphorus pools exhibited regular seasonal-annual periodicity except for POP</w:t>
      </w:r>
      <w:r>
        <w:rPr>
          <w:vertAlign w:val="subscript"/>
        </w:rPr>
        <w:t>W</w:t>
      </w:r>
      <w:r>
        <w:rPr/>
        <w:t xml:space="preserve"> (and thus TP</w:t>
      </w:r>
      <w:r>
        <w:rPr>
          <w:vertAlign w:val="subscript"/>
        </w:rPr>
        <w:t>W</w:t>
      </w:r>
      <w:r>
        <w:rPr/>
        <w:t>). The oscillations resulted from the intra-annual variations in temperature indicative of the sub-tropical climate. While most of the model biogeochemical processes were driven by temperature predicted using a smooth trigonometric function, POP</w:t>
      </w:r>
      <w:r>
        <w:rPr>
          <w:vertAlign w:val="subscript"/>
        </w:rPr>
        <w:t>W</w:t>
      </w:r>
      <w:r>
        <w:rPr/>
        <w:t xml:space="preserve"> was largely driven by daily changes in depth and sinking from the water column (Figure 2-25).</w:t>
      </w:r>
    </w:p>
    <w:p>
      <w:pPr>
        <w:pStyle w:val="Normal"/>
        <w:rPr/>
      </w:pPr>
      <w:r>
        <w:rPr/>
        <w:t>The average model P concentrations more closely resembled the targets from STA-2 FW1 (Table 2-19) following the series of calibration steps. The series of calibration steps Model averages for P</w:t>
      </w:r>
      <w:r>
        <w:rPr>
          <w:vertAlign w:val="subscript"/>
        </w:rPr>
        <w:t>PHYTO</w:t>
      </w:r>
      <w:r>
        <w:rPr/>
        <w:t>, P</w:t>
      </w:r>
      <w:r>
        <w:rPr>
          <w:vertAlign w:val="subscript"/>
        </w:rPr>
        <w:t>EAVSH</w:t>
      </w:r>
      <w:r>
        <w:rPr/>
        <w:t>, P</w:t>
      </w:r>
      <w:r>
        <w:rPr>
          <w:vertAlign w:val="subscript"/>
        </w:rPr>
        <w:t>LITTER</w:t>
      </w:r>
      <w:r>
        <w:rPr/>
        <w:t>, P</w:t>
      </w:r>
      <w:r>
        <w:rPr>
          <w:vertAlign w:val="subscript"/>
        </w:rPr>
        <w:t>FLOC</w:t>
      </w:r>
      <w:r>
        <w:rPr/>
        <w:t>, P</w:t>
      </w:r>
      <w:r>
        <w:rPr>
          <w:vertAlign w:val="subscript"/>
        </w:rPr>
        <w:t>EAVRR</w:t>
      </w:r>
      <w:r>
        <w:rPr/>
        <w:t>, P</w:t>
      </w:r>
      <w:r>
        <w:rPr>
          <w:vertAlign w:val="subscript"/>
        </w:rPr>
        <w:t>SAV</w:t>
      </w:r>
      <w:r>
        <w:rPr/>
        <w:t>, POP</w:t>
      </w:r>
      <w:r>
        <w:rPr>
          <w:vertAlign w:val="subscript"/>
        </w:rPr>
        <w:t>S</w:t>
      </w:r>
      <w:r>
        <w:rPr/>
        <w:t>, DIP</w:t>
      </w:r>
      <w:r>
        <w:rPr>
          <w:vertAlign w:val="subscript"/>
        </w:rPr>
        <w:t>S</w:t>
      </w:r>
      <w:r>
        <w:rPr/>
        <w:t>, and PIP</w:t>
      </w:r>
      <w:r>
        <w:rPr>
          <w:vertAlign w:val="subscript"/>
        </w:rPr>
        <w:t>S</w:t>
      </w:r>
      <w:r>
        <w:rPr/>
        <w:t xml:space="preserve"> were very similar to the average target concentrations. The model periphyton (0.12 ± 0.02 g P m</w:t>
      </w:r>
      <w:r>
        <w:rPr>
          <w:vertAlign w:val="superscript"/>
        </w:rPr>
        <w:t>-2</w:t>
      </w:r>
      <w:r>
        <w:rPr/>
        <w:t>) was elevated relative to the empirical average although the periphyton community and biomass vary greatly along the longitudinal axis of the flow-way. While POP</w:t>
      </w:r>
      <w:r>
        <w:rPr>
          <w:vertAlign w:val="subscript"/>
        </w:rPr>
        <w:t>W</w:t>
      </w:r>
      <w:r>
        <w:rPr/>
        <w:t xml:space="preserve"> (0.0150 ± 0.0357 g P m</w:t>
      </w:r>
      <w:r>
        <w:rPr>
          <w:vertAlign w:val="superscript"/>
        </w:rPr>
        <w:t>-3</w:t>
      </w:r>
      <w:r>
        <w:rPr/>
        <w:t>) and DIP</w:t>
      </w:r>
      <w:r>
        <w:rPr>
          <w:vertAlign w:val="subscript"/>
        </w:rPr>
        <w:t>W</w:t>
      </w:r>
      <w:r>
        <w:rPr/>
        <w:t xml:space="preserve"> (0.0335 ± 0.0059 g P m</w:t>
      </w:r>
      <w:r>
        <w:rPr>
          <w:vertAlign w:val="superscript"/>
        </w:rPr>
        <w:t>-3</w:t>
      </w:r>
      <w:r>
        <w:rPr/>
        <w:t>) were similar to the target P concentrations, model DOP</w:t>
      </w:r>
      <w:r>
        <w:rPr>
          <w:vertAlign w:val="subscript"/>
        </w:rPr>
        <w:t>W</w:t>
      </w:r>
      <w:r>
        <w:rPr/>
        <w:t xml:space="preserve"> (0.0031 ± 0.0037 g P m</w:t>
      </w:r>
      <w:r>
        <w:rPr>
          <w:vertAlign w:val="superscript"/>
        </w:rPr>
        <w:t>-3</w:t>
      </w:r>
      <w:r>
        <w:rPr/>
        <w:t>) and PIP</w:t>
      </w:r>
      <w:r>
        <w:rPr>
          <w:vertAlign w:val="subscript"/>
        </w:rPr>
        <w:t>W</w:t>
      </w:r>
      <w:r>
        <w:rPr/>
        <w:t xml:space="preserve"> (0.0022 ± 0.0022 g P m</w:t>
      </w:r>
      <w:r>
        <w:rPr>
          <w:vertAlign w:val="superscript"/>
        </w:rPr>
        <w:noBreakHyphen/>
        <w:t>3</w:t>
      </w:r>
      <w:r>
        <w:rPr/>
        <w:t>) were greater than the data averages (Table 2-19). Model TP</w:t>
      </w:r>
      <w:r>
        <w:rPr>
          <w:vertAlign w:val="subscript"/>
        </w:rPr>
        <w:t>W</w:t>
      </w:r>
      <w:r>
        <w:rPr/>
        <w:t xml:space="preserve"> was calculated daily by summing each of the four constituents (POP</w:t>
      </w:r>
      <w:r>
        <w:rPr>
          <w:vertAlign w:val="subscript"/>
        </w:rPr>
        <w:t>W</w:t>
      </w:r>
      <w:r>
        <w:rPr/>
        <w:t>, DOP</w:t>
      </w:r>
      <w:r>
        <w:rPr>
          <w:vertAlign w:val="subscript"/>
        </w:rPr>
        <w:t>W</w:t>
      </w:r>
      <w:r>
        <w:rPr/>
        <w:t>, DIP</w:t>
      </w:r>
      <w:r>
        <w:rPr>
          <w:vertAlign w:val="subscript"/>
        </w:rPr>
        <w:t>W</w:t>
      </w:r>
      <w:r>
        <w:rPr/>
        <w:t>, PIP</w:t>
      </w:r>
      <w:r>
        <w:rPr>
          <w:vertAlign w:val="subscript"/>
        </w:rPr>
        <w:t>W</w:t>
      </w:r>
      <w:r>
        <w:rPr/>
        <w:t>) and averaged over the entire 5488-day simulation (0.0974 ± 0.0355 g P m</w:t>
      </w:r>
      <w:r>
        <w:rPr>
          <w:vertAlign w:val="superscript"/>
        </w:rPr>
        <w:t>-3</w:t>
      </w:r>
      <w:r>
        <w:rPr/>
        <w:t>; Table 2-19). Despite the redefined targets and parameter adjustments, soil DOP predicted by the model (0.62 ± 0.09 g P m</w:t>
      </w:r>
      <w:r>
        <w:rPr>
          <w:vertAlign w:val="superscript"/>
        </w:rPr>
        <w:t>-2</w:t>
      </w:r>
      <w:r>
        <w:rPr/>
        <w:t>) was approximately three times greater than expected (0.15 ± 0.12 g P m</w:t>
      </w:r>
      <w:r>
        <w:rPr>
          <w:vertAlign w:val="superscript"/>
        </w:rPr>
        <w:t>-2</w:t>
      </w:r>
      <w:r>
        <w:rPr/>
        <w:t xml:space="preserve">). DOP dynamics were perhaps the most uncertain processes in the BGC Model with implications for understanding potential responses to variable external TP loads (see below). </w:t>
      </w:r>
    </w:p>
    <w:p>
      <w:pPr>
        <w:pStyle w:val="Normal"/>
        <w:rPr/>
      </w:pPr>
      <w:r>
        <w:rPr/>
        <w:t>The average concentrations of POP</w:t>
      </w:r>
      <w:r>
        <w:rPr>
          <w:vertAlign w:val="subscript"/>
        </w:rPr>
        <w:t>W</w:t>
      </w:r>
      <w:r>
        <w:rPr/>
        <w:t>, DOP</w:t>
      </w:r>
      <w:r>
        <w:rPr>
          <w:vertAlign w:val="subscript"/>
        </w:rPr>
        <w:t>W</w:t>
      </w:r>
      <w:r>
        <w:rPr/>
        <w:t>, DIP</w:t>
      </w:r>
      <w:r>
        <w:rPr>
          <w:vertAlign w:val="subscript"/>
        </w:rPr>
        <w:t>W</w:t>
      </w:r>
      <w:r>
        <w:rPr/>
        <w:t>, PIP</w:t>
      </w:r>
      <w:r>
        <w:rPr>
          <w:vertAlign w:val="subscript"/>
        </w:rPr>
        <w:t>W</w:t>
      </w:r>
      <w:r>
        <w:rPr/>
        <w:t>, and TP</w:t>
      </w:r>
      <w:r>
        <w:rPr>
          <w:vertAlign w:val="subscript"/>
        </w:rPr>
        <w:t>W</w:t>
      </w:r>
      <w:r>
        <w:rPr/>
        <w:t xml:space="preserve"> were 0.026, 0.010, 0.024, 0.006, and 0.066 g P m</w:t>
      </w:r>
      <w:r>
        <w:rPr>
          <w:vertAlign w:val="superscript"/>
        </w:rPr>
        <w:t>-3</w:t>
      </w:r>
      <w:r>
        <w:rPr/>
        <w:t>, respectively (Table 2-20). POP</w:t>
      </w:r>
      <w:r>
        <w:rPr>
          <w:vertAlign w:val="subscript"/>
        </w:rPr>
        <w:t>W</w:t>
      </w:r>
      <w:r>
        <w:rPr/>
        <w:t xml:space="preserve"> had greater annual average concentrations for the first half of the model time period and was overall more variable than the other three constituents (0.026 ± 0.030 g P m</w:t>
      </w:r>
      <w:r>
        <w:rPr>
          <w:vertAlign w:val="superscript"/>
        </w:rPr>
        <w:t>-3</w:t>
      </w:r>
      <w:r>
        <w:rPr/>
        <w:t>). DOP</w:t>
      </w:r>
      <w:r>
        <w:rPr>
          <w:vertAlign w:val="subscript"/>
        </w:rPr>
        <w:t>W</w:t>
      </w:r>
      <w:r>
        <w:rPr/>
        <w:t xml:space="preserve"> (0.010 ± 0.003 g P m</w:t>
      </w:r>
      <w:r>
        <w:rPr>
          <w:vertAlign w:val="superscript"/>
        </w:rPr>
        <w:t>-3</w:t>
      </w:r>
      <w:r>
        <w:rPr/>
        <w:t>) and PIP</w:t>
      </w:r>
      <w:r>
        <w:rPr>
          <w:vertAlign w:val="subscript"/>
        </w:rPr>
        <w:t>W</w:t>
      </w:r>
      <w:r>
        <w:rPr/>
        <w:t xml:space="preserve"> (0.006 ± 0.002 g P m</w:t>
      </w:r>
      <w:r>
        <w:rPr>
          <w:vertAlign w:val="superscript"/>
        </w:rPr>
        <w:t>-3</w:t>
      </w:r>
      <w:r>
        <w:rPr/>
        <w:t>) did not vary greatly. Average annual DIP</w:t>
      </w:r>
      <w:r>
        <w:rPr>
          <w:vertAlign w:val="subscript"/>
        </w:rPr>
        <w:t>W</w:t>
      </w:r>
      <w:r>
        <w:rPr/>
        <w:t xml:space="preserve"> ranged from 0.019 ± 0.008 g P m</w:t>
      </w:r>
      <w:r>
        <w:rPr>
          <w:vertAlign w:val="superscript"/>
        </w:rPr>
        <w:t>-3</w:t>
      </w:r>
      <w:r>
        <w:rPr/>
        <w:t xml:space="preserve"> (WY2009 and WY2011) to 0.046 ± 0.003 g P m</w:t>
      </w:r>
      <w:r>
        <w:rPr>
          <w:vertAlign w:val="superscript"/>
        </w:rPr>
        <w:t>-3</w:t>
      </w:r>
      <w:r>
        <w:rPr/>
        <w:t xml:space="preserve"> (WY2015). TP</w:t>
      </w:r>
      <w:r>
        <w:rPr>
          <w:vertAlign w:val="subscript"/>
        </w:rPr>
        <w:t>W</w:t>
      </w:r>
      <w:r>
        <w:rPr/>
        <w:t xml:space="preserve"> concentrations ranged from a minimum of 0.040 ± 0.011 g P m</w:t>
      </w:r>
      <w:r>
        <w:rPr>
          <w:vertAlign w:val="superscript"/>
        </w:rPr>
        <w:t>-3</w:t>
      </w:r>
      <w:r>
        <w:rPr/>
        <w:t xml:space="preserve"> (WY2016) to 0.118 ± 0.085 g P m</w:t>
      </w:r>
      <w:r>
        <w:rPr>
          <w:vertAlign w:val="superscript"/>
        </w:rPr>
        <w:t>-3</w:t>
      </w:r>
      <w:r>
        <w:rPr/>
        <w:t xml:space="preserve"> (WY2009) when the POPW concentration was greatest (0.084 ± 0.091 g P m</w:t>
      </w:r>
      <w:r>
        <w:rPr>
          <w:vertAlign w:val="superscript"/>
        </w:rPr>
        <w:t>-3</w:t>
      </w:r>
      <w:r>
        <w:rPr/>
        <w:t xml:space="preserve">; Table 2-20). </w:t>
      </w:r>
    </w:p>
    <w:p>
      <w:pPr>
        <w:pStyle w:val="Normal"/>
        <w:rPr/>
      </w:pPr>
      <w:r>
        <w:rPr/>
        <w:t>The model TP</w:t>
      </w:r>
      <w:r>
        <w:rPr>
          <w:vertAlign w:val="subscript"/>
        </w:rPr>
        <w:t>W</w:t>
      </w:r>
      <w:r>
        <w:rPr/>
        <w:t xml:space="preserve"> concentrations had wide and skewed distributions in multiple water years leading up to WY2011 (Figure 2-26A). Except for WY2015 and WY2018, the ranges in predicted internal TP</w:t>
      </w:r>
      <w:r>
        <w:rPr>
          <w:vertAlign w:val="subscript"/>
        </w:rPr>
        <w:t>W</w:t>
      </w:r>
      <w:r>
        <w:rPr/>
        <w:t xml:space="preserve"> narrowed and declined over time. This was due to the stabilization of depth and POP</w:t>
      </w:r>
      <w:r>
        <w:rPr>
          <w:vertAlign w:val="subscript"/>
        </w:rPr>
        <w:t>W</w:t>
      </w:r>
      <w:r>
        <w:rPr/>
        <w:t xml:space="preserve"> concentrations in the Validation period from 2013-2020 (Figure 2-9; Figure 2-25). Average TP</w:t>
      </w:r>
      <w:r>
        <w:rPr>
          <w:vertAlign w:val="subscript"/>
        </w:rPr>
        <w:t>W</w:t>
      </w:r>
      <w:r>
        <w:rPr/>
        <w:t xml:space="preserve"> was least (&lt;0.06 g P m</w:t>
      </w:r>
      <w:r>
        <w:rPr>
          <w:vertAlign w:val="superscript"/>
        </w:rPr>
        <w:t>-3</w:t>
      </w:r>
      <w:r>
        <w:rPr/>
        <w:t>) in WY2006, WY2011, WY2014, WY2016, and WY2017 (Figure 28B). In contrast, TP</w:t>
      </w:r>
      <w:r>
        <w:rPr>
          <w:vertAlign w:val="subscript"/>
        </w:rPr>
        <w:t>W</w:t>
      </w:r>
      <w:r>
        <w:rPr/>
        <w:t xml:space="preserve"> was greatest (&gt;0.10 g P m</w:t>
      </w:r>
      <w:r>
        <w:rPr>
          <w:vertAlign w:val="superscript"/>
        </w:rPr>
        <w:t>-3</w:t>
      </w:r>
      <w:r>
        <w:rPr/>
        <w:t>) in WY2008, WY2009, WY2011, WY2015, and WY2018. It was evaluated relative to hydrologic variables and TP loading to the model flow-way.</w:t>
      </w:r>
    </w:p>
    <w:p>
      <w:pPr>
        <w:pStyle w:val="Normal"/>
        <w:rPr/>
      </w:pPr>
      <w:r>
        <w:rPr/>
        <w:t>The output from the base BGC Model over 15 water years was used to assess the inter-annual variations in and potential correlations among Q</w:t>
      </w:r>
      <w:r>
        <w:rPr>
          <w:vertAlign w:val="subscript"/>
        </w:rPr>
        <w:t>TP</w:t>
      </w:r>
      <w:r>
        <w:rPr/>
        <w:t xml:space="preserve"> inflow and outflow (g P m</w:t>
      </w:r>
      <w:r>
        <w:rPr>
          <w:vertAlign w:val="superscript"/>
        </w:rPr>
        <w:t>-2</w:t>
      </w:r>
      <w:r>
        <w:rPr/>
        <w:t xml:space="preserve"> y</w:t>
      </w:r>
      <w:r>
        <w:rPr>
          <w:vertAlign w:val="superscript"/>
        </w:rPr>
        <w:t>-1</w:t>
      </w:r>
      <w:r>
        <w:rPr/>
        <w:t>), TP</w:t>
      </w:r>
      <w:r>
        <w:rPr>
          <w:vertAlign w:val="subscript"/>
        </w:rPr>
        <w:t>W</w:t>
      </w:r>
      <w:r>
        <w:rPr/>
        <w:t xml:space="preserve"> (g P m</w:t>
      </w:r>
      <w:r>
        <w:rPr>
          <w:vertAlign w:val="superscript"/>
        </w:rPr>
        <w:t>-3</w:t>
      </w:r>
      <w:r>
        <w:rPr/>
        <w:t>), depth (m), hydraulic loading rate (HLR; m d</w:t>
      </w:r>
      <w:r>
        <w:rPr>
          <w:vertAlign w:val="superscript"/>
        </w:rPr>
        <w:t>-1</w:t>
      </w:r>
      <w:r>
        <w:rPr/>
        <w:t>), the percentage of Q</w:t>
      </w:r>
      <w:r>
        <w:rPr>
          <w:vertAlign w:val="subscript"/>
        </w:rPr>
        <w:t>TP</w:t>
      </w:r>
      <w:r>
        <w:rPr/>
        <w:t xml:space="preserve"> removed by the flow-way, and TP</w:t>
      </w:r>
      <w:r>
        <w:rPr>
          <w:vertAlign w:val="subscript"/>
        </w:rPr>
        <w:t>W</w:t>
      </w:r>
      <w:r>
        <w:rPr/>
        <w:t xml:space="preserve"> ( g P m</w:t>
      </w:r>
      <w:r>
        <w:rPr>
          <w:vertAlign w:val="superscript"/>
        </w:rPr>
        <w:t>-3</w:t>
      </w:r>
      <w:r>
        <w:rPr/>
        <w:t>; Figure 2-26B; Table 2-21). [TP]</w:t>
      </w:r>
      <w:r>
        <w:rPr>
          <w:vertAlign w:val="subscript"/>
        </w:rPr>
        <w:t>OUT</w:t>
      </w:r>
      <w:r>
        <w:rPr/>
        <w:t xml:space="preserve"> (g P m</w:t>
      </w:r>
      <w:r>
        <w:rPr>
          <w:vertAlign w:val="superscript"/>
        </w:rPr>
        <w:t>-3</w:t>
      </w:r>
      <w:r>
        <w:rPr/>
        <w:t>) was also calculated using the observations from outflow structure G335 for each water year by dividing the annual net outgoing TP load (Q</w:t>
      </w:r>
      <w:r>
        <w:rPr>
          <w:vertAlign w:val="subscript"/>
        </w:rPr>
        <w:t>TPOUT</w:t>
      </w:r>
      <w:r>
        <w:rPr/>
        <w:t>; P m</w:t>
      </w:r>
      <w:r>
        <w:rPr>
          <w:vertAlign w:val="superscript"/>
        </w:rPr>
        <w:t>-3</w:t>
      </w:r>
      <w:r>
        <w:rPr/>
        <w:t xml:space="preserve"> y</w:t>
      </w:r>
      <w:r>
        <w:rPr>
          <w:vertAlign w:val="superscript"/>
        </w:rPr>
        <w:t>-1</w:t>
      </w:r>
      <w:r>
        <w:rPr/>
        <w:t>) by the annual net outflow (Q</w:t>
      </w:r>
      <w:r>
        <w:rPr>
          <w:vertAlign w:val="subscript"/>
        </w:rPr>
        <w:t>OUT</w:t>
      </w:r>
      <w:r>
        <w:rPr/>
        <w:t>; m</w:t>
      </w:r>
      <w:r>
        <w:rPr>
          <w:vertAlign w:val="superscript"/>
        </w:rPr>
        <w:t>-3</w:t>
      </w:r>
      <w:r>
        <w:rPr/>
        <w:t xml:space="preserve"> y</w:t>
      </w:r>
      <w:r>
        <w:rPr>
          <w:vertAlign w:val="superscript"/>
        </w:rPr>
        <w:t>-1</w:t>
      </w:r>
      <w:r>
        <w:rPr/>
        <w:t>). Associations among these variables could be used to help optimize TP removal by STA flow-ways and cells.</w:t>
      </w:r>
    </w:p>
    <w:p>
      <w:pPr>
        <w:pStyle w:val="Normal"/>
        <w:rPr/>
      </w:pPr>
      <w:r>
        <w:rPr/>
        <w:t>The maintenance of flow-way depth ~0.5 m promoted more predictable relationships among Q</w:t>
      </w:r>
      <w:r>
        <w:rPr>
          <w:vertAlign w:val="subscript"/>
        </w:rPr>
        <w:t>TP</w:t>
      </w:r>
      <w:r>
        <w:rPr/>
        <w:t>, HLR, and TP</w:t>
      </w:r>
      <w:r>
        <w:rPr>
          <w:vertAlign w:val="subscript"/>
        </w:rPr>
        <w:t>W</w:t>
      </w:r>
      <w:r>
        <w:rPr/>
        <w:t xml:space="preserve"> (Figure 2-26B). While the average annual h</w:t>
      </w:r>
      <w:r>
        <w:rPr>
          <w:vertAlign w:val="subscript"/>
        </w:rPr>
        <w:t>MOD</w:t>
      </w:r>
      <w:r>
        <w:rPr/>
        <w:t xml:space="preserve"> started at 0.46 m in WY2006, it was reduced until WY2012 (Table 2-21). The average HLR generally tracked the inter-annual fluctuations in depth during the first half of the simulation. The model flow-way removed only 58-63% of the annual TP load from WY2007=WY2012. The concentrations for both the internal water column TP concentrations (TP</w:t>
      </w:r>
      <w:r>
        <w:rPr>
          <w:vertAlign w:val="subscript"/>
        </w:rPr>
        <w:t>W</w:t>
      </w:r>
      <w:r>
        <w:rPr/>
        <w:t>; 0.074-0.118 g P m</w:t>
      </w:r>
      <w:r>
        <w:rPr>
          <w:vertAlign w:val="superscript"/>
        </w:rPr>
        <w:t>-3</w:t>
      </w:r>
      <w:r>
        <w:rPr/>
        <w:t>) and the outflow TP concentration ([TP]</w:t>
      </w:r>
      <w:r>
        <w:rPr>
          <w:vertAlign w:val="subscript"/>
        </w:rPr>
        <w:t>OUT</w:t>
      </w:r>
      <w:r>
        <w:rPr/>
        <w:t>; 0.009-0.021 g P m</w:t>
      </w:r>
      <w:r>
        <w:rPr>
          <w:vertAlign w:val="superscript"/>
        </w:rPr>
        <w:t>-3</w:t>
      </w:r>
      <w:r>
        <w:rPr/>
        <w:t>) were elevated during this time (Table 2-21). Annual average depth was greater during the second half of the simulation period. Except for two high loading  years (WY2015 and WY2018), the flow-way removed 84-89% of the Q</w:t>
      </w:r>
      <w:r>
        <w:rPr>
          <w:vertAlign w:val="subscript"/>
        </w:rPr>
        <w:t>TP</w:t>
      </w:r>
      <w:r>
        <w:rPr/>
        <w:t xml:space="preserve"> (Figure 2-26B). Q</w:t>
      </w:r>
      <w:r>
        <w:rPr>
          <w:vertAlign w:val="subscript"/>
        </w:rPr>
        <w:t>TP</w:t>
      </w:r>
      <w:r>
        <w:rPr/>
        <w:t>, HLR, and TPW were more closely aligned from WY2014-WY2020. It appears that the model flow-way performance (greatest removal and lowest TPW) was optimal when h</w:t>
      </w:r>
      <w:r>
        <w:rPr>
          <w:vertAlign w:val="subscript"/>
        </w:rPr>
        <w:t>MOD</w:t>
      </w:r>
      <w:r>
        <w:rPr/>
        <w:t xml:space="preserve"> and Q</w:t>
      </w:r>
      <w:r>
        <w:rPr>
          <w:vertAlign w:val="subscript"/>
        </w:rPr>
        <w:t>TP</w:t>
      </w:r>
      <w:r>
        <w:rPr/>
        <w:t xml:space="preserve"> were 0.5 and HLR was 0.03. The BGC Model provided a platform to assess relationships between external TP loading (Q</w:t>
      </w:r>
      <w:r>
        <w:rPr>
          <w:vertAlign w:val="subscript"/>
        </w:rPr>
        <w:t>TP</w:t>
      </w:r>
      <w:r>
        <w:rPr/>
        <w:t>) and the resulting T</w:t>
      </w:r>
      <w:r>
        <w:rPr>
          <w:vertAlign w:val="subscript"/>
        </w:rPr>
        <w:t>PW</w:t>
      </w:r>
      <w:r>
        <w:rPr/>
        <w:t xml:space="preserve"> and [TP]</w:t>
      </w:r>
      <w:r>
        <w:rPr>
          <w:vertAlign w:val="subscript"/>
        </w:rPr>
        <w:t>OUT</w:t>
      </w:r>
      <w:r>
        <w:rPr/>
        <w:t xml:space="preserve">. </w:t>
      </w:r>
    </w:p>
    <w:p>
      <w:pPr>
        <w:pStyle w:val="Normal"/>
        <w:rPr/>
      </w:pPr>
      <w:r>
        <w:rPr/>
        <w:t>The assessments between QTP and TP concentrations led to a final calibration series to better understand and apply the results of the BGC Model. Linear regressions between the average annual TP loads and the resulting internal and outflow TP concentrations were applied (Figure 2-27). The Phase III BGC Model predicted that the TP concentrations generally increased linearly with Q</w:t>
      </w:r>
      <w:r>
        <w:rPr>
          <w:vertAlign w:val="subscript"/>
        </w:rPr>
        <w:t>TP</w:t>
      </w:r>
      <w:r>
        <w:rPr/>
        <w:t>. This result was expected based on the patterns in the multiple variable time series (Figure 2-26B). In particular, all three variables tracked during the second half of the simulation time. However, the thorough calibration and testing pointed to the rate of soil DOP efflux (k</w:t>
      </w:r>
      <w:r>
        <w:rPr>
          <w:vertAlign w:val="subscript"/>
        </w:rPr>
        <w:t>DOPSWX</w:t>
      </w:r>
      <w:r>
        <w:rPr/>
        <w:t>) as perhaps the most pivotal parameter in the BGC Model. TP</w:t>
      </w:r>
      <w:r>
        <w:rPr>
          <w:vertAlign w:val="subscript"/>
        </w:rPr>
        <w:t>W</w:t>
      </w:r>
      <w:r>
        <w:rPr/>
        <w:t xml:space="preserve"> and [TP]</w:t>
      </w:r>
      <w:r>
        <w:rPr>
          <w:vertAlign w:val="subscript"/>
        </w:rPr>
        <w:t>OUT</w:t>
      </w:r>
      <w:r>
        <w:rPr/>
        <w:t xml:space="preserve"> increased non-linearly with greater values for k</w:t>
      </w:r>
      <w:r>
        <w:rPr>
          <w:vertAlign w:val="subscript"/>
        </w:rPr>
        <w:t>DOPSWX</w:t>
      </w:r>
      <w:r>
        <w:rPr/>
        <w:t xml:space="preserve"> (Figure 2-18E and Figure 2-24). Moreover, there was added uncertainty regarding DOP processes since the data and targets for soil DOP and DIP were extremely variable and the model generally overestimated soil dissolved concentrations. Thus, simulations and regressions were performed for three different values of k</w:t>
      </w:r>
      <w:r>
        <w:rPr>
          <w:vertAlign w:val="subscript"/>
        </w:rPr>
        <w:t>DOPSWX</w:t>
      </w:r>
      <w:r>
        <w:rPr/>
        <w:t xml:space="preserve"> (0.001, 0.003, 0.005 d-1; Figure 2-27). The comparative results indicated that increased rates of soil DOP efflux led to a more robust statistical relationship between Q</w:t>
      </w:r>
      <w:r>
        <w:rPr>
          <w:vertAlign w:val="subscript"/>
        </w:rPr>
        <w:t>TP</w:t>
      </w:r>
      <w:r>
        <w:rPr/>
        <w:t xml:space="preserve"> and TPW and [TP]</w:t>
      </w:r>
      <w:r>
        <w:rPr>
          <w:vertAlign w:val="subscript"/>
        </w:rPr>
        <w:t>OUT</w:t>
      </w:r>
      <w:r>
        <w:rPr/>
        <w:t>. While TP</w:t>
      </w:r>
      <w:r>
        <w:rPr>
          <w:vertAlign w:val="subscript"/>
        </w:rPr>
        <w:t>W</w:t>
      </w:r>
      <w:r>
        <w:rPr/>
        <w:t xml:space="preserve"> was not associated with increased TP loading at the lowest value of k</w:t>
      </w:r>
      <w:r>
        <w:rPr>
          <w:vertAlign w:val="subscript"/>
        </w:rPr>
        <w:t>DOPSWX</w:t>
      </w:r>
      <w:r>
        <w:rPr/>
        <w:t xml:space="preserve"> (0.001 d</w:t>
      </w:r>
      <w:r>
        <w:rPr>
          <w:vertAlign w:val="superscript"/>
        </w:rPr>
        <w:t>-1</w:t>
      </w:r>
      <w:r>
        <w:rPr/>
        <w:t>), the model results suggested that [TP]</w:t>
      </w:r>
      <w:r>
        <w:rPr>
          <w:vertAlign w:val="subscript"/>
        </w:rPr>
        <w:t>OUT</w:t>
      </w:r>
      <w:r>
        <w:rPr/>
        <w:t xml:space="preserve"> was responsive when soil DOP efflux was minimal. </w:t>
      </w:r>
    </w:p>
    <w:p>
      <w:pPr>
        <w:pStyle w:val="Normal"/>
        <w:keepNext w:val="true"/>
        <w:numPr>
          <w:ilvl w:val="1"/>
          <w:numId w:val="1"/>
        </w:numPr>
        <w:spacing w:before="180" w:after="60"/>
        <w:jc w:val="left"/>
        <w:outlineLvl w:val="1"/>
        <w:rPr>
          <w:rFonts w:ascii="Arial" w:hAnsi="Arial"/>
          <w:b/>
          <w:color w:themeColor="text1" w:val="000000"/>
          <w:sz w:val="24"/>
        </w:rPr>
      </w:pPr>
      <w:bookmarkStart w:id="205" w:name="_Toc182252530"/>
      <w:r>
        <w:rPr>
          <w:rFonts w:ascii="Arial" w:hAnsi="Arial"/>
          <w:b/>
          <w:color w:themeColor="text1" w:val="000000"/>
          <w:sz w:val="24"/>
        </w:rPr>
        <w:t>CASM-STA Management Implications</w:t>
      </w:r>
      <w:bookmarkEnd w:id="205"/>
      <w:r>
        <w:rPr>
          <w:rFonts w:ascii="Arial" w:hAnsi="Arial"/>
          <w:b/>
          <w:color w:themeColor="text1" w:val="000000"/>
          <w:sz w:val="24"/>
        </w:rPr>
        <w:t xml:space="preserve"> </w:t>
      </w:r>
    </w:p>
    <w:p>
      <w:pPr>
        <w:pStyle w:val="Normal"/>
        <w:keepNext w:val="true"/>
        <w:numPr>
          <w:ilvl w:val="2"/>
          <w:numId w:val="1"/>
        </w:numPr>
        <w:spacing w:before="120" w:after="120"/>
        <w:jc w:val="left"/>
        <w:outlineLvl w:val="2"/>
        <w:rPr>
          <w:bCs/>
          <w:i/>
          <w:i/>
          <w:color w:themeColor="accent1" w:themeShade="bf" w:val="2E74B5"/>
          <w:szCs w:val="22"/>
        </w:rPr>
      </w:pPr>
      <w:bookmarkStart w:id="206" w:name="_Toc182252531"/>
      <w:r>
        <w:rPr>
          <w:bCs/>
          <w:i/>
          <w:color w:themeColor="accent1" w:themeShade="bf" w:val="2E74B5"/>
          <w:szCs w:val="22"/>
        </w:rPr>
        <w:t>TP loadings</w:t>
      </w:r>
      <w:bookmarkEnd w:id="206"/>
    </w:p>
    <w:p>
      <w:pPr>
        <w:pStyle w:val="Normal"/>
        <w:rPr/>
      </w:pPr>
      <w:r>
        <w:rPr/>
        <w:t xml:space="preserve">A key motivation for undertaking the development of the CASM-STA was to provide a process-level model that could be used to explore the possible outcomes of management actions used to affect the performance of the STAs in relation to meeting the WQBEL. One likely management is controlling the input of P into the STAs with the expectation that the treatment wetlands would correspondingly reduce output P concentrations. The results of the CASM-STA suggest that on average 63% of the input P is retained in the soil P pools, primarily in the PIPs and deep sediments (burial). This value ranged from 20-98% depending on the model year (2005-2020). </w:t>
      </w:r>
    </w:p>
    <w:p>
      <w:pPr>
        <w:pStyle w:val="Normal"/>
        <w:rPr/>
      </w:pPr>
      <w:r>
        <w:rPr/>
        <w:t>The calibrated results indicate that the modeled STA-2 is highly efficient in retaining input P (Table 4-1). The flow-weighted mean (FWM) input concentrations (TP in) were computed as the total reported P mass entering segment A divided by the reported total FW1 flow for the modeled years. The FWM values of TP out were computed as the CASM-STA modeled mass of TP leaving segment C divided by the corresponding modeled volume a segment C. The corresponding CASM-STA mass flows (g P/m</w:t>
      </w:r>
      <w:r>
        <w:rPr>
          <w:vertAlign w:val="superscript"/>
        </w:rPr>
        <w:t>2</w:t>
      </w:r>
      <w:r>
        <w:rPr/>
        <w:t xml:space="preserve">/y) for TP in (input to segment A) and TP out (outflow from segment C) were summarized and used to compute annual retention efficiencies for the modeled years (Table 4-1). The average retention efficiency over the 2005-2020 period was 77% compared to reported efficiencies on the order of 87%.   </w:t>
      </w:r>
    </w:p>
    <w:p>
      <w:pPr>
        <w:pStyle w:val="Normal"/>
        <w:rPr/>
      </w:pPr>
      <w:r>
        <w:rPr/>
      </w:r>
    </w:p>
    <w:p>
      <w:pPr>
        <w:pStyle w:val="Normal"/>
        <w:rPr/>
      </w:pPr>
      <w:r>
        <w:rPr/>
      </w:r>
    </w:p>
    <w:p>
      <w:pPr>
        <w:pStyle w:val="Normal"/>
        <w:rPr/>
      </w:pPr>
      <w:r>
        <w:rPr/>
      </w:r>
    </w:p>
    <w:p>
      <w:pPr>
        <w:pStyle w:val="Normal"/>
        <w:rPr/>
      </w:pPr>
      <w:r>
        <w:rPr/>
      </w:r>
    </w:p>
    <w:p>
      <w:pPr>
        <w:pStyle w:val="Caption"/>
        <w:rPr/>
      </w:pPr>
      <w:bookmarkStart w:id="207" w:name="_Toc182250949"/>
      <w:r>
        <w:rPr/>
        <w:t xml:space="preserve">Table </w:t>
      </w:r>
      <w:r>
        <w:rPr/>
        <w:fldChar w:fldCharType="begin"/>
      </w:r>
      <w:r>
        <w:rPr/>
        <w:instrText xml:space="preserve"> STYLEREF "1" </w:instrText>
      </w:r>
      <w:r>
        <w:rPr/>
        <w:fldChar w:fldCharType="separate"/>
      </w:r>
      <w:r>
        <w:rPr/>
        <w:t>Conclusions and Management implications</w:t>
      </w:r>
      <w:r>
        <w:rPr/>
        <w:fldChar w:fldCharType="end"/>
      </w:r>
      <w:r>
        <w:rPr/>
        <w:noBreakHyphen/>
      </w:r>
      <w:r>
        <w:rPr/>
        <w:fldChar w:fldCharType="begin"/>
      </w:r>
      <w:r>
        <w:rPr/>
        <w:instrText xml:space="preserve"> SEQ Table \* ARABIC </w:instrText>
      </w:r>
      <w:r>
        <w:rPr/>
        <w:fldChar w:fldCharType="separate"/>
      </w:r>
      <w:r>
        <w:rPr/>
        <w:t>40</w:t>
      </w:r>
      <w:r>
        <w:rPr/>
        <w:fldChar w:fldCharType="end"/>
      </w:r>
      <w:r>
        <w:rPr/>
        <w:t>. Flow-weighted mean (FWM) concentrations and mass flux of TP in and TP out in FW1 and corresponding retention efficiencies.</w:t>
      </w:r>
      <w:bookmarkEnd w:id="207"/>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88"/>
        <w:gridCol w:w="1800"/>
        <w:gridCol w:w="1619"/>
        <w:gridCol w:w="1891"/>
        <w:gridCol w:w="1426"/>
        <w:gridCol w:w="1425"/>
      </w:tblGrid>
      <w:tr>
        <w:trPr/>
        <w:tc>
          <w:tcPr>
            <w:tcW w:w="1188" w:type="dxa"/>
            <w:tcBorders/>
          </w:tcPr>
          <w:p>
            <w:pPr>
              <w:pStyle w:val="Normal"/>
              <w:widowControl w:val="false"/>
              <w:spacing w:before="0" w:after="120"/>
              <w:jc w:val="center"/>
              <w:rPr>
                <w:rFonts w:ascii="Calibri" w:hAnsi="Calibri" w:cs="Calibri"/>
                <w:b/>
                <w:bCs/>
              </w:rPr>
            </w:pPr>
            <w:r>
              <w:rPr>
                <w:rFonts w:eastAsia="Times New Roman" w:cs="Calibri" w:ascii="Calibri" w:hAnsi="Calibri"/>
                <w:b/>
                <w:bCs/>
                <w:kern w:val="0"/>
                <w:szCs w:val="20"/>
                <w:lang w:val="en-US" w:eastAsia="en-US" w:bidi="ar-SA"/>
              </w:rPr>
            </w:r>
          </w:p>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2"/>
                <w:lang w:val="en-US" w:eastAsia="en-US" w:bidi="ar-SA"/>
              </w:rPr>
              <w:t>Year</w:t>
            </w:r>
          </w:p>
        </w:tc>
        <w:tc>
          <w:tcPr>
            <w:tcW w:w="1800" w:type="dxa"/>
            <w:tcBorders/>
          </w:tcPr>
          <w:p>
            <w:pPr>
              <w:pStyle w:val="Normal"/>
              <w:widowControl w:val="false"/>
              <w:spacing w:before="0" w:after="120"/>
              <w:jc w:val="center"/>
              <w:rPr>
                <w:rFonts w:ascii="Calibri" w:hAnsi="Calibri" w:cs="Calibri"/>
                <w:b/>
                <w:bCs/>
              </w:rPr>
            </w:pPr>
            <w:r>
              <w:rPr>
                <w:rFonts w:eastAsia="Times New Roman" w:cs="Calibri" w:ascii="Calibri" w:hAnsi="Calibri"/>
                <w:b/>
                <w:bCs/>
                <w:kern w:val="0"/>
                <w:szCs w:val="20"/>
                <w:lang w:val="en-US" w:eastAsia="en-US" w:bidi="ar-SA"/>
              </w:rPr>
            </w:r>
          </w:p>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0"/>
                <w:lang w:val="en-US" w:eastAsia="en-US" w:bidi="ar-SA"/>
              </w:rPr>
              <w:t xml:space="preserve">FWM </w:t>
            </w:r>
            <w:r>
              <w:rPr>
                <w:rFonts w:eastAsia="Times New Roman" w:cs="Calibri" w:ascii="Calibri" w:hAnsi="Calibri"/>
                <w:b/>
                <w:bCs/>
                <w:kern w:val="0"/>
                <w:szCs w:val="22"/>
                <w:lang w:val="en-US" w:eastAsia="en-US" w:bidi="ar-SA"/>
              </w:rPr>
              <w:t>TP in</w:t>
            </w:r>
          </w:p>
        </w:tc>
        <w:tc>
          <w:tcPr>
            <w:tcW w:w="1619" w:type="dxa"/>
            <w:tcBorders/>
          </w:tcPr>
          <w:p>
            <w:pPr>
              <w:pStyle w:val="Normal"/>
              <w:widowControl w:val="false"/>
              <w:spacing w:before="0" w:after="120"/>
              <w:jc w:val="center"/>
              <w:rPr>
                <w:rFonts w:ascii="Calibri" w:hAnsi="Calibri" w:cs="Calibri"/>
                <w:b/>
                <w:bCs/>
              </w:rPr>
            </w:pPr>
            <w:r>
              <w:rPr>
                <w:rFonts w:eastAsia="Times New Roman" w:cs="Calibri" w:ascii="Calibri" w:hAnsi="Calibri"/>
                <w:b/>
                <w:bCs/>
                <w:kern w:val="0"/>
                <w:szCs w:val="20"/>
                <w:lang w:val="en-US" w:eastAsia="en-US" w:bidi="ar-SA"/>
              </w:rPr>
            </w:r>
          </w:p>
          <w:p>
            <w:pPr>
              <w:pStyle w:val="Normal"/>
              <w:widowControl w:val="false"/>
              <w:spacing w:before="0" w:after="120"/>
              <w:jc w:val="center"/>
              <w:rPr>
                <w:rFonts w:ascii="Calibri" w:hAnsi="Calibri" w:cs="Calibri"/>
                <w:b/>
                <w:bCs/>
                <w:szCs w:val="22"/>
              </w:rPr>
            </w:pPr>
            <w:r>
              <w:rPr>
                <w:rFonts w:eastAsia="Times New Roman" w:cs="Calibri" w:ascii="Calibri" w:hAnsi="Calibri"/>
                <w:b/>
                <w:bCs/>
                <w:kern w:val="0"/>
                <w:szCs w:val="20"/>
                <w:lang w:val="en-US" w:eastAsia="en-US" w:bidi="ar-SA"/>
              </w:rPr>
              <w:t xml:space="preserve">FWM </w:t>
            </w:r>
            <w:r>
              <w:rPr>
                <w:rFonts w:eastAsia="Times New Roman" w:cs="Calibri" w:ascii="Calibri" w:hAnsi="Calibri"/>
                <w:b/>
                <w:bCs/>
                <w:kern w:val="0"/>
                <w:szCs w:val="22"/>
                <w:lang w:val="en-US" w:eastAsia="en-US" w:bidi="ar-SA"/>
              </w:rPr>
              <w:t>TP out</w:t>
            </w:r>
          </w:p>
        </w:tc>
        <w:tc>
          <w:tcPr>
            <w:tcW w:w="1891" w:type="dxa"/>
            <w:tcBorders/>
          </w:tcPr>
          <w:p>
            <w:pPr>
              <w:pStyle w:val="Normal"/>
              <w:widowControl w:val="false"/>
              <w:spacing w:before="0" w:after="120"/>
              <w:jc w:val="center"/>
              <w:rPr>
                <w:rFonts w:ascii="Calibri" w:hAnsi="Calibri" w:cs="Calibri" w:asciiTheme="minorHAnsi" w:cstheme="minorHAnsi" w:hAnsiTheme="minorHAnsi"/>
                <w:b/>
                <w:bCs/>
                <w:szCs w:val="22"/>
              </w:rPr>
            </w:pPr>
            <w:r>
              <w:rPr>
                <w:rFonts w:eastAsia="Times New Roman" w:cs="Calibri" w:cstheme="minorHAnsi" w:ascii="Calibri" w:hAnsi="Calibri"/>
                <w:b/>
                <w:bCs/>
                <w:kern w:val="0"/>
                <w:szCs w:val="22"/>
                <w:lang w:val="en-US" w:eastAsia="en-US" w:bidi="ar-SA"/>
              </w:rPr>
            </w:r>
          </w:p>
          <w:p>
            <w:pPr>
              <w:pStyle w:val="Normal"/>
              <w:widowControl w:val="false"/>
              <w:spacing w:before="0" w:after="12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TP in</w:t>
            </w:r>
          </w:p>
        </w:tc>
        <w:tc>
          <w:tcPr>
            <w:tcW w:w="1426" w:type="dxa"/>
            <w:tcBorders/>
          </w:tcPr>
          <w:p>
            <w:pPr>
              <w:pStyle w:val="Normal"/>
              <w:widowControl w:val="false"/>
              <w:spacing w:before="0" w:after="120"/>
              <w:jc w:val="center"/>
              <w:rPr>
                <w:rFonts w:ascii="Calibri" w:hAnsi="Calibri" w:cs="Calibri" w:asciiTheme="minorHAnsi" w:cstheme="minorHAnsi" w:hAnsiTheme="minorHAnsi"/>
                <w:b/>
                <w:bCs/>
                <w:szCs w:val="22"/>
              </w:rPr>
            </w:pPr>
            <w:r>
              <w:rPr>
                <w:rFonts w:eastAsia="Times New Roman" w:cs="Calibri" w:cstheme="minorHAnsi" w:ascii="Calibri" w:hAnsi="Calibri"/>
                <w:b/>
                <w:bCs/>
                <w:kern w:val="0"/>
                <w:szCs w:val="22"/>
                <w:lang w:val="en-US" w:eastAsia="en-US" w:bidi="ar-SA"/>
              </w:rPr>
            </w:r>
          </w:p>
          <w:p>
            <w:pPr>
              <w:pStyle w:val="Normal"/>
              <w:widowControl w:val="false"/>
              <w:spacing w:before="0" w:after="12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TP out</w:t>
            </w:r>
          </w:p>
        </w:tc>
        <w:tc>
          <w:tcPr>
            <w:tcW w:w="1425" w:type="dxa"/>
            <w:tcBorders/>
          </w:tcPr>
          <w:p>
            <w:pPr>
              <w:pStyle w:val="Normal"/>
              <w:widowControl w:val="false"/>
              <w:spacing w:before="0" w:after="120"/>
              <w:jc w:val="center"/>
              <w:rPr>
                <w:rFonts w:ascii="Calibri" w:hAnsi="Calibri" w:cs="Calibri" w:asciiTheme="minorHAnsi" w:cstheme="minorHAnsi" w:hAnsiTheme="minorHAnsi"/>
                <w:b/>
                <w:bCs/>
                <w:szCs w:val="22"/>
              </w:rPr>
            </w:pPr>
            <w:r>
              <w:rPr>
                <w:rFonts w:eastAsia="Times New Roman" w:cs="Calibri" w:ascii="Calibri" w:hAnsi="Calibri" w:asciiTheme="minorHAnsi" w:cstheme="minorHAnsi" w:hAnsiTheme="minorHAnsi"/>
                <w:b/>
                <w:bCs/>
                <w:kern w:val="0"/>
                <w:szCs w:val="22"/>
                <w:lang w:val="en-US" w:eastAsia="en-US" w:bidi="ar-SA"/>
              </w:rPr>
              <w:t>Retention efficiency</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b/>
                <w:bCs/>
                <w:color w:val="000000"/>
                <w:szCs w:val="22"/>
              </w:rPr>
            </w:pPr>
            <w:r>
              <w:rPr>
                <w:rFonts w:eastAsia="Times New Roman" w:cs="Calibri" w:ascii="Calibri" w:hAnsi="Calibri"/>
                <w:b/>
                <w:bCs/>
                <w:color w:val="000000"/>
                <w:kern w:val="0"/>
                <w:szCs w:val="22"/>
                <w:lang w:val="en-US" w:eastAsia="en-US" w:bidi="ar-SA"/>
              </w:rPr>
            </w:r>
          </w:p>
        </w:tc>
        <w:tc>
          <w:tcPr>
            <w:tcW w:w="1800" w:type="dxa"/>
            <w:tcBorders/>
          </w:tcPr>
          <w:p>
            <w:pPr>
              <w:pStyle w:val="Normal"/>
              <w:widowControl w:val="false"/>
              <w:spacing w:lineRule="auto" w:line="240" w:before="0" w:after="0"/>
              <w:jc w:val="center"/>
              <w:rPr>
                <w:rFonts w:ascii="Calibri" w:hAnsi="Calibri" w:cs="Calibri"/>
                <w:b/>
                <w:bCs/>
                <w:color w:val="000000"/>
                <w:szCs w:val="22"/>
              </w:rPr>
            </w:pPr>
            <w:r>
              <w:rPr>
                <w:rFonts w:eastAsia="Times New Roman" w:cs="Calibri" w:ascii="Calibri" w:hAnsi="Calibri"/>
                <w:b/>
                <w:bCs/>
                <w:color w:val="000000"/>
                <w:kern w:val="0"/>
                <w:szCs w:val="22"/>
                <w:lang w:val="en-US" w:eastAsia="en-US" w:bidi="ar-SA"/>
              </w:rPr>
              <w:t xml:space="preserve"> </w:t>
            </w:r>
            <w:r>
              <w:rPr>
                <w:rFonts w:eastAsia="Times New Roman" w:cs="Calibri" w:ascii="Calibri" w:hAnsi="Calibri"/>
                <w:b/>
                <w:bCs/>
                <w:color w:val="000000"/>
                <w:kern w:val="0"/>
                <w:szCs w:val="22"/>
                <w:lang w:val="en-US" w:eastAsia="en-US" w:bidi="ar-SA"/>
              </w:rPr>
              <w:t>(g P/m</w:t>
            </w:r>
            <w:r>
              <w:rPr>
                <w:rFonts w:eastAsia="Times New Roman" w:cs="Calibri" w:ascii="Calibri" w:hAnsi="Calibri"/>
                <w:b/>
                <w:bCs/>
                <w:color w:val="000000"/>
                <w:kern w:val="0"/>
                <w:szCs w:val="22"/>
                <w:vertAlign w:val="superscript"/>
                <w:lang w:val="en-US" w:eastAsia="en-US" w:bidi="ar-SA"/>
              </w:rPr>
              <w:t>3</w:t>
            </w:r>
            <w:r>
              <w:rPr>
                <w:rFonts w:eastAsia="Times New Roman" w:cs="Calibri" w:ascii="Calibri" w:hAnsi="Calibri"/>
                <w:b/>
                <w:bCs/>
                <w:color w:val="000000"/>
                <w:kern w:val="0"/>
                <w:szCs w:val="22"/>
                <w:lang w:val="en-US" w:eastAsia="en-US" w:bidi="ar-SA"/>
              </w:rPr>
              <w:t>)</w:t>
            </w:r>
          </w:p>
        </w:tc>
        <w:tc>
          <w:tcPr>
            <w:tcW w:w="1619" w:type="dxa"/>
            <w:tcBorders/>
          </w:tcPr>
          <w:p>
            <w:pPr>
              <w:pStyle w:val="Normal"/>
              <w:widowControl w:val="false"/>
              <w:spacing w:lineRule="auto" w:line="240" w:before="0" w:after="0"/>
              <w:jc w:val="center"/>
              <w:rPr>
                <w:rFonts w:ascii="Calibri" w:hAnsi="Calibri" w:cs="Calibri"/>
                <w:b/>
                <w:bCs/>
                <w:color w:val="000000"/>
                <w:szCs w:val="22"/>
              </w:rPr>
            </w:pPr>
            <w:r>
              <w:rPr>
                <w:rFonts w:eastAsia="Times New Roman" w:cs="Calibri" w:ascii="Calibri" w:hAnsi="Calibri"/>
                <w:b/>
                <w:bCs/>
                <w:color w:val="000000"/>
                <w:kern w:val="0"/>
                <w:szCs w:val="22"/>
                <w:lang w:val="en-US" w:eastAsia="en-US" w:bidi="ar-SA"/>
              </w:rPr>
              <w:t>(g P/m</w:t>
            </w:r>
            <w:r>
              <w:rPr>
                <w:rFonts w:eastAsia="Times New Roman" w:cs="Calibri" w:ascii="Calibri" w:hAnsi="Calibri"/>
                <w:b/>
                <w:bCs/>
                <w:color w:val="000000"/>
                <w:kern w:val="0"/>
                <w:szCs w:val="22"/>
                <w:vertAlign w:val="superscript"/>
                <w:lang w:val="en-US" w:eastAsia="en-US" w:bidi="ar-SA"/>
              </w:rPr>
              <w:t>3</w:t>
            </w:r>
            <w:r>
              <w:rPr>
                <w:rFonts w:eastAsia="Times New Roman" w:cs="Calibri" w:ascii="Calibri" w:hAnsi="Calibri"/>
                <w:b/>
                <w:bCs/>
                <w:color w:val="000000"/>
                <w:kern w:val="0"/>
                <w:szCs w:val="22"/>
                <w:lang w:val="en-US" w:eastAsia="en-US" w:bidi="ar-SA"/>
              </w:rPr>
              <w:t>)</w:t>
            </w:r>
          </w:p>
        </w:tc>
        <w:tc>
          <w:tcPr>
            <w:tcW w:w="1891" w:type="dxa"/>
            <w:tcBorders/>
          </w:tcPr>
          <w:p>
            <w:pPr>
              <w:pStyle w:val="Normal"/>
              <w:widowControl w:val="false"/>
              <w:spacing w:lineRule="auto" w:line="240" w:before="0" w:after="0"/>
              <w:jc w:val="center"/>
              <w:rPr>
                <w:rFonts w:ascii="Calibri" w:hAnsi="Calibri" w:cs="Calibri" w:asciiTheme="minorHAnsi" w:cstheme="minorHAnsi" w:hAnsiTheme="minorHAnsi"/>
                <w:b/>
                <w:bCs/>
                <w:color w:val="000000"/>
                <w:szCs w:val="22"/>
              </w:rPr>
            </w:pPr>
            <w:r>
              <w:rPr>
                <w:rFonts w:eastAsia="Times New Roman" w:cs="Calibri" w:ascii="Calibri" w:hAnsi="Calibri" w:asciiTheme="minorHAnsi" w:cstheme="minorHAnsi" w:hAnsiTheme="minorHAnsi"/>
                <w:b/>
                <w:bCs/>
                <w:color w:val="000000"/>
                <w:kern w:val="0"/>
                <w:szCs w:val="22"/>
                <w:lang w:val="en-US" w:eastAsia="en-US" w:bidi="ar-SA"/>
              </w:rPr>
              <w:t xml:space="preserve"> </w:t>
            </w:r>
            <w:r>
              <w:rPr>
                <w:rFonts w:eastAsia="Times New Roman" w:cs="Calibri" w:ascii="Calibri" w:hAnsi="Calibri" w:asciiTheme="minorHAnsi" w:cstheme="minorHAnsi" w:hAnsiTheme="minorHAnsi"/>
                <w:b/>
                <w:bCs/>
                <w:color w:val="000000"/>
                <w:kern w:val="0"/>
                <w:szCs w:val="22"/>
                <w:lang w:val="en-US" w:eastAsia="en-US" w:bidi="ar-SA"/>
              </w:rPr>
              <w:t>(g P/m</w:t>
            </w:r>
            <w:r>
              <w:rPr>
                <w:rFonts w:eastAsia="Times New Roman" w:cs="Calibri" w:ascii="Calibri" w:hAnsi="Calibri" w:asciiTheme="minorHAnsi" w:cstheme="minorHAnsi" w:hAnsiTheme="minorHAnsi"/>
                <w:b/>
                <w:bCs/>
                <w:color w:val="000000"/>
                <w:kern w:val="0"/>
                <w:szCs w:val="22"/>
                <w:vertAlign w:val="superscript"/>
                <w:lang w:val="en-US" w:eastAsia="en-US" w:bidi="ar-SA"/>
              </w:rPr>
              <w:t>2</w:t>
            </w:r>
            <w:r>
              <w:rPr>
                <w:rFonts w:eastAsia="Times New Roman" w:cs="Calibri" w:ascii="Calibri" w:hAnsi="Calibri" w:asciiTheme="minorHAnsi" w:cstheme="minorHAnsi" w:hAnsiTheme="minorHAnsi"/>
                <w:b/>
                <w:bCs/>
                <w:color w:val="000000"/>
                <w:kern w:val="0"/>
                <w:szCs w:val="22"/>
                <w:lang w:val="en-US" w:eastAsia="en-US" w:bidi="ar-SA"/>
              </w:rPr>
              <w:t>/y)</w:t>
            </w:r>
          </w:p>
        </w:tc>
        <w:tc>
          <w:tcPr>
            <w:tcW w:w="1426" w:type="dxa"/>
            <w:tcBorders/>
          </w:tcPr>
          <w:p>
            <w:pPr>
              <w:pStyle w:val="Normal"/>
              <w:widowControl w:val="false"/>
              <w:spacing w:lineRule="auto" w:line="240" w:before="0" w:after="0"/>
              <w:jc w:val="center"/>
              <w:rPr>
                <w:rFonts w:ascii="Calibri" w:hAnsi="Calibri" w:cs="Calibri" w:asciiTheme="minorHAnsi" w:cstheme="minorHAnsi" w:hAnsiTheme="minorHAnsi"/>
                <w:b/>
                <w:bCs/>
                <w:color w:val="000000"/>
                <w:szCs w:val="22"/>
              </w:rPr>
            </w:pPr>
            <w:r>
              <w:rPr>
                <w:rFonts w:eastAsia="Times New Roman" w:cs="Calibri" w:ascii="Calibri" w:hAnsi="Calibri" w:asciiTheme="minorHAnsi" w:cstheme="minorHAnsi" w:hAnsiTheme="minorHAnsi"/>
                <w:b/>
                <w:bCs/>
                <w:color w:val="000000"/>
                <w:kern w:val="0"/>
                <w:szCs w:val="22"/>
                <w:lang w:val="en-US" w:eastAsia="en-US" w:bidi="ar-SA"/>
              </w:rPr>
              <w:t>(g P/m</w:t>
            </w:r>
            <w:r>
              <w:rPr>
                <w:rFonts w:eastAsia="Times New Roman" w:cs="Calibri" w:ascii="Calibri" w:hAnsi="Calibri" w:asciiTheme="minorHAnsi" w:cstheme="minorHAnsi" w:hAnsiTheme="minorHAnsi"/>
                <w:b/>
                <w:bCs/>
                <w:color w:val="000000"/>
                <w:kern w:val="0"/>
                <w:szCs w:val="22"/>
                <w:vertAlign w:val="superscript"/>
                <w:lang w:val="en-US" w:eastAsia="en-US" w:bidi="ar-SA"/>
              </w:rPr>
              <w:t>2</w:t>
            </w:r>
            <w:r>
              <w:rPr>
                <w:rFonts w:eastAsia="Times New Roman" w:cs="Calibri" w:ascii="Calibri" w:hAnsi="Calibri" w:asciiTheme="minorHAnsi" w:cstheme="minorHAnsi" w:hAnsiTheme="minorHAnsi"/>
                <w:b/>
                <w:bCs/>
                <w:color w:val="000000"/>
                <w:kern w:val="0"/>
                <w:szCs w:val="22"/>
                <w:lang w:val="en-US" w:eastAsia="en-US" w:bidi="ar-SA"/>
              </w:rPr>
              <w:t>/y)</w:t>
            </w:r>
          </w:p>
        </w:tc>
        <w:tc>
          <w:tcPr>
            <w:tcW w:w="1425" w:type="dxa"/>
            <w:tcBorders/>
          </w:tcPr>
          <w:p>
            <w:pPr>
              <w:pStyle w:val="Normal"/>
              <w:widowControl w:val="false"/>
              <w:spacing w:lineRule="auto" w:line="240" w:before="0" w:after="0"/>
              <w:jc w:val="center"/>
              <w:rPr>
                <w:rFonts w:ascii="Calibri" w:hAnsi="Calibri" w:cs="Calibri" w:asciiTheme="minorHAnsi" w:cstheme="minorHAnsi" w:hAnsiTheme="minorHAnsi"/>
                <w:b/>
                <w:bCs/>
                <w:color w:val="000000"/>
                <w:szCs w:val="22"/>
              </w:rPr>
            </w:pPr>
            <w:r>
              <w:rPr>
                <w:rFonts w:eastAsia="Times New Roman" w:cs="Calibri" w:ascii="Calibri" w:hAnsi="Calibri" w:asciiTheme="minorHAnsi" w:cstheme="minorHAnsi" w:hAnsiTheme="minorHAnsi"/>
                <w:b/>
                <w:bCs/>
                <w:color w:val="000000"/>
                <w:kern w:val="0"/>
                <w:szCs w:val="22"/>
                <w:lang w:val="en-US" w:eastAsia="en-US" w:bidi="ar-SA"/>
              </w:rPr>
              <w:t>%</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2005</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0.1157</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0.0046</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2.38</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0.27</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88</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2006</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0.2359</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0.0026</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4.44</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0.20</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96</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2007</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0.1200</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0.0023</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2.02</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0.23</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88</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2008</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0.1987</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0.0044</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2.87</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0.23</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92</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2009</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0.1795</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0.0036</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2.15</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0.14</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93</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2010</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0.1178</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0.0046</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1.06</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0.21</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80</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2011</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0.1007</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0.0020</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1.54</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0.23</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85</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2012</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0.1732</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0.0051</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2.98</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0.31</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90</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2013</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0.1842</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0.0020</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1.60</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0.19</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88</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2014</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0.1573</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0.0085</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4.31</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1.05</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76</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2015</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0.1303</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0.0099</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2.08</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1.17</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43</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2016</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0.1524</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0.0101</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2.47</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0.68</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72</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2017</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0.2946</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0.0235</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4.37</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1.07</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75</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2018</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0.1711</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0.0274</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3.35</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1.24</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63</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2019</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0.1867</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0.0151</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3.01</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1.22</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59</w:t>
            </w:r>
          </w:p>
        </w:tc>
      </w:tr>
      <w:tr>
        <w:trPr>
          <w:trHeight w:val="288" w:hRule="atLeast"/>
        </w:trPr>
        <w:tc>
          <w:tcPr>
            <w:tcW w:w="1188"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2020</w:t>
            </w:r>
          </w:p>
        </w:tc>
        <w:tc>
          <w:tcPr>
            <w:tcW w:w="1800"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0.1959</w:t>
            </w:r>
          </w:p>
        </w:tc>
        <w:tc>
          <w:tcPr>
            <w:tcW w:w="1619" w:type="dxa"/>
            <w:tcBorders/>
          </w:tcPr>
          <w:p>
            <w:pPr>
              <w:pStyle w:val="Normal"/>
              <w:widowControl w:val="false"/>
              <w:spacing w:lineRule="auto" w:line="240" w:before="0" w:after="0"/>
              <w:jc w:val="center"/>
              <w:rPr>
                <w:rFonts w:ascii="Calibri" w:hAnsi="Calibri" w:cs="Calibri"/>
                <w:color w:val="000000"/>
                <w:szCs w:val="22"/>
              </w:rPr>
            </w:pPr>
            <w:r>
              <w:rPr>
                <w:rFonts w:eastAsia="Times New Roman" w:cs="Calibri" w:ascii="Calibri" w:hAnsi="Calibri"/>
                <w:color w:val="000000"/>
                <w:kern w:val="0"/>
                <w:szCs w:val="22"/>
                <w:lang w:val="en-US" w:eastAsia="en-US" w:bidi="ar-SA"/>
              </w:rPr>
              <w:t>0.0259</w:t>
            </w:r>
          </w:p>
        </w:tc>
        <w:tc>
          <w:tcPr>
            <w:tcW w:w="1891"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2.79</w:t>
            </w:r>
          </w:p>
        </w:tc>
        <w:tc>
          <w:tcPr>
            <w:tcW w:w="1426"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1.70</w:t>
            </w:r>
          </w:p>
        </w:tc>
        <w:tc>
          <w:tcPr>
            <w:tcW w:w="1425" w:type="dxa"/>
            <w:tcBorders/>
            <w:vAlign w:val="bottom"/>
          </w:tcPr>
          <w:p>
            <w:pPr>
              <w:pStyle w:val="Normal"/>
              <w:widowControl w:val="false"/>
              <w:spacing w:lineRule="auto" w:line="240" w:before="0" w:after="0"/>
              <w:jc w:val="center"/>
              <w:rPr>
                <w:rFonts w:ascii="Calibri" w:hAnsi="Calibri" w:cs="Calibri" w:asciiTheme="minorHAnsi" w:cstheme="minorHAnsi" w:hAnsiTheme="minorHAnsi"/>
                <w:color w:val="000000"/>
                <w:szCs w:val="22"/>
              </w:rPr>
            </w:pPr>
            <w:r>
              <w:rPr>
                <w:rFonts w:eastAsia="Times New Roman" w:cs="Calibri" w:ascii="Calibri" w:hAnsi="Calibri" w:asciiTheme="minorHAnsi" w:cstheme="minorHAnsi" w:hAnsiTheme="minorHAnsi"/>
                <w:color w:val="000000"/>
                <w:kern w:val="0"/>
                <w:szCs w:val="22"/>
                <w:lang w:val="en-US" w:eastAsia="en-US" w:bidi="ar-SA"/>
              </w:rPr>
              <w:t>39</w:t>
            </w:r>
          </w:p>
        </w:tc>
      </w:tr>
    </w:tbl>
    <w:p>
      <w:pPr>
        <w:pStyle w:val="Normal"/>
        <w:rPr/>
      </w:pPr>
      <w:r>
        <w:rPr/>
      </w:r>
    </w:p>
    <w:p>
      <w:pPr>
        <w:pStyle w:val="Normal"/>
        <w:rPr/>
      </w:pPr>
      <w:r>
        <w:rPr/>
      </w:r>
    </w:p>
    <w:p>
      <w:pPr>
        <w:pStyle w:val="Normal"/>
        <w:rPr/>
      </w:pPr>
      <w:r>
        <w:rPr/>
        <w:t>Analysis of the results of the 16-y simulations indicates a relationship between annual loading of TP and average daily concentrations of TP in the outflow (Figure 4-1). Inputs to segment A were computed from the provided daily loading values of the water column P pools (Figure 4-2). Daily TP outflow concentrations from segment C were computed as a flow-weighted concentration by dividing as the TP mass flux (g P/d) transported from segment C by the volume transported (m</w:t>
      </w:r>
      <w:r>
        <w:rPr>
          <w:vertAlign w:val="superscript"/>
        </w:rPr>
        <w:t>3</w:t>
      </w:r>
      <w:r>
        <w:rPr/>
        <w:t xml:space="preserve"> d</w:t>
      </w:r>
      <w:r>
        <w:rPr>
          <w:vertAlign w:val="superscript"/>
        </w:rPr>
        <w:t>-1</w:t>
      </w:r>
      <w:r>
        <w:rPr/>
        <w:t xml:space="preserve">) from segment C to outside of FW1. Outflow TP concentrations from segment C appear positively correlated with annual inputs to segment A and account for about 17% of the variance in the outflow (Figure 4-1a).  The relationship is increasingly variable for annual minimum (Figure 4-1b) and maximum (Figure 4-1c) outflow concentrations. The increased variability might simply reflect values of modeled outflows associated with the assumed lower threshold depth defined as 0.10 m used in the calculations of flows and flow-weighted concentrations.  </w:t>
      </w:r>
    </w:p>
    <w:p>
      <w:pPr>
        <w:pStyle w:val="Normal"/>
        <w:rPr/>
      </w:pPr>
      <w:r>
        <w:rPr/>
        <w:t xml:space="preserve">Regardless of the simplifications, assumptions, and inaccuracies in the CASM-STA, the model results (Figure 4-1a-c) demonstrate that TP inputs to segment A are internally cycled, transformed, and transported through the modeled system to outflow from segment C. </w:t>
      </w:r>
    </w:p>
    <w:p>
      <w:pPr>
        <w:pStyle w:val="Normal"/>
        <w:rPr/>
      </w:pPr>
      <w:r>
        <w:rPr/>
        <mc:AlternateContent>
          <mc:Choice Requires="wps">
            <w:drawing>
              <wp:anchor behindDoc="0" distT="40640" distB="55245" distL="0" distR="128270" simplePos="0" locked="0" layoutInCell="0" allowOverlap="1" relativeHeight="124" wp14:anchorId="7B4D19F8">
                <wp:simplePos x="0" y="0"/>
                <wp:positionH relativeFrom="margin">
                  <wp:align>left</wp:align>
                </wp:positionH>
                <wp:positionV relativeFrom="margin">
                  <wp:align>top</wp:align>
                </wp:positionV>
                <wp:extent cx="5943600" cy="8290560"/>
                <wp:effectExtent l="0" t="5080" r="5080" b="5080"/>
                <wp:wrapTopAndBottom/>
                <wp:docPr id="189" name="Text Box 2"/>
                <a:graphic xmlns:a="http://schemas.openxmlformats.org/drawingml/2006/main">
                  <a:graphicData uri="http://schemas.microsoft.com/office/word/2010/wordprocessingShape">
                    <wps:wsp>
                      <wps:cNvSpPr/>
                      <wps:spPr>
                        <a:xfrm>
                          <a:off x="0" y="0"/>
                          <a:ext cx="5943600" cy="8290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pPr>
                            <w:r>
                              <w:rPr/>
                              <w:drawing>
                                <wp:inline distT="0" distB="0" distL="0" distR="0">
                                  <wp:extent cx="4010660" cy="2267585"/>
                                  <wp:effectExtent l="0" t="0" r="0" b="0"/>
                                  <wp:docPr id="191" name="Chart 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0"/>
                                    </a:graphicData>
                                  </a:graphic>
                                </wp:inline>
                              </w:drawing>
                            </w:r>
                          </w:p>
                          <w:p>
                            <w:pPr>
                              <w:pStyle w:val="FrameContents"/>
                              <w:jc w:val="center"/>
                              <w:rPr/>
                            </w:pPr>
                            <w:r>
                              <w:rPr/>
                              <w:drawing>
                                <wp:inline distT="0" distB="0" distL="0" distR="0">
                                  <wp:extent cx="4032250" cy="2529840"/>
                                  <wp:effectExtent l="0" t="0" r="0" b="0"/>
                                  <wp:docPr id="192" name="Object16"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1"/>
                                    </a:graphicData>
                                  </a:graphic>
                                </wp:inline>
                              </w:drawing>
                            </w:r>
                          </w:p>
                          <w:p>
                            <w:pPr>
                              <w:pStyle w:val="FrameContents"/>
                              <w:jc w:val="center"/>
                              <w:rPr/>
                            </w:pPr>
                            <w:r>
                              <w:rPr/>
                              <w:drawing>
                                <wp:inline distT="0" distB="0" distL="0" distR="0">
                                  <wp:extent cx="4069080" cy="2188210"/>
                                  <wp:effectExtent l="0" t="0" r="0" b="0"/>
                                  <wp:docPr id="193" name="Object17"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2"/>
                                    </a:graphicData>
                                  </a:graphic>
                                </wp:inline>
                              </w:drawing>
                            </w:r>
                          </w:p>
                          <w:p>
                            <w:pPr>
                              <w:pStyle w:val="Caption"/>
                              <w:widowControl/>
                              <w:bidi w:val="0"/>
                              <w:spacing w:lineRule="auto" w:line="276" w:before="0" w:after="60"/>
                              <w:jc w:val="center"/>
                              <w:rPr/>
                            </w:pPr>
                            <w:bookmarkStart w:id="208" w:name="_Toc181802678"/>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38</w:t>
                            </w:r>
                            <w:r>
                              <w:rPr/>
                              <w:fldChar w:fldCharType="end"/>
                            </w:r>
                            <w:r>
                              <w:rPr/>
                              <w:t>.  Relationships between annual TP loading (g P/m</w:t>
                            </w:r>
                            <w:r>
                              <w:rPr>
                                <w:vertAlign w:val="superscript"/>
                              </w:rPr>
                              <w:t>2</w:t>
                            </w:r>
                            <w:r>
                              <w:rPr/>
                              <w:t>/y) to segment A and average daily flow-weighted TP concentration (g P/m</w:t>
                            </w:r>
                            <w:r>
                              <w:rPr>
                                <w:vertAlign w:val="superscript"/>
                              </w:rPr>
                              <w:t>3</w:t>
                            </w:r>
                            <w:r>
                              <w:rPr/>
                              <w:t>) in the outflow from segment C, (a) mean outflow P concentration, (b) minimum outflow P concentration, and (c) maximum P concentration.</w:t>
                            </w:r>
                            <w:bookmarkEnd w:id="208"/>
                          </w:p>
                        </w:txbxContent>
                      </wps:txbx>
                      <wps:bodyPr anchor="t">
                        <a:noAutofit/>
                      </wps:bodyPr>
                    </wps:wsp>
                  </a:graphicData>
                </a:graphic>
              </wp:anchor>
            </w:drawing>
          </mc:Choice>
          <mc:Fallback>
            <w:pict>
              <v:rect id="shape_0" ID="Text Box 2" path="m0,0l-2147483645,0l-2147483645,-2147483646l0,-2147483646xe" fillcolor="white" stroked="t" o:allowincell="f" style="position:absolute;margin-left:-0.4pt;margin-top:3.2pt;width:467.95pt;height:652.75pt;mso-wrap-style:square;v-text-anchor:top;mso-position-horizontal:left;mso-position-horizontal-relative:margin;mso-position-vertical:top;mso-position-vertical-relative:margin" wp14:anchorId="7B4D19F8">
                <v:fill o:detectmouseclick="t" type="solid" color2="black"/>
                <v:stroke color="black" weight="9360" joinstyle="miter" endcap="flat"/>
                <v:textbox>
                  <w:txbxContent>
                    <w:p>
                      <w:pPr>
                        <w:pStyle w:val="FrameContents"/>
                        <w:jc w:val="center"/>
                        <w:rPr/>
                      </w:pPr>
                      <w:r>
                        <w:rPr/>
                        <w:drawing>
                          <wp:inline distT="0" distB="0" distL="0" distR="0">
                            <wp:extent cx="4010660" cy="2267585"/>
                            <wp:effectExtent l="0" t="0" r="0" b="0"/>
                            <wp:docPr id="194" name="Chart 1"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3"/>
                              </a:graphicData>
                            </a:graphic>
                          </wp:inline>
                        </w:drawing>
                      </w:r>
                    </w:p>
                    <w:p>
                      <w:pPr>
                        <w:pStyle w:val="FrameContents"/>
                        <w:jc w:val="center"/>
                        <w:rPr/>
                      </w:pPr>
                      <w:r>
                        <w:rPr/>
                        <w:drawing>
                          <wp:inline distT="0" distB="0" distL="0" distR="0">
                            <wp:extent cx="4032250" cy="2529840"/>
                            <wp:effectExtent l="0" t="0" r="0" b="0"/>
                            <wp:docPr id="195" name="Object16"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4"/>
                              </a:graphicData>
                            </a:graphic>
                          </wp:inline>
                        </w:drawing>
                      </w:r>
                    </w:p>
                    <w:p>
                      <w:pPr>
                        <w:pStyle w:val="FrameContents"/>
                        <w:jc w:val="center"/>
                        <w:rPr/>
                      </w:pPr>
                      <w:r>
                        <w:rPr/>
                        <w:drawing>
                          <wp:inline distT="0" distB="0" distL="0" distR="0">
                            <wp:extent cx="4069080" cy="2188210"/>
                            <wp:effectExtent l="0" t="0" r="0" b="0"/>
                            <wp:docPr id="196" name="Object17" desc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5"/>
                              </a:graphicData>
                            </a:graphic>
                          </wp:inline>
                        </w:drawing>
                      </w:r>
                    </w:p>
                    <w:p>
                      <w:pPr>
                        <w:pStyle w:val="Caption"/>
                        <w:widowControl/>
                        <w:bidi w:val="0"/>
                        <w:spacing w:lineRule="auto" w:line="276" w:before="0" w:after="60"/>
                        <w:jc w:val="center"/>
                        <w:rPr/>
                      </w:pPr>
                      <w:bookmarkStart w:id="209" w:name="_Toc181802678"/>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38</w:t>
                      </w:r>
                      <w:r>
                        <w:rPr/>
                        <w:fldChar w:fldCharType="end"/>
                      </w:r>
                      <w:r>
                        <w:rPr/>
                        <w:t>.  Relationships between annual TP loading (g P/m</w:t>
                      </w:r>
                      <w:r>
                        <w:rPr>
                          <w:vertAlign w:val="superscript"/>
                        </w:rPr>
                        <w:t>2</w:t>
                      </w:r>
                      <w:r>
                        <w:rPr/>
                        <w:t>/y) to segment A and average daily flow-weighted TP concentration (g P/m</w:t>
                      </w:r>
                      <w:r>
                        <w:rPr>
                          <w:vertAlign w:val="superscript"/>
                        </w:rPr>
                        <w:t>3</w:t>
                      </w:r>
                      <w:r>
                        <w:rPr/>
                        <w:t>) in the outflow from segment C, (a) mean outflow P concentration, (b) minimum outflow P concentration, and (c) maximum P concentration.</w:t>
                      </w:r>
                      <w:bookmarkEnd w:id="209"/>
                    </w:p>
                  </w:txbxContent>
                </v:textbox>
                <w10:wrap type="topAndBottom"/>
              </v:rect>
            </w:pict>
          </mc:Fallback>
        </mc:AlternateContent>
      </w:r>
    </w:p>
    <w:p>
      <w:pPr>
        <w:pStyle w:val="Normal"/>
        <w:rPr/>
      </w:pPr>
      <w:r>
        <w:rPr/>
        <mc:AlternateContent>
          <mc:Choice Requires="wps">
            <w:drawing>
              <wp:anchor behindDoc="0" distT="0" distB="8890" distL="111125" distR="126365" simplePos="0" locked="0" layoutInCell="0" allowOverlap="1" relativeHeight="126" wp14:anchorId="4FDBC052">
                <wp:simplePos x="0" y="0"/>
                <wp:positionH relativeFrom="margin">
                  <wp:align>center</wp:align>
                </wp:positionH>
                <wp:positionV relativeFrom="margin">
                  <wp:align>top</wp:align>
                </wp:positionV>
                <wp:extent cx="5966460" cy="6941820"/>
                <wp:effectExtent l="3175" t="3175" r="3175" b="3175"/>
                <wp:wrapSquare wrapText="bothSides"/>
                <wp:docPr id="190" name="Text Box 56"/>
                <a:graphic xmlns:a="http://schemas.openxmlformats.org/drawingml/2006/main">
                  <a:graphicData uri="http://schemas.microsoft.com/office/word/2010/wordprocessingShape">
                    <wps:wsp>
                      <wps:cNvSpPr/>
                      <wps:spPr>
                        <a:xfrm>
                          <a:off x="0" y="0"/>
                          <a:ext cx="5966640" cy="6941880"/>
                        </a:xfrm>
                        <a:prstGeom prst="rect">
                          <a:avLst/>
                        </a:prstGeom>
                        <a:solidFill>
                          <a:srgbClr val="ffffff"/>
                        </a:solidFill>
                        <a:ln w="6350">
                          <a:solidFill>
                            <a:srgbClr val="000000"/>
                          </a:solidFill>
                          <a:round/>
                        </a:ln>
                      </wps:spPr>
                      <wps:style>
                        <a:lnRef idx="0"/>
                        <a:fillRef idx="0"/>
                        <a:effectRef idx="0"/>
                        <a:fontRef idx="minor"/>
                      </wps:style>
                      <wps:txbx>
                        <w:txbxContent>
                          <w:p>
                            <w:pPr>
                              <w:pStyle w:val="FrameContents"/>
                              <w:jc w:val="center"/>
                              <w:rPr/>
                            </w:pPr>
                            <w:r>
                              <w:rPr/>
                              <w:drawing>
                                <wp:inline distT="0" distB="0" distL="0" distR="0">
                                  <wp:extent cx="5212080" cy="3139440"/>
                                  <wp:effectExtent l="0" t="0" r="0" b="0"/>
                                  <wp:docPr id="192"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57" descr=""/>
                                          <pic:cNvPicPr>
                                            <a:picLocks noChangeAspect="1" noChangeArrowheads="1"/>
                                          </pic:cNvPicPr>
                                        </pic:nvPicPr>
                                        <pic:blipFill>
                                          <a:blip r:embed="rId196"/>
                                          <a:stretch>
                                            <a:fillRect/>
                                          </a:stretch>
                                        </pic:blipFill>
                                        <pic:spPr bwMode="auto">
                                          <a:xfrm>
                                            <a:off x="0" y="0"/>
                                            <a:ext cx="5212080" cy="3139440"/>
                                          </a:xfrm>
                                          <a:prstGeom prst="rect">
                                            <a:avLst/>
                                          </a:prstGeom>
                                        </pic:spPr>
                                      </pic:pic>
                                    </a:graphicData>
                                  </a:graphic>
                                </wp:inline>
                              </w:drawing>
                            </w:r>
                          </w:p>
                          <w:p>
                            <w:pPr>
                              <w:pStyle w:val="FrameContents"/>
                              <w:jc w:val="center"/>
                              <w:rPr/>
                            </w:pPr>
                            <w:r>
                              <w:rPr/>
                              <w:drawing>
                                <wp:inline distT="0" distB="0" distL="0" distR="0">
                                  <wp:extent cx="5213350" cy="3141980"/>
                                  <wp:effectExtent l="0" t="0" r="0" b="0"/>
                                  <wp:docPr id="193"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8" descr=""/>
                                          <pic:cNvPicPr>
                                            <a:picLocks noChangeAspect="1" noChangeArrowheads="1"/>
                                          </pic:cNvPicPr>
                                        </pic:nvPicPr>
                                        <pic:blipFill>
                                          <a:blip r:embed="rId197"/>
                                          <a:srcRect l="51328" t="0" r="0" b="0"/>
                                          <a:stretch>
                                            <a:fillRect/>
                                          </a:stretch>
                                        </pic:blipFill>
                                        <pic:spPr bwMode="auto">
                                          <a:xfrm>
                                            <a:off x="0" y="0"/>
                                            <a:ext cx="5213350" cy="3141980"/>
                                          </a:xfrm>
                                          <a:prstGeom prst="rect">
                                            <a:avLst/>
                                          </a:prstGeom>
                                        </pic:spPr>
                                      </pic:pic>
                                    </a:graphicData>
                                  </a:graphic>
                                </wp:inline>
                              </w:drawing>
                            </w:r>
                          </w:p>
                          <w:p>
                            <w:pPr>
                              <w:pStyle w:val="Caption"/>
                              <w:widowControl/>
                              <w:bidi w:val="0"/>
                              <w:spacing w:lineRule="auto" w:line="276" w:before="0" w:after="60"/>
                              <w:jc w:val="center"/>
                              <w:rPr/>
                            </w:pPr>
                            <w:bookmarkStart w:id="210" w:name="_Toc181802679"/>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39</w:t>
                            </w:r>
                            <w:r>
                              <w:rPr/>
                              <w:fldChar w:fldCharType="end"/>
                            </w:r>
                            <w:r>
                              <w:rPr/>
                              <w:t>.  Daily TP loadings (g P/m2/d) to segment A in the CASM-STA.</w:t>
                            </w:r>
                            <w:bookmarkEnd w:id="210"/>
                          </w:p>
                        </w:txbxContent>
                      </wps:txbx>
                      <wps:bodyPr anchor="t">
                        <a:prstTxWarp prst="textNoShape"/>
                        <a:noAutofit/>
                      </wps:bodyPr>
                    </wps:wsp>
                  </a:graphicData>
                </a:graphic>
              </wp:anchor>
            </w:drawing>
          </mc:Choice>
          <mc:Fallback>
            <w:pict>
              <v:rect id="shape_0" ID="Text Box 56" path="m0,0l-2147483645,0l-2147483645,-2147483646l0,-2147483646xe" fillcolor="white" stroked="t" o:allowincell="f" style="position:absolute;margin-left:-0.9pt;margin-top:0pt;width:469.75pt;height:546.55pt;mso-wrap-style:square;v-text-anchor:top;mso-position-horizontal:center;mso-position-horizontal-relative:margin;mso-position-vertical:top;mso-position-vertical-relative:margin" wp14:anchorId="4FDBC052">
                <v:fill o:detectmouseclick="t" type="solid" color2="black"/>
                <v:stroke color="black" weight="6480" joinstyle="round" endcap="flat"/>
                <v:textbox>
                  <w:txbxContent>
                    <w:p>
                      <w:pPr>
                        <w:pStyle w:val="FrameContents"/>
                        <w:jc w:val="center"/>
                        <w:rPr/>
                      </w:pPr>
                      <w:r>
                        <w:rPr/>
                        <w:drawing>
                          <wp:inline distT="0" distB="0" distL="0" distR="0">
                            <wp:extent cx="5212080" cy="3139440"/>
                            <wp:effectExtent l="0" t="0" r="0" b="0"/>
                            <wp:docPr id="194"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57" descr=""/>
                                    <pic:cNvPicPr>
                                      <a:picLocks noChangeAspect="1" noChangeArrowheads="1"/>
                                    </pic:cNvPicPr>
                                  </pic:nvPicPr>
                                  <pic:blipFill>
                                    <a:blip r:embed="rId198"/>
                                    <a:stretch>
                                      <a:fillRect/>
                                    </a:stretch>
                                  </pic:blipFill>
                                  <pic:spPr bwMode="auto">
                                    <a:xfrm>
                                      <a:off x="0" y="0"/>
                                      <a:ext cx="5212080" cy="3139440"/>
                                    </a:xfrm>
                                    <a:prstGeom prst="rect">
                                      <a:avLst/>
                                    </a:prstGeom>
                                  </pic:spPr>
                                </pic:pic>
                              </a:graphicData>
                            </a:graphic>
                          </wp:inline>
                        </w:drawing>
                      </w:r>
                    </w:p>
                    <w:p>
                      <w:pPr>
                        <w:pStyle w:val="FrameContents"/>
                        <w:jc w:val="center"/>
                        <w:rPr/>
                      </w:pPr>
                      <w:r>
                        <w:rPr/>
                        <w:drawing>
                          <wp:inline distT="0" distB="0" distL="0" distR="0">
                            <wp:extent cx="5213350" cy="3141980"/>
                            <wp:effectExtent l="0" t="0" r="0" b="0"/>
                            <wp:docPr id="195"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58" descr=""/>
                                    <pic:cNvPicPr>
                                      <a:picLocks noChangeAspect="1" noChangeArrowheads="1"/>
                                    </pic:cNvPicPr>
                                  </pic:nvPicPr>
                                  <pic:blipFill>
                                    <a:blip r:embed="rId199"/>
                                    <a:srcRect l="51328" t="0" r="0" b="0"/>
                                    <a:stretch>
                                      <a:fillRect/>
                                    </a:stretch>
                                  </pic:blipFill>
                                  <pic:spPr bwMode="auto">
                                    <a:xfrm>
                                      <a:off x="0" y="0"/>
                                      <a:ext cx="5213350" cy="3141980"/>
                                    </a:xfrm>
                                    <a:prstGeom prst="rect">
                                      <a:avLst/>
                                    </a:prstGeom>
                                  </pic:spPr>
                                </pic:pic>
                              </a:graphicData>
                            </a:graphic>
                          </wp:inline>
                        </w:drawing>
                      </w:r>
                    </w:p>
                    <w:p>
                      <w:pPr>
                        <w:pStyle w:val="Caption"/>
                        <w:widowControl/>
                        <w:bidi w:val="0"/>
                        <w:spacing w:lineRule="auto" w:line="276" w:before="0" w:after="60"/>
                        <w:jc w:val="center"/>
                        <w:rPr/>
                      </w:pPr>
                      <w:bookmarkStart w:id="211" w:name="_Toc181802679"/>
                      <w:r>
                        <w:rPr/>
                        <w:t xml:space="preserve">Figure </w:t>
                      </w:r>
                      <w:r>
                        <w:rPr/>
                        <w:fldChar w:fldCharType="begin"/>
                      </w:r>
                      <w:r>
                        <w:rPr/>
                        <w:instrText xml:space="preserve"> STYLEREF "1" </w:instrText>
                      </w:r>
                      <w:r>
                        <w:rPr/>
                        <w:fldChar w:fldCharType="separate"/>
                      </w:r>
                      <w:r>
                        <w:rPr/>
                        <w:t>Introduction</w:t>
                      </w:r>
                      <w:r>
                        <w:rPr/>
                        <w:fldChar w:fldCharType="end"/>
                      </w:r>
                      <w:r>
                        <w:rPr/>
                        <w:noBreakHyphen/>
                      </w:r>
                      <w:r>
                        <w:rPr/>
                        <w:fldChar w:fldCharType="begin"/>
                      </w:r>
                      <w:r>
                        <w:rPr/>
                        <w:instrText xml:space="preserve"> SEQ Figure \* ARABIC </w:instrText>
                      </w:r>
                      <w:r>
                        <w:rPr/>
                        <w:fldChar w:fldCharType="separate"/>
                      </w:r>
                      <w:r>
                        <w:rPr/>
                        <w:t>39</w:t>
                      </w:r>
                      <w:r>
                        <w:rPr/>
                        <w:fldChar w:fldCharType="end"/>
                      </w:r>
                      <w:r>
                        <w:rPr/>
                        <w:t>.  Daily TP loadings (g P/m2/d) to segment A in the CASM-STA.</w:t>
                      </w:r>
                      <w:bookmarkEnd w:id="211"/>
                    </w:p>
                  </w:txbxContent>
                </v:textbox>
                <w10:wrap type="square"/>
              </v:rect>
            </w:pict>
          </mc:Fallback>
        </mc:AlternateContent>
      </w:r>
    </w:p>
    <w:p>
      <w:pPr>
        <w:pStyle w:val="Normal"/>
        <w:spacing w:lineRule="auto" w:line="240" w:before="0" w:after="0"/>
        <w:jc w:val="left"/>
        <w:rPr/>
      </w:pPr>
      <w:r>
        <w:rPr/>
      </w:r>
      <w:r>
        <w:br w:type="page"/>
      </w:r>
    </w:p>
    <w:p>
      <w:pPr>
        <w:pStyle w:val="Normal"/>
        <w:spacing w:before="0" w:after="120"/>
        <w:rPr/>
      </w:pPr>
      <w:r>
        <w:rPr/>
        <w:t xml:space="preserve">The model could in theory be used to explore the relationship of different TP loads to FW1 and outflow TP concentrations. </w:t>
      </w:r>
    </w:p>
    <w:p>
      <w:pPr>
        <w:pStyle w:val="Normal"/>
        <w:keepNext w:val="true"/>
        <w:numPr>
          <w:ilvl w:val="2"/>
          <w:numId w:val="1"/>
        </w:numPr>
        <w:spacing w:before="120" w:after="120"/>
        <w:jc w:val="left"/>
        <w:outlineLvl w:val="2"/>
        <w:rPr>
          <w:bCs/>
          <w:i/>
          <w:i/>
          <w:color w:themeColor="accent1" w:themeShade="bf" w:val="2E74B5"/>
          <w:szCs w:val="22"/>
        </w:rPr>
      </w:pPr>
      <w:bookmarkStart w:id="212" w:name="_Toc182252532"/>
      <w:r>
        <w:rPr>
          <w:bCs/>
          <w:i/>
          <w:color w:themeColor="accent1" w:themeShade="bf" w:val="2E74B5"/>
          <w:szCs w:val="22"/>
        </w:rPr>
        <w:t>Consumer dynamics</w:t>
      </w:r>
      <w:bookmarkEnd w:id="212"/>
    </w:p>
    <w:p>
      <w:pPr>
        <w:pStyle w:val="Normal"/>
        <w:rPr/>
      </w:pPr>
      <w:r>
        <w:rPr/>
        <w:t>A key motivation for developing the CASM-STA was to explore the implications of consumer population dynamics on internal P cycling within FW1. The estimates of daily excretion for modeled consumer populations were originally derived for the CASM-STA using published values from the general literature. Recent publication of data for these species in the STAs permitted re-evaluation (Barton e t al. 2023). The estimates based on excretion measurements in the STAs were all less (but remarkably similar) than the values used in the original CASM-STA development, except for the eastern mosquitofish (Table 4-1). The STA-specific value was approximately twice that of the original model. The excretion rate for mosquitofish was updated in the most recent CASM-STA to use the value derived from Barton et al. (2023), 0.148 d</w:t>
      </w:r>
      <w:r>
        <w:rPr>
          <w:vertAlign w:val="superscript"/>
        </w:rPr>
        <w:t>-1</w:t>
      </w:r>
      <w:r>
        <w:rPr/>
        <w:t xml:space="preserve">; the original values for the other modeled species excretion rates were retained to provide maximum opportunity (i.e., consistent positive bias) for fish excretion to influence P cycling in the modeled STA-2. </w:t>
      </w:r>
    </w:p>
    <w:p>
      <w:pPr>
        <w:pStyle w:val="Caption"/>
        <w:rPr/>
      </w:pPr>
      <w:bookmarkStart w:id="213" w:name="_Toc182250950"/>
      <w:r>
        <w:rPr/>
        <w:t xml:space="preserve">Table </w:t>
      </w:r>
      <w:r>
        <w:rPr/>
        <w:fldChar w:fldCharType="begin"/>
      </w:r>
      <w:r>
        <w:rPr/>
        <w:instrText xml:space="preserve"> STYLEREF "1" </w:instrText>
      </w:r>
      <w:r>
        <w:rPr/>
        <w:fldChar w:fldCharType="separate"/>
      </w:r>
      <w:r>
        <w:rPr/>
        <w:t>Conclusions and Management implications</w:t>
      </w:r>
      <w:r>
        <w:rPr/>
        <w:fldChar w:fldCharType="end"/>
      </w:r>
      <w:r>
        <w:rPr/>
        <w:noBreakHyphen/>
      </w:r>
      <w:r>
        <w:rPr/>
        <w:fldChar w:fldCharType="begin"/>
      </w:r>
      <w:r>
        <w:rPr/>
        <w:instrText xml:space="preserve"> SEQ Table \* ARABIC </w:instrText>
      </w:r>
      <w:r>
        <w:rPr/>
        <w:fldChar w:fldCharType="separate"/>
      </w:r>
      <w:r>
        <w:rPr/>
        <w:t>41</w:t>
      </w:r>
      <w:r>
        <w:rPr/>
        <w:fldChar w:fldCharType="end"/>
      </w:r>
      <w:r>
        <w:rPr/>
        <w:t>.  Comparison of CASM-STA modeled excretion based on original parameter (U) estimate and estimates derived from Barton et al. (2023)</w:t>
      </w:r>
      <w:bookmarkEnd w:id="213"/>
    </w:p>
    <w:tbl>
      <w:tblPr>
        <w:tblStyle w:val="TableGrid"/>
        <w:tblW w:w="77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58"/>
        <w:gridCol w:w="1558"/>
        <w:gridCol w:w="1558"/>
        <w:gridCol w:w="1558"/>
        <w:gridCol w:w="1559"/>
      </w:tblGrid>
      <w:tr>
        <w:trPr/>
        <w:tc>
          <w:tcPr>
            <w:tcW w:w="1558" w:type="dxa"/>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Species</w:t>
            </w:r>
          </w:p>
        </w:tc>
        <w:tc>
          <w:tcPr>
            <w:tcW w:w="1558" w:type="dxa"/>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Length</w:t>
            </w:r>
          </w:p>
        </w:tc>
        <w:tc>
          <w:tcPr>
            <w:tcW w:w="1558" w:type="dxa"/>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Weight</w:t>
            </w:r>
          </w:p>
        </w:tc>
        <w:tc>
          <w:tcPr>
            <w:tcW w:w="3117" w:type="dxa"/>
            <w:gridSpan w:val="2"/>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Excretion rate, U (d</w:t>
            </w:r>
            <w:r>
              <w:rPr>
                <w:rFonts w:eastAsia="Times New Roman" w:cs="Calibri" w:ascii="Calibri" w:hAnsi="Calibri" w:asciiTheme="minorHAnsi" w:cstheme="minorHAnsi" w:hAnsiTheme="minorHAnsi"/>
                <w:b/>
                <w:bCs/>
                <w:kern w:val="0"/>
                <w:szCs w:val="20"/>
                <w:vertAlign w:val="superscript"/>
                <w:lang w:val="en-US" w:eastAsia="en-US" w:bidi="ar-SA"/>
              </w:rPr>
              <w:t>-1</w:t>
            </w:r>
            <w:r>
              <w:rPr>
                <w:rFonts w:eastAsia="Times New Roman" w:cs="Calibri" w:ascii="Calibri" w:hAnsi="Calibri" w:asciiTheme="minorHAnsi" w:cstheme="minorHAnsi" w:hAnsiTheme="minorHAnsi"/>
                <w:b/>
                <w:bCs/>
                <w:kern w:val="0"/>
                <w:szCs w:val="20"/>
                <w:lang w:val="en-US" w:eastAsia="en-US" w:bidi="ar-SA"/>
              </w:rPr>
              <w:t>)</w:t>
            </w:r>
          </w:p>
        </w:tc>
      </w:tr>
      <w:tr>
        <w:trPr/>
        <w:tc>
          <w:tcPr>
            <w:tcW w:w="1558" w:type="dxa"/>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cstheme="minorHAnsi" w:ascii="Calibri" w:hAnsi="Calibri"/>
                <w:b/>
                <w:bCs/>
                <w:kern w:val="0"/>
                <w:szCs w:val="20"/>
                <w:lang w:val="en-US" w:eastAsia="en-US" w:bidi="ar-SA"/>
              </w:rPr>
            </w:r>
          </w:p>
        </w:tc>
        <w:tc>
          <w:tcPr>
            <w:tcW w:w="1558" w:type="dxa"/>
            <w:tcBorders/>
          </w:tcPr>
          <w:p>
            <w:pPr>
              <w:pStyle w:val="Normal"/>
              <w:widowControl w:val="false"/>
              <w:spacing w:before="0" w:after="120"/>
              <w:jc w:val="center"/>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cm</w:t>
            </w:r>
          </w:p>
        </w:tc>
        <w:tc>
          <w:tcPr>
            <w:tcW w:w="1558" w:type="dxa"/>
            <w:tcBorders/>
          </w:tcPr>
          <w:p>
            <w:pPr>
              <w:pStyle w:val="Normal"/>
              <w:widowControl w:val="false"/>
              <w:spacing w:before="0" w:after="120"/>
              <w:jc w:val="center"/>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g ww</w:t>
            </w:r>
          </w:p>
        </w:tc>
        <w:tc>
          <w:tcPr>
            <w:tcW w:w="1558" w:type="dxa"/>
            <w:tcBorders/>
          </w:tcPr>
          <w:p>
            <w:pPr>
              <w:pStyle w:val="Normal"/>
              <w:widowControl w:val="false"/>
              <w:spacing w:before="0" w:after="120"/>
              <w:jc w:val="center"/>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Original</w:t>
            </w:r>
          </w:p>
        </w:tc>
        <w:tc>
          <w:tcPr>
            <w:tcW w:w="1559" w:type="dxa"/>
            <w:tcBorders/>
          </w:tcPr>
          <w:p>
            <w:pPr>
              <w:pStyle w:val="Normal"/>
              <w:widowControl w:val="false"/>
              <w:spacing w:before="0" w:after="120"/>
              <w:jc w:val="center"/>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Barton et al.</w:t>
            </w:r>
          </w:p>
        </w:tc>
      </w:tr>
      <w:tr>
        <w:trPr/>
        <w:tc>
          <w:tcPr>
            <w:tcW w:w="1558" w:type="dxa"/>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Mosquitofish</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4</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0.50</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0.070</w:t>
            </w:r>
          </w:p>
        </w:tc>
        <w:tc>
          <w:tcPr>
            <w:tcW w:w="1559" w:type="dxa"/>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0.148</w:t>
            </w:r>
          </w:p>
        </w:tc>
      </w:tr>
      <w:tr>
        <w:trPr/>
        <w:tc>
          <w:tcPr>
            <w:tcW w:w="1558" w:type="dxa"/>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Largemouth bass</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40</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1,008</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0.068</w:t>
            </w:r>
          </w:p>
        </w:tc>
        <w:tc>
          <w:tcPr>
            <w:tcW w:w="1559"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0.014</w:t>
            </w:r>
          </w:p>
        </w:tc>
      </w:tr>
      <w:tr>
        <w:trPr/>
        <w:tc>
          <w:tcPr>
            <w:tcW w:w="1558" w:type="dxa"/>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Tilapia</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16</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123</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0.029</w:t>
            </w:r>
          </w:p>
        </w:tc>
        <w:tc>
          <w:tcPr>
            <w:tcW w:w="1559"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0.011</w:t>
            </w:r>
          </w:p>
        </w:tc>
      </w:tr>
      <w:tr>
        <w:trPr/>
        <w:tc>
          <w:tcPr>
            <w:tcW w:w="1558" w:type="dxa"/>
            <w:tcBorders/>
          </w:tcPr>
          <w:p>
            <w:pPr>
              <w:pStyle w:val="Normal"/>
              <w:widowControl w:val="false"/>
              <w:spacing w:before="0" w:after="120"/>
              <w:rPr>
                <w:rFonts w:ascii="Calibri" w:hAnsi="Calibri" w:cs="Calibri" w:asciiTheme="minorHAnsi" w:cstheme="minorHAnsi" w:hAnsiTheme="minorHAnsi"/>
                <w:b/>
                <w:bCs/>
              </w:rPr>
            </w:pPr>
            <w:r>
              <w:rPr>
                <w:rFonts w:eastAsia="Times New Roman" w:cs="Calibri" w:ascii="Calibri" w:hAnsi="Calibri" w:asciiTheme="minorHAnsi" w:cstheme="minorHAnsi" w:hAnsiTheme="minorHAnsi"/>
                <w:b/>
                <w:bCs/>
                <w:kern w:val="0"/>
                <w:szCs w:val="20"/>
                <w:lang w:val="en-US" w:eastAsia="en-US" w:bidi="ar-SA"/>
              </w:rPr>
              <w:t>Grass shrimp</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1.9</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0.124</w:t>
            </w:r>
          </w:p>
        </w:tc>
        <w:tc>
          <w:tcPr>
            <w:tcW w:w="1558"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0.029</w:t>
            </w:r>
          </w:p>
        </w:tc>
        <w:tc>
          <w:tcPr>
            <w:tcW w:w="1559" w:type="dxa"/>
            <w:tcBorders/>
          </w:tcPr>
          <w:p>
            <w:pPr>
              <w:pStyle w:val="Normal"/>
              <w:widowControl w:val="false"/>
              <w:spacing w:before="0" w:after="120"/>
              <w:rPr>
                <w:rFonts w:ascii="Calibri" w:hAnsi="Calibri" w:cs="Calibri" w:asciiTheme="minorHAnsi" w:cstheme="minorHAnsi" w:hAnsiTheme="minorHAnsi"/>
              </w:rPr>
            </w:pPr>
            <w:r>
              <w:rPr>
                <w:rFonts w:eastAsia="Times New Roman" w:cs="Calibri" w:ascii="Calibri" w:hAnsi="Calibri" w:asciiTheme="minorHAnsi" w:cstheme="minorHAnsi" w:hAnsiTheme="minorHAnsi"/>
                <w:kern w:val="0"/>
                <w:szCs w:val="20"/>
                <w:lang w:val="en-US" w:eastAsia="en-US" w:bidi="ar-SA"/>
              </w:rPr>
              <w:t>0.027</w:t>
            </w:r>
          </w:p>
        </w:tc>
      </w:tr>
    </w:tbl>
    <w:p>
      <w:pPr>
        <w:pStyle w:val="Normal"/>
        <w:rPr/>
      </w:pPr>
      <w:r>
        <w:rPr/>
      </w:r>
    </w:p>
    <w:p>
      <w:pPr>
        <w:pStyle w:val="Normal"/>
        <w:rPr/>
      </w:pPr>
      <w:r>
        <w:rPr/>
        <w:t>The revised model results show that consumer excretion was on the order of 0.034 g P/m</w:t>
      </w:r>
      <w:r>
        <w:rPr>
          <w:vertAlign w:val="superscript"/>
        </w:rPr>
        <w:t>2</w:t>
      </w:r>
      <w:r>
        <w:rPr/>
        <w:t xml:space="preserve"> of annual load for segment C over the course of the 2005 – 2020 simulation period (Table 4-2). The current model results indicate that bioturbation accounts for an approximate 0.020 g P/m</w:t>
      </w:r>
      <w:r>
        <w:rPr>
          <w:vertAlign w:val="superscript"/>
        </w:rPr>
        <w:t>2</w:t>
      </w:r>
      <w:r>
        <w:rPr/>
        <w:t xml:space="preserve">.  T </w:t>
      </w:r>
    </w:p>
    <w:p>
      <w:pPr>
        <w:pStyle w:val="Normal"/>
        <w:rPr/>
      </w:pPr>
      <w:r>
        <w:rPr/>
        <w:t xml:space="preserve">Table 4-2 also provides the corresponding values for remineralization and co-precipitation for context. These processes are about an order of magnitude or more greater than the current estimates of excretion and bioturbation. Co-precipitation dominates the internal cycling processes in the current CASM-STA. At the same time, the model only includes three species of fish and grass shrimp; Barton et al. (2023) analyzed excretion contributions from many large- and small-bodied fish and invertebrates that inhabit the STAs. Taken together, these species process substantial amounts of P in the STAs. The model food web could be amended to include more of the species examined by Barton et al. (2023). The initial model results suggest that management actions undertaken to manage fish populations in relation to their contributions to excretion and bioturbation could have measurable impacts on overall P cycling within FW1. </w:t>
      </w:r>
    </w:p>
    <w:p>
      <w:pPr>
        <w:pStyle w:val="Normal"/>
        <w:rPr/>
      </w:pPr>
      <w:r>
        <w:rPr/>
      </w:r>
    </w:p>
    <w:p>
      <w:pPr>
        <w:pStyle w:val="Caption"/>
        <w:rPr/>
      </w:pPr>
      <w:bookmarkStart w:id="214" w:name="_Toc182250951"/>
      <w:r>
        <w:rPr/>
        <w:t xml:space="preserve">Table </w:t>
      </w:r>
      <w:r>
        <w:rPr/>
        <w:fldChar w:fldCharType="begin"/>
      </w:r>
      <w:r>
        <w:rPr/>
        <w:instrText xml:space="preserve"> STYLEREF "1" </w:instrText>
      </w:r>
      <w:r>
        <w:rPr/>
        <w:fldChar w:fldCharType="separate"/>
      </w:r>
      <w:r>
        <w:rPr/>
        <w:t>Conclusions and Management implications</w:t>
      </w:r>
      <w:r>
        <w:rPr/>
        <w:fldChar w:fldCharType="end"/>
      </w:r>
      <w:r>
        <w:rPr/>
        <w:noBreakHyphen/>
      </w:r>
      <w:r>
        <w:rPr/>
        <w:fldChar w:fldCharType="begin"/>
      </w:r>
      <w:r>
        <w:rPr/>
        <w:instrText xml:space="preserve"> SEQ Table \* ARABIC </w:instrText>
      </w:r>
      <w:r>
        <w:rPr/>
        <w:fldChar w:fldCharType="separate"/>
      </w:r>
      <w:r>
        <w:rPr/>
        <w:t>42</w:t>
      </w:r>
      <w:r>
        <w:rPr/>
        <w:fldChar w:fldCharType="end"/>
      </w:r>
      <w:r>
        <w:rPr/>
        <w:t>.  Comparison of CASM-STA modeled excretion, bioturbation, remineralization, and co-precipitation for segment C for 2005 – 2020.</w:t>
      </w:r>
      <w:bookmarkEnd w:id="214"/>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3"/>
        <w:gridCol w:w="1774"/>
        <w:gridCol w:w="1840"/>
        <w:gridCol w:w="1857"/>
        <w:gridCol w:w="1716"/>
      </w:tblGrid>
      <w:tr>
        <w:trPr/>
        <w:tc>
          <w:tcPr>
            <w:tcW w:w="2163" w:type="dxa"/>
            <w:tcBorders/>
          </w:tcPr>
          <w:p>
            <w:pPr>
              <w:pStyle w:val="Normal"/>
              <w:widowControl w:val="false"/>
              <w:spacing w:lineRule="auto" w:line="240" w:before="0" w:after="0"/>
              <w:rPr>
                <w:rFonts w:ascii="Calibri" w:hAnsi="Calibri" w:cs="Calibri"/>
                <w:b/>
                <w:bCs/>
              </w:rPr>
            </w:pPr>
            <w:r>
              <w:rPr>
                <w:rFonts w:eastAsia="Times New Roman" w:cs="Calibri" w:ascii="Calibri" w:hAnsi="Calibri"/>
                <w:b/>
                <w:bCs/>
                <w:kern w:val="0"/>
                <w:szCs w:val="20"/>
                <w:lang w:val="en-US" w:eastAsia="en-US" w:bidi="ar-SA"/>
              </w:rPr>
              <w:t>Process</w:t>
            </w:r>
          </w:p>
        </w:tc>
        <w:tc>
          <w:tcPr>
            <w:tcW w:w="1774" w:type="dxa"/>
            <w:tcBorders/>
          </w:tcPr>
          <w:p>
            <w:pPr>
              <w:pStyle w:val="Normal"/>
              <w:widowControl w:val="false"/>
              <w:spacing w:lineRule="auto" w:line="240" w:before="0" w:after="0"/>
              <w:jc w:val="center"/>
              <w:rPr>
                <w:rFonts w:ascii="Calibri" w:hAnsi="Calibri" w:cs="Calibri"/>
                <w:b/>
                <w:bCs/>
              </w:rPr>
            </w:pPr>
            <w:r>
              <w:rPr>
                <w:rFonts w:eastAsia="Times New Roman" w:cs="Calibri" w:ascii="Calibri" w:hAnsi="Calibri"/>
                <w:b/>
                <w:bCs/>
                <w:kern w:val="0"/>
                <w:szCs w:val="20"/>
                <w:lang w:val="en-US" w:eastAsia="en-US" w:bidi="ar-SA"/>
              </w:rPr>
              <w:t>mean daily g P/m</w:t>
            </w:r>
            <w:r>
              <w:rPr>
                <w:rFonts w:eastAsia="Times New Roman" w:cs="Calibri" w:ascii="Calibri" w:hAnsi="Calibri"/>
                <w:b/>
                <w:bCs/>
                <w:kern w:val="0"/>
                <w:szCs w:val="20"/>
                <w:vertAlign w:val="superscript"/>
                <w:lang w:val="en-US" w:eastAsia="en-US" w:bidi="ar-SA"/>
              </w:rPr>
              <w:t>2</w:t>
            </w:r>
          </w:p>
        </w:tc>
        <w:tc>
          <w:tcPr>
            <w:tcW w:w="1840" w:type="dxa"/>
            <w:tcBorders/>
          </w:tcPr>
          <w:p>
            <w:pPr>
              <w:pStyle w:val="Normal"/>
              <w:widowControl w:val="false"/>
              <w:spacing w:lineRule="auto" w:line="240" w:before="0" w:after="0"/>
              <w:jc w:val="center"/>
              <w:rPr>
                <w:rFonts w:ascii="Calibri" w:hAnsi="Calibri" w:cs="Calibri"/>
                <w:b/>
                <w:bCs/>
              </w:rPr>
            </w:pPr>
            <w:r>
              <w:rPr>
                <w:rFonts w:eastAsia="Times New Roman" w:cs="Calibri" w:ascii="Calibri" w:hAnsi="Calibri"/>
                <w:b/>
                <w:bCs/>
                <w:kern w:val="0"/>
                <w:szCs w:val="20"/>
                <w:lang w:val="en-US" w:eastAsia="en-US" w:bidi="ar-SA"/>
              </w:rPr>
              <w:t>minimum daily g P/m</w:t>
            </w:r>
            <w:r>
              <w:rPr>
                <w:rFonts w:eastAsia="Times New Roman" w:cs="Calibri" w:ascii="Calibri" w:hAnsi="Calibri"/>
                <w:b/>
                <w:bCs/>
                <w:kern w:val="0"/>
                <w:szCs w:val="20"/>
                <w:vertAlign w:val="superscript"/>
                <w:lang w:val="en-US" w:eastAsia="en-US" w:bidi="ar-SA"/>
              </w:rPr>
              <w:t>2</w:t>
            </w:r>
          </w:p>
        </w:tc>
        <w:tc>
          <w:tcPr>
            <w:tcW w:w="1857" w:type="dxa"/>
            <w:tcBorders/>
          </w:tcPr>
          <w:p>
            <w:pPr>
              <w:pStyle w:val="Normal"/>
              <w:widowControl w:val="false"/>
              <w:spacing w:lineRule="auto" w:line="240" w:before="0" w:after="0"/>
              <w:jc w:val="center"/>
              <w:rPr>
                <w:rFonts w:ascii="Calibri" w:hAnsi="Calibri" w:cs="Calibri"/>
                <w:b/>
                <w:bCs/>
              </w:rPr>
            </w:pPr>
            <w:r>
              <w:rPr>
                <w:rFonts w:eastAsia="Times New Roman" w:cs="Calibri" w:ascii="Calibri" w:hAnsi="Calibri"/>
                <w:b/>
                <w:bCs/>
                <w:kern w:val="0"/>
                <w:szCs w:val="20"/>
                <w:lang w:val="en-US" w:eastAsia="en-US" w:bidi="ar-SA"/>
              </w:rPr>
              <w:t>maximum daily g P/m</w:t>
            </w:r>
            <w:r>
              <w:rPr>
                <w:rFonts w:eastAsia="Times New Roman" w:cs="Calibri" w:ascii="Calibri" w:hAnsi="Calibri"/>
                <w:b/>
                <w:bCs/>
                <w:kern w:val="0"/>
                <w:szCs w:val="20"/>
                <w:vertAlign w:val="superscript"/>
                <w:lang w:val="en-US" w:eastAsia="en-US" w:bidi="ar-SA"/>
              </w:rPr>
              <w:t>2</w:t>
            </w:r>
          </w:p>
        </w:tc>
        <w:tc>
          <w:tcPr>
            <w:tcW w:w="1716" w:type="dxa"/>
            <w:tcBorders/>
          </w:tcPr>
          <w:p>
            <w:pPr>
              <w:pStyle w:val="Normal"/>
              <w:widowControl w:val="false"/>
              <w:spacing w:lineRule="auto" w:line="240" w:before="0" w:after="0"/>
              <w:jc w:val="center"/>
              <w:rPr>
                <w:rFonts w:ascii="Calibri" w:hAnsi="Calibri" w:cs="Calibri"/>
                <w:b/>
                <w:bCs/>
              </w:rPr>
            </w:pPr>
            <w:r>
              <w:rPr>
                <w:rFonts w:eastAsia="Times New Roman" w:cs="Calibri" w:ascii="Calibri" w:hAnsi="Calibri"/>
                <w:b/>
                <w:bCs/>
                <w:kern w:val="0"/>
                <w:szCs w:val="20"/>
                <w:lang w:val="en-US" w:eastAsia="en-US" w:bidi="ar-SA"/>
              </w:rPr>
              <w:t>mean annual g P/m</w:t>
            </w:r>
            <w:r>
              <w:rPr>
                <w:rFonts w:eastAsia="Times New Roman" w:cs="Calibri" w:ascii="Calibri" w:hAnsi="Calibri"/>
                <w:b/>
                <w:bCs/>
                <w:kern w:val="0"/>
                <w:szCs w:val="20"/>
                <w:vertAlign w:val="superscript"/>
                <w:lang w:val="en-US" w:eastAsia="en-US" w:bidi="ar-SA"/>
              </w:rPr>
              <w:t>2</w:t>
            </w:r>
          </w:p>
        </w:tc>
      </w:tr>
      <w:tr>
        <w:trPr/>
        <w:tc>
          <w:tcPr>
            <w:tcW w:w="2163" w:type="dxa"/>
            <w:tcBorders/>
          </w:tcPr>
          <w:p>
            <w:pPr>
              <w:pStyle w:val="Normal"/>
              <w:widowControl w:val="false"/>
              <w:spacing w:lineRule="auto" w:line="240" w:before="0" w:after="0"/>
              <w:rPr>
                <w:rFonts w:ascii="Calibri" w:hAnsi="Calibri" w:cs="Calibri"/>
                <w:b/>
                <w:bCs/>
              </w:rPr>
            </w:pPr>
            <w:r>
              <w:rPr>
                <w:rFonts w:eastAsia="Times New Roman" w:cs="Calibri" w:ascii="Calibri" w:hAnsi="Calibri"/>
                <w:b/>
                <w:bCs/>
                <w:kern w:val="0"/>
                <w:szCs w:val="20"/>
                <w:lang w:val="en-US" w:eastAsia="en-US" w:bidi="ar-SA"/>
              </w:rPr>
              <w:t>Excretion</w:t>
            </w:r>
          </w:p>
        </w:tc>
        <w:tc>
          <w:tcPr>
            <w:tcW w:w="1774"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0.00009</w:t>
            </w:r>
          </w:p>
        </w:tc>
        <w:tc>
          <w:tcPr>
            <w:tcW w:w="1840"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w:t>
            </w:r>
          </w:p>
        </w:tc>
        <w:tc>
          <w:tcPr>
            <w:tcW w:w="1857"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0.00011</w:t>
            </w:r>
          </w:p>
        </w:tc>
        <w:tc>
          <w:tcPr>
            <w:tcW w:w="1716"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0.034</w:t>
            </w:r>
          </w:p>
        </w:tc>
      </w:tr>
      <w:tr>
        <w:trPr/>
        <w:tc>
          <w:tcPr>
            <w:tcW w:w="2163" w:type="dxa"/>
            <w:tcBorders/>
          </w:tcPr>
          <w:p>
            <w:pPr>
              <w:pStyle w:val="Normal"/>
              <w:widowControl w:val="false"/>
              <w:spacing w:lineRule="auto" w:line="240" w:before="0" w:after="0"/>
              <w:rPr>
                <w:rFonts w:ascii="Calibri" w:hAnsi="Calibri" w:cs="Calibri"/>
                <w:b/>
                <w:bCs/>
              </w:rPr>
            </w:pPr>
            <w:r>
              <w:rPr>
                <w:rFonts w:eastAsia="Times New Roman" w:cs="Calibri" w:ascii="Calibri" w:hAnsi="Calibri"/>
                <w:b/>
                <w:bCs/>
                <w:kern w:val="0"/>
                <w:szCs w:val="20"/>
                <w:lang w:val="en-US" w:eastAsia="en-US" w:bidi="ar-SA"/>
              </w:rPr>
              <w:t>Bioturbation</w:t>
            </w:r>
          </w:p>
        </w:tc>
        <w:tc>
          <w:tcPr>
            <w:tcW w:w="1774"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0.00006</w:t>
            </w:r>
          </w:p>
        </w:tc>
        <w:tc>
          <w:tcPr>
            <w:tcW w:w="1840"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0.00002</w:t>
            </w:r>
          </w:p>
        </w:tc>
        <w:tc>
          <w:tcPr>
            <w:tcW w:w="1857"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0.00017</w:t>
            </w:r>
          </w:p>
        </w:tc>
        <w:tc>
          <w:tcPr>
            <w:tcW w:w="1716"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0.020</w:t>
            </w:r>
          </w:p>
        </w:tc>
      </w:tr>
      <w:tr>
        <w:trPr/>
        <w:tc>
          <w:tcPr>
            <w:tcW w:w="2163" w:type="dxa"/>
            <w:tcBorders/>
          </w:tcPr>
          <w:p>
            <w:pPr>
              <w:pStyle w:val="Normal"/>
              <w:widowControl w:val="false"/>
              <w:spacing w:lineRule="auto" w:line="240" w:before="0" w:after="0"/>
              <w:rPr>
                <w:rFonts w:ascii="Calibri" w:hAnsi="Calibri" w:cs="Calibri"/>
                <w:b/>
                <w:bCs/>
              </w:rPr>
            </w:pPr>
            <w:r>
              <w:rPr>
                <w:rFonts w:eastAsia="Times New Roman" w:cs="Calibri" w:ascii="Calibri" w:hAnsi="Calibri"/>
                <w:b/>
                <w:bCs/>
                <w:kern w:val="0"/>
                <w:szCs w:val="20"/>
                <w:lang w:val="en-US" w:eastAsia="en-US" w:bidi="ar-SA"/>
              </w:rPr>
              <w:t>Remineralization</w:t>
            </w:r>
          </w:p>
        </w:tc>
        <w:tc>
          <w:tcPr>
            <w:tcW w:w="1774"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0.00169</w:t>
            </w:r>
          </w:p>
        </w:tc>
        <w:tc>
          <w:tcPr>
            <w:tcW w:w="1840"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0.00056</w:t>
            </w:r>
          </w:p>
        </w:tc>
        <w:tc>
          <w:tcPr>
            <w:tcW w:w="1857"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0.00819</w:t>
            </w:r>
          </w:p>
        </w:tc>
        <w:tc>
          <w:tcPr>
            <w:tcW w:w="1716"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0.615</w:t>
            </w:r>
          </w:p>
        </w:tc>
      </w:tr>
      <w:tr>
        <w:trPr/>
        <w:tc>
          <w:tcPr>
            <w:tcW w:w="2163" w:type="dxa"/>
            <w:tcBorders/>
          </w:tcPr>
          <w:p>
            <w:pPr>
              <w:pStyle w:val="Normal"/>
              <w:widowControl w:val="false"/>
              <w:spacing w:lineRule="auto" w:line="240" w:before="0" w:after="0"/>
              <w:rPr>
                <w:rFonts w:ascii="Calibri" w:hAnsi="Calibri" w:cs="Calibri"/>
                <w:b/>
                <w:bCs/>
              </w:rPr>
            </w:pPr>
            <w:r>
              <w:rPr>
                <w:rFonts w:eastAsia="Times New Roman" w:cs="Calibri" w:ascii="Calibri" w:hAnsi="Calibri"/>
                <w:b/>
                <w:bCs/>
                <w:kern w:val="0"/>
                <w:szCs w:val="20"/>
                <w:lang w:val="en-US" w:eastAsia="en-US" w:bidi="ar-SA"/>
              </w:rPr>
              <w:t>Co-precipitation</w:t>
            </w:r>
          </w:p>
        </w:tc>
        <w:tc>
          <w:tcPr>
            <w:tcW w:w="1774"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0.03584</w:t>
            </w:r>
          </w:p>
        </w:tc>
        <w:tc>
          <w:tcPr>
            <w:tcW w:w="1840"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w:t>
            </w:r>
          </w:p>
        </w:tc>
        <w:tc>
          <w:tcPr>
            <w:tcW w:w="1857"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0.03072</w:t>
            </w:r>
          </w:p>
        </w:tc>
        <w:tc>
          <w:tcPr>
            <w:tcW w:w="1716" w:type="dxa"/>
            <w:tcBorders/>
          </w:tcPr>
          <w:p>
            <w:pPr>
              <w:pStyle w:val="Normal"/>
              <w:widowControl w:val="false"/>
              <w:spacing w:lineRule="auto" w:line="240" w:before="0" w:after="0"/>
              <w:rPr>
                <w:rFonts w:ascii="Calibri" w:hAnsi="Calibri" w:cs="Calibri"/>
              </w:rPr>
            </w:pPr>
            <w:r>
              <w:rPr>
                <w:rFonts w:eastAsia="Times New Roman" w:cs="Calibri" w:ascii="Calibri" w:hAnsi="Calibri"/>
                <w:kern w:val="0"/>
                <w:szCs w:val="20"/>
                <w:lang w:val="en-US" w:eastAsia="en-US" w:bidi="ar-SA"/>
              </w:rPr>
              <w:t>13.082</w:t>
            </w:r>
          </w:p>
        </w:tc>
      </w:tr>
    </w:tbl>
    <w:p>
      <w:pPr>
        <w:pStyle w:val="Normal"/>
        <w:rPr/>
      </w:pPr>
      <w:r>
        <w:rPr/>
      </w:r>
    </w:p>
    <w:p>
      <w:pPr>
        <w:pStyle w:val="Normal"/>
        <w:rPr/>
      </w:pPr>
      <w:r>
        <w:rPr/>
      </w:r>
    </w:p>
    <w:p>
      <w:pPr>
        <w:pStyle w:val="Normal"/>
        <w:keepNext w:val="true"/>
        <w:numPr>
          <w:ilvl w:val="1"/>
          <w:numId w:val="1"/>
        </w:numPr>
        <w:spacing w:before="180" w:after="60"/>
        <w:jc w:val="left"/>
        <w:outlineLvl w:val="1"/>
        <w:rPr>
          <w:rFonts w:ascii="Arial" w:hAnsi="Arial"/>
          <w:b/>
          <w:color w:themeColor="text1" w:val="000000"/>
          <w:sz w:val="24"/>
        </w:rPr>
      </w:pPr>
      <w:bookmarkStart w:id="215" w:name="_Toc182252533"/>
      <w:r>
        <w:rPr>
          <w:rFonts w:ascii="Arial" w:hAnsi="Arial"/>
          <w:b/>
          <w:color w:themeColor="text1" w:val="000000"/>
          <w:sz w:val="24"/>
        </w:rPr>
        <w:t>Summary</w:t>
      </w:r>
      <w:bookmarkEnd w:id="215"/>
    </w:p>
    <w:p>
      <w:pPr>
        <w:pStyle w:val="Normal"/>
        <w:rPr/>
      </w:pPr>
      <w:r>
        <w:rPr/>
        <w:t xml:space="preserve">The current status of the CASM-STA demonstrates the possibility of integrating detailed phosphorus biogeochemistry together with biological and ecological processes to describe P dynamics within a spatially segmented physical representation of FW1. The coupling of modeled hydrodynamics (e.g., daily volumes, depths, and flows) produced by the BGC model and used to drive transport through the segmented CASM-STA appears as a useful balance between hydrodynamic and biogeochemical-ecological complexity in model structure and functionality. </w:t>
      </w:r>
    </w:p>
    <w:p>
      <w:pPr>
        <w:pStyle w:val="Normal"/>
        <w:rPr/>
      </w:pPr>
      <w:r>
        <w:rPr/>
        <w:t xml:space="preserve">The CASM-STA exists as a working model to: 1) quantitatively characterize P dynamics in the constructed wetlands; 2) contribute to increased understanding of the relative importance of modeled processes in determining P dynamics; and 3) permit exploration of alternative management actions (e.g., manage STA fish populations) as they might influence the likelihood of sustaining water quality regulatory criteria (WQBEL) and meeting overall STA management objectives. Importantly, the CASM-STA could be used in its present form to examine the implications of climate-change induced changes in water temperature and hydrology (e.g., altered precipitation, flows, depth) on future functioning of the STAs in relation to meeting regulatory requirements and sustaining the functional integrity of the managed wetlands. These applications of the CASM-STA are currently possible, but it should be recognized that the model remains open for future revisions and refinements. The current status of the CASM-STA calibration and characterization of model sensitivities can guide the interpretation of the results of simulations performed to address the above management issues. </w:t>
      </w:r>
    </w:p>
    <w:p>
      <w:pPr>
        <w:sectPr>
          <w:headerReference w:type="default" r:id="rId200"/>
          <w:headerReference w:type="first" r:id="rId201"/>
          <w:footerReference w:type="default" r:id="rId202"/>
          <w:footerReference w:type="first" r:id="rId203"/>
          <w:type w:val="nextPage"/>
          <w:pgSz w:w="12240" w:h="15840"/>
          <w:pgMar w:left="1440" w:right="1440" w:gutter="0" w:header="576" w:top="1440" w:footer="576" w:bottom="1440"/>
          <w:pgNumType w:start="1" w:fmt="decimal"/>
          <w:formProt w:val="false"/>
          <w:titlePg/>
          <w:textDirection w:val="lrTb"/>
          <w:docGrid w:type="default" w:linePitch="299" w:charSpace="0"/>
        </w:sectPr>
        <w:pStyle w:val="Normal"/>
        <w:rPr>
          <w:color w:themeColor="text1" w:val="000000"/>
        </w:rPr>
      </w:pPr>
      <w:r>
        <w:rPr>
          <w:color w:themeColor="text1" w:val="000000"/>
        </w:rPr>
      </w:r>
    </w:p>
    <w:p>
      <w:pPr>
        <w:pStyle w:val="Heading1"/>
        <w:rPr/>
      </w:pPr>
      <w:bookmarkStart w:id="216" w:name="_Toc182252534"/>
      <w:r>
        <w:rPr/>
        <w:t>References</w:t>
      </w:r>
      <w:bookmarkEnd w:id="216"/>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Associated Consent Order (OGC 12-1149). Florida Department of Environmental Protection, Tallahassee, FL. September 10, 2012.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Avnimelech Y, Kochva M, Hargreaves JA. 1999. Sedimentation and resuspension in earthen fish ponds. Journal of the World Aquaculture Society 30:</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Bartell, S.M., Brenkert, A.L., Breck, J.E, Gardner, R.H. 1986. Comparison of numerical sensitivity and uncertainty analyses of bioenergetic models of fish growth. Canadian Journal of Fisheries and Aquatic Sciences 43:160 168.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Bartell, S.M., Brenkert, A.L., Carpenter, S.R. 1988a. Parameter uncertainty and the behavior of a size-dependent plankton model. Ecological Modelling 40:85-95.</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Bartell, S.M., Brenkert, A.L., O’Neill, R.V., Gardner, R.H. 1988b. Temporal variation in regulation of production in a pelagic food web model, pp. 101-118. In Carpenter, S.R. (Ed.), Complex interactions in lake communities. Springer-Verlag, New York.</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Barton M, Trexler J, Cook M, Newman S. 2020. Appendix 5C-1: Estimating phosphorus and nitrogen excretion in fishes in the Everglades Stormwater Treatment Areas. 2020 South Florida Environmental Report – Volume I. South Florida Water Management District, Gun Club Road, West Palm Beach, FL.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Barton, M., Trexler, J., Cook, M. and Newman, S. 2020. Appendix 5C-1: Estimating Phosphorus and Nitrogen Excretion in Fishes in the Everglades Stormwater Treatment Areas. In: 2020 South Florida Environmental Report – Volume I, South Florida Water Management District, West Palm Beach, FL. 18 pp.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Barton, M., Trexler, J., Cook, M., and Newman, S. 2021. Investigation of the effects of abundant faunal species on phosphorus cycling in the stormwater treatment areas (Faunal study). Chapter 5. 2021 South Florida Environment Report – Volume I.</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Bhomia, R.K., Inglett, P.W., and Reddy, K.R. 2015. Soil and phosphorus accretion rates in sub-tropical wetlands: Everglades Stormwater Treatment Areas as a case example. Science of the Total Environment 533:297-306.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Brix, H., Lorenzen, B., Mendelssohn, I.A., McKee, K.L, and Miao, S. 2010. Can differences in phosphorus uptake kinetics explain the distribution of cattail and sawgrass in the Florida Everglades?  BMC Plant Biology 10:23 http://www.biomedcentral.com/1471-2229/10/23.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Buzzelli, C. 1998. Dynamic simulation of littoral zone habitats in lower Chesapeake Bay. I. An ecosystem characterization related to model development. Estuaries 21B(4):659-672.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Buzzelli, C., Childers, D.L., Dong, Q., and Jones, R.D. 2000. Simulation of periphyton phosphorus dynamics in Everglades National Park. Ecological Modelling 134(1):103-115.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Buzzelli, C., Gorman, P., Doering, P.H., Wan, Y., and Chen, Z. 2015. The application of oyster and seagrass models to evaluate alternative inflow scenarios related to Everglades restoration. Ecological Modelling 297:154-170.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Buzzelli, C., Holland, A.F., Sanger, D.M., and Conrads, P.C. 2007. Hydrographic characterization of tidal creeks with implications for watershed land use, flushing times, and benthic production. Estuaries and Coasts 30(2):321-330.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CELLC (Coastal Ecosystems, LLC) 2024. Technical Memorandum: Phase III development of models for Everglades stormwater treatment areas (STAs). Task 8.5. Biogeochemical model sensitivity analysis. May 2024.</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CELLC. 2021.  Development of Simulation Model for Everglades Stormwater Treatment Areas (STAs). Data Integration &amp; Analysis Phase I. Report to Environmental Science Associates for the South Florida Water Management District.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CELLC. 2022.  Development of Simulation Model for Everglades Stormwater Treatment Areas (STAs). Data Integration &amp; Analysis Phase II. Report to Environmental Science Associates for the South Florida Water Management District.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Chen, H. and Vaughan, K. 2014. Influence of inundation depth on </w:t>
      </w:r>
      <w:r>
        <w:rPr>
          <w:rFonts w:eastAsia="宋体" w:cs="Segoe UI" w:eastAsiaTheme="minorEastAsia"/>
          <w:i/>
          <w:color w:themeColor="text1" w:val="000000"/>
          <w:sz w:val="20"/>
          <w:lang w:eastAsia="zh-CN"/>
        </w:rPr>
        <w:t>Typha</w:t>
      </w:r>
      <w:r>
        <w:rPr>
          <w:rFonts w:eastAsia="宋体" w:cs="Segoe UI" w:eastAsiaTheme="minorEastAsia"/>
          <w:color w:themeColor="text1" w:val="000000"/>
          <w:sz w:val="20"/>
          <w:lang w:eastAsia="zh-CN"/>
        </w:rPr>
        <w:t xml:space="preserve"> domingensis and its implication for phosphorus removal in the Everglades Stormwater Treatment Area.  Wetlands 34:325-334.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Chen, H., Zamorano, M.F., and Ivanoff, D. 2010.  Effect of flooding depth on growth, biomass, photosynthesis, and chlorophyll fluorescence of </w:t>
      </w:r>
      <w:r>
        <w:rPr>
          <w:rFonts w:eastAsia="宋体" w:cs="Segoe UI" w:eastAsiaTheme="minorEastAsia"/>
          <w:i/>
          <w:color w:themeColor="text1" w:val="000000"/>
          <w:sz w:val="20"/>
          <w:lang w:eastAsia="zh-CN"/>
        </w:rPr>
        <w:t>Typha</w:t>
      </w:r>
      <w:r>
        <w:rPr>
          <w:rFonts w:eastAsia="宋体" w:cs="Segoe UI" w:eastAsiaTheme="minorEastAsia"/>
          <w:color w:themeColor="text1" w:val="000000"/>
          <w:sz w:val="20"/>
          <w:lang w:eastAsia="zh-CN"/>
        </w:rPr>
        <w:t xml:space="preserve"> domingensis.  Wetlands 30:957-965.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Chimney, M.J.  2019.  Chapter 5B: Performance and Operation of the Everglades Stormwater Treatment Areas. South Florida Environmental Report, 2021. Volume I. South Florida Water Management District, West Palm Beach, FL.</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Chimney, M.J.  2020.  Chapter 5B: Performance and Operation of the Everglades Stormwater Treatment Areas. South Florida Environmental Report, 2021. Volume I. South Florida Water Management District, West Palm Beach, FL.</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Chimney, M.J.  2021.  Chapter 5B: Performance and Operation of the Everglades Stormwater Treatment Areas. South Florida Environmental Report, 2021. Volume I, South Florida Water Management District.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Chimney, M.J., and Pietro, K.C.  2006.  Decomposition of macrophyte litter in a subtropical constructed wetland in south Florida (USA).  Ecological Engineering 27:301-320.</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Chipps SR, Wahl DH. 2004. Development and evaluation of a western mosquitofish bioenergetics model. Transactions of the American Fisheries Society 133:1150-1162.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Clark, M.  2019.  Literature Review of Formation Factors and Management of Floating Wetlands. Task2a of Work Order: 4600003031-WO04 submitted to the South Florida Water Management District, West Palm Beach, FL. 33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Clark, M. and Glodzik, K.  2020.  Data mining and statistical analysis of environmental factors related to floating tussock formation. Task 1 of Work Order 4600004016-W001. Submitted to the South Florida Water Management District, West Palm Beach, FL 40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Coastal Ecosystems (CE), LLC. 2022. STA Modeling Phase II: Data Integration and Analysis. March, 2022. Wilmington, NC.</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Cummins, KW. 1973. Trophic relations of aquatic insects. Annual Review of Entomology 18:183-206.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DB Environmental (DBE), Inc.  2015.  Quantifying Operational Boundaries: Depth and P Loading Effects.  Prepared for the South Florida Water Management District, West Palm Beach, Fl. 38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Deslauriers D, Chipps SR, Breck JE, Rice JA, Madenjian CP. 2017. Fish Bioenergetics 4.0: An R-Based Modeling Application. Fisheries 42, 586–596. https://doi.org/10.1080/03632415.2017.1377558</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Diaz, O.  2018.  Appendix 5C-5: Evaluation of Inundation Depth and Duration Threshold for Cattail Sustainability: In Situ Study. In: 2018 South Florida Environmental Report – Volume I, South Florida Water Management District, West Palm Beach, FL. 19 pp.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Diaz, O.A.; Chimney, M.J.; Nigel, A.T.; Vaughan, K.A.; Chen, H. 2023. Evaluation of Water Depth and Inundation Duration on </w:t>
      </w:r>
      <w:r>
        <w:rPr>
          <w:rFonts w:eastAsia="宋体" w:cs="Segoe UI" w:eastAsiaTheme="minorEastAsia"/>
          <w:i/>
          <w:color w:themeColor="text1" w:val="000000"/>
          <w:sz w:val="20"/>
          <w:lang w:eastAsia="zh-CN"/>
        </w:rPr>
        <w:t>Typha</w:t>
      </w:r>
      <w:r>
        <w:rPr>
          <w:rFonts w:eastAsia="宋体" w:cs="Segoe UI" w:eastAsiaTheme="minorEastAsia"/>
          <w:color w:themeColor="text1" w:val="000000"/>
          <w:sz w:val="20"/>
          <w:lang w:eastAsia="zh-CN"/>
        </w:rPr>
        <w:t xml:space="preserve"> domingensis Sustainability in the Ever-glades Stormwater Treatment Areas: A Test Cell Study. Ecological Engineering. 197.</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Diaz, O. and Vaughan, K.  2019.  Appendix 5C-2: Evaluation of Inundation Depth and Duration for Cattail Sustainability: In Situ Study. In 2019 South Florida Environmental Report – Volume I, South Florida Water Management District, West Palm Beach, FL. 23 pp.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Dierberg, F.E., DeBusk, T.A., Kharbanda, M.D., Potts, J.A., Grace, K.A., Jerauld, M.J., and Ivanoff, D.B.  2021.  Long-term sustainable phosphorus (P) retention in a low-P stormwater wetland for Everglades restoration.  Science of the Total Environment.  756.</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Dodds, W.K.  2003.  The role of periphyton in phosphorus retention in shallow freshwater aquatic systems.  J. Phycology 39:840-849.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Dombrowski, J. 2019.  Antecedent Land Use of the Everglades Stormwater Treatment Areas.  South Florida Water Management District Technical Publication WR-2019-002.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Dombrowski, J., Powers, P., Wilson, J., King, J., Grace, K., Myles, J. Sierer Finn, D., Hellman, K., Eyeington, I, Frye, A, Kharbanda, M., and Chimney, M.  2020.  Appendix 5B-4: Submerged Aquatic Vegetation Coverage in the Stormwater Treatment Areas. In: 2020 South Florida Environmental Report – Volume I, South Florida Water Management District, West Palm Beach, FL. 22 pp.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Eid, E.M., Shaltout, K.H., and Asaeda, T.  2012.  Modeling growth dynamics of </w:t>
      </w:r>
      <w:r>
        <w:rPr>
          <w:rFonts w:eastAsia="宋体" w:cs="Segoe UI" w:eastAsiaTheme="minorEastAsia"/>
          <w:i/>
          <w:color w:themeColor="text1" w:val="000000"/>
          <w:sz w:val="20"/>
          <w:lang w:eastAsia="zh-CN"/>
        </w:rPr>
        <w:t>Typha</w:t>
      </w:r>
      <w:r>
        <w:rPr>
          <w:rFonts w:eastAsia="宋体" w:cs="Segoe UI" w:eastAsiaTheme="minorEastAsia"/>
          <w:color w:themeColor="text1" w:val="000000"/>
          <w:sz w:val="20"/>
          <w:lang w:eastAsia="zh-CN"/>
        </w:rPr>
        <w:t xml:space="preserve"> domingensis (Pers.) Poir. ex Steud. In Lake Burullius, Egypt.  Ecological Modelling 243:63-72.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Evans-White, M.A., Stelzer, R.S., and Lamberti, G.A. 2005. Taxonomic and regional patterns in macroinvertebrate elemental composition in streams. Freshwater Biology 50:1786-1799.</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FDEP and USEPA.  2012.  Everglades Water Quality Restoration Framework Agreement between U.S. Environmental Protection Agency, Region IV, Atlanta, GA, and Florida Department of Environmental Protection, Tallahassee, FL. June 12, 2012.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FDEP.  2012a.  STA National Pollutant Discharge Elimination System (NPDES) Watershed Permit (No. FL0778451) and Associated Consent Order (OGC 12-1148). Florida Department of Environmental Protection, Tallahassee, FL. September 10, 2012.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FDEP.  2012b.  STA Everglades Forever Act (EFA) Watershed Permit (No. 0311207) and Associated Consent Order (OGC 12-1149). Florida Department of Environmental Protection, Tallahassee, FL. September 10, 2012.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FDEP.  2017.  Everglades Forever Act Permit, Everglades Construction Project: Stormwater Treatment Area (STA) 1 East, 1 West, 2, 3/4, 5 and 6 (No 0311207). Florida Department of Environmental Protection, Tallahassee, FL. August 18, 2017.</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FDEP. 2012a. STA National Pollutant Discharge Elimination System (NPDES) Watershed Permit (No. FL0778451) and Associated Consent Order (OGC 12-1148). Florida Department of Environmental Protection, Tallahassee, FL. September 10, 2012.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FDEP. 2012b. STA Everglades Forever Act (EFA) Watershed Permit (No. 0311207) and</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FDEP. 2017. Everglades Forever Act Permit, Everglades Construction Project: Stormwater Treatment Area (STA) 1 East, 1 West, 2, 3/4, 5 and 6 (No 0311207). Florida Department of Environmental Protection, Tallahassee, FL. August 18, 2017.</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Fitz, H.C., DeBellevue, E.B., Costanza, R., Boumans, R., Maxwell, T., Wainger, L., and Sklar, F.H.  1996.  Development of a general ecosystem model for a range of scales and ecosystems. Ecological Modeling 88:263-295.</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Fugate, D.C., Thomas, S., and Scinto, L.J.  2021.  Particle dynamics in stormwater treatment areas.  Ecological Engineering 160:106-131.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Garcia, J., Solimeno, A.,. Zhang, L., Marois, D., Mitsch, W.J.  2020.  Constructed wetlands to solve agricultural drainage pollution in South Florida: Development of an advanced simulation tool for design optimization.  Journal of Cleaner Production 258 (2020) 120868.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Grace, K.  2003.  Phosphorus Removal and Soil Stability within Emergent and Submerged Vegetation Communities in Treatment Wetlands.  University of Florida M.S. Thesis.  147 pp.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Gupta, H.V., Kling, H., Yilmaz, K.K., Martinez, G.F.  2009.  Decomposition of the mean squared error and NSE performance criteria: Implications for improving hydrologic modelling.  Journal of Hydrology 377:80-91.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Hagerthey, S. 2011.  Everglades Periphyton: A Biogeochemical Perspective.  Critical Reviews in Environmental Science and Technology 41(S1):309-343.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Hagerthey, S., Cole, J.J., and Kilbane, D.  2010.  Aquatic metabolism in the Everglades: Dominance of water column heterotrophy.  Limnol. Oceanogr. 55(2):653-666.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Hargrave BT, Geen GH. 1968. Phosphorus excretion by zooplankton. Limnology and Oceanography 13:332-343.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Havens KE. 1991. Fish-induced sediment resuspension: effects on phytoplankton biomass and community structure in a shallow hypereutrophic lake. Journal of Plankton Research 13:1163-1176.</w:t>
      </w:r>
    </w:p>
    <w:p>
      <w:pPr>
        <w:pStyle w:val="Normal"/>
        <w:spacing w:lineRule="auto" w:line="240"/>
        <w:ind w:hanging="720" w:left="720"/>
        <w:jc w:val="left"/>
        <w:rPr>
          <w:rFonts w:ascii="Calibri" w:hAnsi="Calibri" w:cs="Calibri"/>
          <w:color w:themeColor="text1" w:val="000000"/>
          <w:szCs w:val="22"/>
        </w:rPr>
      </w:pPr>
      <w:r>
        <w:rPr>
          <w:rFonts w:cs="Calibri" w:ascii="Calibri" w:hAnsi="Calibri"/>
          <w:color w:themeColor="text1" w:val="000000"/>
          <w:szCs w:val="22"/>
        </w:rPr>
        <w:t xml:space="preserve">James, R.T.; Armstrong, C.; Piccone, T.; King, J.; Chimney, M.J.; Reddy, K.R.; White, J.R. 2024. Everglades stormwater treatment area research: Synthesis, conclusions, and potential management </w:t>
      </w:r>
      <w:r>
        <w:rPr>
          <w:rFonts w:eastAsia="宋体" w:cs="Segoe UI" w:eastAsiaTheme="minorEastAsia"/>
          <w:color w:themeColor="text1" w:val="000000"/>
          <w:sz w:val="20"/>
          <w:szCs w:val="21"/>
          <w:lang w:eastAsia="zh-CN"/>
        </w:rPr>
        <w:t>options. Ecological Engineering. 204, 107256</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James, R.T., Armstrong, C., King, J., Mason, S.  Piccone, T. and Villapando, O. 2021.  Chapter 5C: Restoration Strategies Science Plan, In: 2021 South Florida Environmental Report – Volume I, South Florida Water Management District, West Palm Beach, FL. 37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James, R.T., Armstrong, C., King, J., O’Dell, K., Piccone, T. and Villapando, O.  2020.  Chapter 5C: Restoration Strategies Science Plan, In: 2020 South Florida Environmental Report – Volume I, South Florida Water Management District, West Palm Beach, FL. 39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James, R.T., Bierman, V.J., Erickson, M.J., and Hinz, S.C.  2005.  The Lake Okeechobee water quality model (LOWQM): Enhancements, calibration, validation, and analysis.  Lake and Reservoir Management 21(3):231-260.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James, R.T., Ivanov, D., Piccone, T and King, J.  2019.  Chapter 5C: Restoration Strategies Science Plan, In: 2019 South Florida Environmental Report – Volume I, South Florida Water Management District, West Palm Beach, FL. 29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Jawitz, J.W., Munoz-Carpena, R., Muller, S., Grace, K.A., and James, A.I.  2008.  Development, Tesing, and Sensitivity and Uncertainty Analyses of a Transport and Reaction Simulation Engine (TaRSE) for Spatially Distributed Modeling of Phosphorus in the Peat Marsh Wetlands of Southern Florida: U.S. Geological Survey Scientific Investigations Report 2008-5029, 109 pp.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Ji, Z-G., Jin, K-R.  2016.  An integrated environmental model for a surface flow constructed wetland: Water quality processes.  Ecological Engineering 86:247-261.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Jimenez-Montealegre R, Verdegem M, Zamora JE, Verreth J. 2002. Organic matter sedimentation and resuspension in tilapia (Oreochromis niloticus) ponds during a production cycle. Aquaculture Engineering 26:1-12.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Juston, J.M.; DeBusk, T.A.; Grace, K.A.; Jackson, S.D. 2013. A model of phosphorus cycling to explore the role of biomass turnover in submerged aquatic vegetation wetlands for Everglades restoration. Ecological Modelling. 251, 135-149</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Juston, J.M.; Kadlec, R.H. 2019. Data-driven modeling of phosphorus (P) dynamics in low-P stormwater wetlands. Environmental Modelling &amp; Software. 118, 226-240</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Kadlec, R.H, Knight, L.  1996. Treatment Wetlands.  CRC Press, Inc., Boca Raton, FL, 893pp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Kelble, C.R., Ortner, P.B., Hitchcock, G.L, and Boyer, J.B.  2005.  Attenuation of photosynthetically available radiation (PAR) in Florida Bay: Potential for light limitation of primary producers. Estuaries 28(4):560-571.</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Kitchell JF, O’Neill RV, Webb D, Gallepp GW, Bartell SM, Koonce JF, Ausmus BS.1979. Consumer regulation of nutrient cycling. BioScience 29:28-34.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Larios, K.; S. Gerber; R. Munoz-Carpena; P.W. Inglett; K. R. Reddy; Chimney, M.J. 2024. Effects of increasing complexity in biogeochemistry and hydrology on variability of total phosphorus water quality in the Everglades Stormwater Treatment Areas. Ecological Engineering. 198,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Malone, S.L., Keough, C., Staudhammer, C.L., Ryan, M.G., Parton, W.J., Olivas, P., Oberbauer, S.F., Schedlbauer, and J., Starr, G.  2015.  Ecosystem resistance in the face of climate change: A case study from the freshwater marshes of the Florida Everglades.  Ecosphere 6(4; A57):1-23.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Marois, D.E. and Mitsch, W.J.  2016.  Modeling phosphorus retention at low concentrations in Florida Everglades mesocosms.  Ecological Modelling 319:42-62.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Meyers, M.B. and Fitzpatrick, J.J.  2004.  Predicted phosphorus removal in a Stormwater Treatment Area using a wetland water quality model.  Bridging the Gap, Journal of the American Society of Civil Engineers.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Mitsch, W.J. and Gosselink, J.G.  1993.  Wetlands (2nd Edition), VanNostrand Reinhold, New York. 722 pp.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Paudel, R. and Jawitz, J.W.  2012.  Does increased model complexity improve description of phosphorus dynamics in a large treatment wetland?  Ecological Engineering 42:283-294.</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Perillo, G.M.E., Wolanski, E., Cahoon, D.R., and Hopkinson, C.S.  2011. Coastal Wetlands: A Synthesis.  pgs 5-44 In: Coastal Wetlands: An Integrated Ecosystem Approach (2nd Edition).  Elsevier.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Phillips, G., Willby, N., and Moss, B.  2016.  Submerged macrophyte decline in shallow lakes: What have we learnt in the last forty years?" Aquatic Botany 135: 37-45.</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Ranghunathan, R., Slawecki, T., Fontaine, T.D., Chen, Z., Dilks, D.W., Biermann, V.J., and Wade, S.  2001.  Exploring the dynamics and fate of total phosphorus in the Florida Everglades using a calibrated mass balance model.  Ecological Modelling 142:247-259.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Richardson, C.J.  2010.  The Everglades: North America’s sub-tropical wetland.  Wetlands Ecology &amp; Management.  18:517-542.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Robson, B.J., Hamilton, D.P., Webster, I.T., and Chan, T.  2008.  Ten steps applied to development and evaluation of process-based biogeochemical models of estuaries.  Environmental Modeling and Software 23:369-384.</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Scinto, L.J. and Reddy, K.R.  2003.  Biotic and abiotic uptake of phosphorus by periphyton in a subtropical freshwater wetland.  Aquatic Botany 77:203-222.</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SFWMD 4600004014-WO05 ESA CELLC TASKS 4.4-4.6 4/01/202267</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SFWMD.  2012.  Synopsis of the Everglades Stormwater Treatment Areas, Water Year 1996-2012.  Water Quality Treatment Technologies Section, South Florida Water Management District. West Palm Beach, FL.  56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SFWMD.  2018.  Science Plan for the Everglades Stormwater Treatment Areas.  South Florida Water Management District, West Palm Beach, FL. 130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SFWMD. 2012. Synopsis of the Everglades Stormwater Treatment Areas, Water Year 1996-2012. Water Quality Treatment Technologies Section, South Florida Water Management District. West Palm Beach, FL. 56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Stantec. 2024a. STA Modeling Phase III. Data integration and analysis. Task 9.1.1. Coordination of hydrology in the biogeochemical and CASM-STA models. Stantec Inc.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Stantec. 2024b. STA Modeling Phase III. Data integration and analysis. Task 9.1.2. Coordination of structural and process modifications in the biogeochemical and CASM-STA models. Stantec Inc.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Stantec. 2024c. STA Modeling Phase III. Data integration and analysis. Task 9.1.3. CASM-STA update and steady-state modeling. Stantec Inc.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Stantec. 2024d. STA Modeling Phase III. Data integration and analysis. Task 9.1.4. CASM-STA revised hydrology. Stantec Inc.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Stantec. 2024e. STA Modeling Phase III. Data integration and analysis. Task 9.2. CASM-STA simulations. Stantec Inc.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Stantec. 2024f. STA Modeling Phase III. Data integration and analysis. Task 9.3. CASM-STA sensitivity analysis. Stantec Inc.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Trexler, J.C. and Loftus, W.F. 2016. Invertebrates of the Florida Everglades, pp. 321-356, in Invertebrates in Freshwater Wetlands.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Turner, A.M., Trexler, J.C., Jordan, C.F., Slack, S.J., Geddes, P., Chick, J.H. and Loftus, W.F., 1999. Targeting ecosystem features for conservation: standing crops in the Florida Everglades. Conservation Biology 13:898-911.</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UF-WBL.  2019.  Evaluation of Soil Biogeochemical Properties Influencing Phosphorus Flux in the Everglades Stormwater Treatment Areas (STAs).  Final Report. Work Order 46000003031-WO01, South Florida Water Management District, West Palm Beach, FL.  962 pgs.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UF-WBL. 2019. Evaluation of Soil Biogeochemical Properties Influencing Phosphorus Flux in the Everglades Stormwater Treatment Areas (STAs). Final Report. Work Order 46000003031-WO01, South Florida Water Management District, West Palm Beach, FL. 962 pgs.</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Vernberg FJ, Piyatiratitivorakul S. 1998. Effects of salinity and temperature on the bioenergetics of adult stages of the grass shrimp (</w:t>
      </w:r>
      <w:r>
        <w:rPr>
          <w:rFonts w:eastAsia="宋体" w:cs="Segoe UI" w:eastAsiaTheme="minorEastAsia"/>
          <w:i/>
          <w:iCs/>
          <w:color w:themeColor="text1" w:val="000000"/>
          <w:sz w:val="20"/>
          <w:lang w:eastAsia="zh-CN"/>
        </w:rPr>
        <w:t>Palaemonetes pugio</w:t>
      </w:r>
      <w:r>
        <w:rPr>
          <w:rFonts w:eastAsia="宋体" w:cs="Segoe UI" w:eastAsiaTheme="minorEastAsia"/>
          <w:color w:themeColor="text1" w:val="000000"/>
          <w:sz w:val="20"/>
          <w:lang w:eastAsia="zh-CN"/>
        </w:rPr>
        <w:t xml:space="preserve"> Holthuis) from the North Inlet Estuary, South Carolina. Estuaries 21:176-193.</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Villapando, O. and King, J.  2019.  Evaluation of Phosphorus Sources, Forms, Flux, and Transformation Processes in the Stormwater Treatment Areas.  Appendix 5C-1 In: 2019 South Florida Environmental Report – Volume I, South Florida Water Management District, West Palm Beach, FL. 88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Villapando, R and King. J. 2018.  Evaluation of Phosphorus Sources, Forms, Flux, and Transformation Processes in the Stormwater Treatment Areas. Appendix 5C-3 In: 2018  South Florida Environmental Report – Volume I, South Florida Water Management District, West Palm Beach, FL.</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Walker, W.W. and Kadlec, R.H.  2011.  Modeling phosphorus dynamics in Everglades wetlands and stormwater treatment areas.  Critical Reviews in Environmental Science and Technology 41(SI):430-446.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Wang H, Meselhe EA, Waldon MG, Harwell MC, Chen C. 2012. Compartment-based hydrodynamics and water quality modeling of a Northern Everglades Wetland, Florida, USA. Ecological Modelling 247:273-285.</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Wang. H., Meselhe, E.A., Waldon, M.G., Harwell, M.C., and Chen, C.  2012.  Compartment-based hydrodynamics and water quality modeling of a Northern Everglades wetland, Florida USA.  Ecological Modelling 247:273-285.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Wen YH, Peters RH. 1994. Empirical models of phosphorus and nitrogen excretion rates by zooplankton. Limnology and Oceanography 39:1669-1679.</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Wessell KJ. 1999. The distribution, diel migration, and growth of the grass shrimp </w:t>
      </w:r>
      <w:r>
        <w:rPr>
          <w:rFonts w:eastAsia="宋体" w:cs="Segoe UI" w:eastAsiaTheme="minorEastAsia"/>
          <w:i/>
          <w:iCs/>
          <w:color w:themeColor="text1" w:val="000000"/>
          <w:sz w:val="20"/>
          <w:lang w:eastAsia="zh-CN"/>
        </w:rPr>
        <w:t>Palaemonetes paludosus</w:t>
      </w:r>
      <w:r>
        <w:rPr>
          <w:rFonts w:eastAsia="宋体" w:cs="Segoe UI" w:eastAsiaTheme="minorEastAsia"/>
          <w:color w:themeColor="text1" w:val="000000"/>
          <w:sz w:val="20"/>
          <w:lang w:eastAsia="zh-CN"/>
        </w:rPr>
        <w:t xml:space="preserve"> in the Kissimmee River floodplain ecosystem. MS Thesis, Michigan State University, East Lansing, MI.</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 xml:space="preserve">Wiegert, R.G. 1975.  Simulation Models of Ecosystems.  Annual Review of Ecology, Evolution, and Systematics Vol. 6:311-338.  </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WSP, Inc.  2021.  Cattail Test Cell Study - Evaluation of Inundation Depth and Duration for Cattail Sustainability in the Everglades STAs, Final Draft. Task 3. Work Order 4600004323-WO01R3. submitted to South Florida Water Management District, West Palm Beach, FL. 32 pp</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Zhao, H. and Piccone, T. 2018. Appendix 5C-6: in Summary report for Stormwater Treatment Area 2 Flow-ways 1, 2, and 3 Water and Total Phosphorus Budget Analyses. 2018 South Florida Environment Report – Volume I, South Florida Water Management District, West Palm Beach, FL.</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Zhao, H., Piccone, T., 2019a. Water and Total Phosphorus Budget and Performance Analysis for STA-2 Treatment Cells. South Florida Water Management District, West Palm Beach, FL.</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Zhao, H., Piccone, T., 2019b. Water and Total Phosphorus Budget and Performance Analysis for STA-3/4 Treatment Cells. South Florida Water Management District, West Palm Beach, FL.</w:t>
      </w:r>
    </w:p>
    <w:p>
      <w:pPr>
        <w:pStyle w:val="Normal"/>
        <w:spacing w:lineRule="auto" w:line="240"/>
        <w:ind w:hanging="720" w:left="720"/>
        <w:jc w:val="left"/>
        <w:rPr>
          <w:rFonts w:eastAsia="宋体" w:cs="Segoe UI" w:eastAsiaTheme="minorEastAsia"/>
          <w:color w:themeColor="text1" w:val="000000"/>
          <w:sz w:val="20"/>
          <w:lang w:eastAsia="zh-CN"/>
        </w:rPr>
      </w:pPr>
      <w:r>
        <w:rPr>
          <w:rFonts w:eastAsia="宋体" w:cs="Segoe UI" w:eastAsiaTheme="minorEastAsia"/>
          <w:color w:themeColor="text1" w:val="000000"/>
          <w:sz w:val="20"/>
          <w:lang w:eastAsia="zh-CN"/>
        </w:rPr>
        <w:t>Zhao, H. and Piccone, T. 2020. Large scale constructed wetlands for phosphorus removal, an effective nonpoint source pollution treatment technology.  Ecological Engineering 145: 1057.</w:t>
      </w:r>
    </w:p>
    <w:p>
      <w:pPr>
        <w:pStyle w:val="Normal"/>
        <w:rPr>
          <w:color w:themeColor="text1" w:val="000000"/>
        </w:rPr>
      </w:pPr>
      <w:r>
        <w:rPr>
          <w:color w:themeColor="text1" w:val="000000"/>
        </w:rPr>
      </w:r>
      <w:bookmarkStart w:id="217" w:name="_Hlk4411562"/>
      <w:bookmarkStart w:id="218" w:name="_Hlk4411562"/>
      <w:bookmarkEnd w:id="218"/>
    </w:p>
    <w:p>
      <w:pPr>
        <w:sectPr>
          <w:headerReference w:type="default" r:id="rId204"/>
          <w:headerReference w:type="first" r:id="rId205"/>
          <w:footerReference w:type="default" r:id="rId206"/>
          <w:footerReference w:type="first" r:id="rId207"/>
          <w:type w:val="nextPage"/>
          <w:pgSz w:w="12240" w:h="15840"/>
          <w:pgMar w:left="1440" w:right="1440" w:gutter="0" w:header="576" w:top="1440" w:footer="576" w:bottom="1440"/>
          <w:pgNumType w:start="1" w:fmt="decimal"/>
          <w:formProt w:val="false"/>
          <w:textDirection w:val="lrTb"/>
          <w:docGrid w:type="default" w:linePitch="299" w:charSpace="0"/>
        </w:sectPr>
        <w:pStyle w:val="Normal"/>
        <w:rPr>
          <w:color w:themeColor="text1" w:val="000000"/>
        </w:rPr>
      </w:pPr>
      <w:r>
        <w:rPr>
          <w:color w:themeColor="text1" w:val="000000"/>
        </w:rPr>
      </w:r>
    </w:p>
    <w:p>
      <w:pPr>
        <w:pStyle w:val="APPENDIXA"/>
        <w:rPr>
          <w:color w:themeColor="text1" w:val="000000"/>
        </w:rPr>
      </w:pPr>
      <w:r>
        <w:rPr>
          <w:color w:themeColor="text1" w:val="000000"/>
        </w:rPr>
        <w:t>APPENDIX A</w:t>
      </w:r>
    </w:p>
    <w:p>
      <w:pPr>
        <w:pStyle w:val="Appendix"/>
        <w:rPr>
          <w:color w:themeColor="text1" w:val="000000"/>
        </w:rPr>
      </w:pPr>
      <w:r>
        <w:rPr>
          <w:color w:themeColor="text1" w:val="000000"/>
        </w:rPr>
        <w:t>SFWMD ESA CELLC STA BGC MODEL 9100 CODE</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spacing w:lineRule="auto" w:line="240" w:before="0" w:after="0"/>
        <w:rPr>
          <w:rFonts w:ascii="Times New Roman" w:hAnsi="Times New Roman"/>
          <w:color w:themeColor="text1" w:val="000000"/>
          <w:sz w:val="16"/>
          <w:szCs w:val="16"/>
        </w:rPr>
      </w:pPr>
      <w:r>
        <w:rPr>
          <w:rFonts w:ascii="Times New Roman" w:hAnsi="Times New Roman"/>
          <w:color w:themeColor="text1" w:val="000000"/>
          <w:sz w:val="16"/>
          <w:szCs w:val="16"/>
        </w:rPr>
      </w:r>
    </w:p>
    <w:p>
      <w:pPr>
        <w:pStyle w:val="Normal"/>
        <w:spacing w:lineRule="auto" w:line="240" w:before="0" w:after="0"/>
        <w:jc w:val="left"/>
        <w:rPr>
          <w:rFonts w:ascii="Courier New" w:hAnsi="Courier New" w:cs="Courier New"/>
          <w:color w:themeColor="text1" w:val="000000"/>
          <w:sz w:val="18"/>
          <w:szCs w:val="18"/>
        </w:rPr>
      </w:pPr>
      <w:r>
        <w:rPr>
          <w:rFonts w:cs="Courier New" w:ascii="Courier New" w:hAnsi="Courier New"/>
          <w:color w:themeColor="text1" w:val="000000"/>
          <w:sz w:val="18"/>
          <w:szCs w:val="18"/>
        </w:rPr>
      </w:r>
      <w:r>
        <w:br w:type="page"/>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{Top model}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{Reservoirs}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(VMOD) = + QINM + QRAINM + QSPM - QOUTM - QETM + QRSDM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VMOD = 2600000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(CEAVSH) = + GEAV - REAVSH - LEAVSH - TRSEAV - GZEAVSH + NEAVSH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CEAVSH = 800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(CEAVRR) = + TRSEAV2 - REAVRR - LEAVRR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CEAVRR = 200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(CSAVSH) = + GSAV - RSAVSH - GZSAVSH - LSAVSH - TRSSAV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CSAVSH = 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(CPERI) = + GPERI - RPERI - GZPERI - LPERI - EXPERI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CPERI = 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(PLITTER) = + PPLIT - LPLIT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PLITTER = 0.75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(PFLOC) = + PPFLOC + SPFLOC - LPFLOC - RESPFLOC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PFLOC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(POPs) = + POPsP - POPsHYD - POPsDEP + POPsS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POPs = 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(DOPs) = + DOPsP - DOPsSWX - DOPsREM - DOPsPHT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DOPs = 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(DIPs) = + DIPsP - DIPsSWX - DIPsEAV + DIPsDSB - DIPsSB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DIPs = 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(PIPs) = + PIPsSB + PIPsSINK - PIPsDSB - PIPsDEP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PIPs = 0.75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(CPHYTO) = + GPHYTO + PHYTOIN - PHYTOOUT - RPHYTO - GZPHYTO - EXPHYTO - SPHYTO - LPHYTO + PHYTORSD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CPHYTO = 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(POPw) = + POPwIN + POPwP + POPwINRSD - POPwOUT - POPwHYD - POPwS - POPwOUTRSD + POPwRES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POPw = 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(DOPw) = + DOPwIN + DOPwP + DOPwRSDIN - DOPwRSDOUT - DOPwOUT - DOPwREM - DOPwPHT + DOPwSWX + DOPwEXU + DOPwSPIN - DOPwSPOUT + DOPwRAIN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DOPw = 0.007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(DIPw) = + DIPwIN + DIPwRSDIN + DIPwREM + DIPwPHT + DIPwSWX + DIPwGRZ + DIPwDSB - DIPwRSDOUT - DIPwOUT - DIPwSB - DIPwPRC - DIPwUP + DIPwRAIN + DIPwSPIN - DIPwSPOUT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DIPw = 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d/dt (PIPw) = + PIPwIN + PIPwRSDIN - PIPwRSDOUT - PIPwOUT + PIPwSB - PIPwDSB - PIPwS + PIPwPRC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INIT PIPw = 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{Flows}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QINM = QIN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QRAINM = QRAIN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QSPM = IF(VMOD&gt;VMIN)THEN(QSP)ELSE(0.0)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QOUTM = IF(VMOD&gt;VMIN)THEN((QOUTLIM*QOUTEXP)+QRSDOUT)ELSE(0.0)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QETM = if(VMOD&gt;VMIN)THEN(QET)ELSE(0.0)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QRSDM = QRSDIN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GEAV = (CEAVSH*PMXEAV*(1-SFBEAV)*fIEAV*Tfx*fEAV*fPEAVRR)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REAVSH = CEAVSH*kREAVSH*Tfx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LEAVSH = (CEAVSH*kLEAVSH)+fEAVLX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TRSEAV = IF(NPPEAV&gt;0)THEN(kTRSEAV*NPPEAV)ELSE(0.0)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GZEAVSH = kGZEAV*CEAVSH^2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NEAVSH = GEAV*fPEAVRR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TRSEAV2 = TRSEAV*(CPEAVSH/CPEAVRR)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REAVRR = CEAVRR*kREAVRR*Tfx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LEAVRR = CEAVRR*kLEAVRR*Tfx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GSAV = CSAVSH*Tfx*PMXSAV*fISAV*fPSAVSH*(1-fCSAV)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RSAVSH = kRSAVSH*Tfx*CSAVSH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GZSAVSH = kGZSAVSH*(CSAVSH^2)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LSAVSH = CSAVSH*kLSAVSH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TRSSAV = CSAVSH*kTRSSAV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GPERI = MAX((CPERI*Tfx*PMXPERI*fPPERI*(1-fCPERI)),0.0)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RPERI = Tfx*CPERI*kRPERI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GZPERI = CPERI^2*kGZPERI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LPERI = CPERI*kLPERI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EXPERI = kEXPERI*GPERI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PPLIT = PLITSOURCE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LPLIT = PLITTER*kLPLIT*Tfx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PPFLOC = LPLIT+LPPERI+LPPHYTO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SPFLOC = POPwS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LPFLOC = kLPFLOC*PFLOC*Tfx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RESPFLOC = kRES*PFLOC*fWIND/hMOD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POPsP = LPFLOC+LPLIT+(TRSPSAV*(1-fAEAV))+(fAEAV*LPEAVRR)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POPsHYD = Tfx*kHYD*POPs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POPsDEP = (kDEPPOP*POPs)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DOPsP = POPsHYD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DOPsSWX = (DOPs*kDOPSWX)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DOPsREM = DOPs*Tfx*kREM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DOPsPHT = DOPs*kPHT*fDOPsPHT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DIPsP = DOPsPHT+DOPsREM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DIPsSWX = IF(DIPs&gt;DIPsSWXC)THEN(DIPsSWXC*fDIPsSWX)ELSE(DIPs*fDIPsSWX)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DIPsEAV = IF(DIPs&gt;GPEAV)THEN(GPEAV*fDIPsEAV)ELSE(DIPs*fDIPsEAV)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DIPsDSB = PIPsDSB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DIPsSB = IF(DIPs&gt;DIPsSBC)THEN(DIPsSBC*fDIPsSB)ELSE(DIPs*fDIPsSB)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PIPsSB = DIPsSB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PIPsSINK = PIPwS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PIPsDSB = IF(PIPs&gt;PIPsDSBC)THEN(PIPsDSBC*fPIPsDSB)ELSE(PIPs*fPIPsDSB)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PIPsDEP = IF(PIPs&gt;PIPsDEPC)THEN(PIPsDEPC*fPIPsDEP)ELSE(PIPs*fPIPsDEP)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GPHYTO = IF(VMOD&gt;VMIN)THEN(Cphyto*PMXPHYTO*Tfx*fIPHYTO*fPPHYTO*(1-fCPHYTO))ELSE(0.0)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PHYTOIN = CPHYTOK*QINM/VMOD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PHYTOOUT = IF(CPHYTO&gt;PHYTOOUTC)THEN(PHYTOOUTC*fPHYTLOUT)ELSE(0.0)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RPHYTO = IF(VMOD&gt;VMIN)AND(CPHYTO&gt;RPHYTOC)THEN(RPHYTOC*fPHYTLR)ELSE(0.0)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GZPHYTO = IF(VMOD&gt;VMIN)AND(CPHYTO&gt;GRZPHYTOC)THEN(GRZPHYTOC*fPHYTLGRZ)ELSE(0.0)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EXPHYTO = IF(VMOD&gt;VMIN)AND(CPHYTO&gt;EXPHYTOC)THEN(EXPHYTOC*fPHYTLEXP)ELSE(0.0)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SPHYTO = IF(CPHYTO&gt;SPHYTOC)THEN(SPHYTOC*fPHYTLS)ELSE(0.0)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LPHYTO = IF(VMOD&gt;VMIN)AND(CPHYTO&gt;LPHYTOC)THEN(LPHYTOC*fPHYTLL)ELSE(0.0)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PHYTORSD = CPHYTOK*QRSDM/VMOD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POPwIN = POPINCF*POPINC2*QINM/VMOD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POPwP = IF(VMOD&gt;VMIN)THEN(SPPHYTO)ELSE(0.0)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POPwINRSD = POPwRSDPOS*0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POPwOUT = IF(POPw&gt;POPwOUTC)THEN(POPwOUTC*fPOPwOUT)ELSE(0)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POPwHYD = IF(VMOD&gt;VMIN)AND(POPw&gt;POPwHYDC)THEN(POPwHYDC*fPOPwHYD)ELSE(0)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POPwS = IF(POPw&gt;POPwSC)THEN(POPwSC)ELSE(POPw*fPOPwS)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POPwOUTRSD = IF(POPw&gt;POPwRSDNEG)THEN(POPwRSDNEG*fPOPwRSDOUT)ELSE(0)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POPwRES = IF(VMOD&gt;VMIN)THEN(RESPFLOC)ELSE(0.0)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DOPwIN = DOPINCF*DOPINC2*QINM/VMOD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DOPwP = POPwHYD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DOPwRSDIN = DOPwRSDPOS*0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DOPwRSDOUT = IF(DOPw&gt;DOPwRSDNEG)THEN(DOPwRSDNEG*fDOPwRSDOUT)ELSE(DOPw*fDOPwRSDOUT)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DOPwOUT = IF(DOPw&gt;DOPwOUTC)THEN(DOPwOUTC*fDOPwOUT)ELSE(DOPw*fDOPwOUT)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DOPwREM = IF(VMOD&gt;VMIN)AND(DOPw&gt;DOPwREMC)THEN(DOPwREMC*fDOPwREM)ELSE(DOPw*fDOPwREM)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DOPwPHT = IF(VMOD&gt;VMIN)AND(DOPw&gt;DOPwPHTC)THEN(DOPwPHTC*fDOPwPHT)ELSE(DOPw*fDOPwPHT)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DOPwSWX = DOPsSWX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DOPwEXU = IF(VMOD&gt;VMIN)THEN(EXPPHYTO+EXPPERI)ELSE(0.0)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DIPwIN = DIPINCF*DIPINC2*QINM/VMOD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DIPwRSDIN = DIPwRSDPOS*0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DIPwREM = DOPwREM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DIPwPHT = DOPwPHT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DIPwSWX = DIPsSWX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DIPwGRZ = IF(VMOD&gt;VMIN)THEN(GZPPHYTO+GZPPERI+GZPSAVSH)ELSE(0.0)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DIPwDSB = PIPwDSB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DIPwRSDOUT = IF(DIPw&gt;DIPwRSDNEG)THEN(DIPwRSDNEG*fDIPwRSDOUT)ELSE(DIPw*fDIPwRSDOUT)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DIPwOUT = IF(DIPw&gt;DIPwOUTC)THEN(DIPwOUTC*fDIPwOUT)ELSE(DIPw*fDIPwOUT)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DIPwSB = IF(VMOD&gt;VMIN)AND(DIPw&gt;DIPwSBC)THEN(DIPwSBC*fDIPwSB)ELSE(DIPw*fDIPwSB)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DIPwPRC = IF(VMOD&gt;VMIN)AND(DIPw&gt;DIPwPRCC)THEN(DIPwPRCC*fDIPwPRC)ELSE(DIPw*fDIPwPRC)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DIPwUP = IF(VMOD&gt;VMIN)AND(DIPw&gt;DIPwUPC)THEN(DIPwUPC*fDIPwUP)ELSE(DIPw*fDIPwUP)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PIPwIN = PIPINCF*PIPINC2*QINM/VMOD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PIPwRSDIN = PIPwRSDPOS*0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PIPwRSDOUT = IF(PIPw&gt;PIPwRSDNEG)THEN(PIPwRSDNEG*fPIPwRSDOUT)ELSE(PIPw*fPIPwRSDOUT)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PIPwOUT = IF(PIPw&gt;PIPwOUTC)THEN(PIPwOUTC*fPIPwOUT)ELSE(PIPw*fPIPwOUT)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PIPwSB = DIPwSB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PIPwDSB = IF(VMOD&gt;VMIN)AND(PIPw&gt;PIPwDSBC)THEN(PIPwDSBC*fPIPwDSB)ELSE(PIPw*fPIPwDSB)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PIPwS = IF(PIPw&gt;PIPwSC)THEN(PIPwSC*fPIPwS)ELSE(PIPw*fPIPwS)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PIPwPRC = DIPwPRC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DOPwSPIN = DOPwSPPOS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DOPwSPOUT = IF(DOPw&gt;DOPwSPNEG)THEN(DOPwSPNEG*fDOPwSPOUT)ELSE(DOPw*fDOPwSPOUT)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DOPwRAIN = DOPRAINK*QRAINM/VMOD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DIPwRAIN = DIPRAINK*QRAINM/VMOD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DIPwSPIN = DIPwSPPOS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DIPwSPOUT = IF(DIPw&gt;DIPwSPNEG)THEN(DIPwSPNEG*fDIPwSPOUT)ELSE(DIPw*fDIPwSPOUT)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POPsS = POPwS*0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{Functions}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QIN = Qin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QOUT = Qout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hREF = hREF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QET = QET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AFW1 = 7446215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QRAIN = QRAIN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VREF = hREF2*AFW1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JD = INT(TIME)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QOUTEXP = (aQOUT*WFW1*(hMOD-hMIN)^bQOUT)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aQOUT = 3000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bQOUT = 3.5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WFW1 = 1721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hMOD = MAX(hMIN,(VMOD/AFW1))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QOUTLIM = QOUTEXP&gt;=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QSP = SPALL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VMIN = hMIN*AFW1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CCHL = 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fCOLOR = 0.000424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COLOR = 112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fTURB = 0.062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kWATER = 0.0384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fCHL = 0.012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kT = kCOLOR+kWATER+kCHL+kTURB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TURB = 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CPHYTOK = 0.025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CHLCALC = CPHYTOK/CCHL*1000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kCHL = CHLCALC*fCHL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kCOLOR = fCOLOR*COLOR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kTURB = fTURB*TURB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parz = par0*EXP(-kt*hMOD)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par0 = MAX(parA*COS(2*PI*(hour-parPHS)/(2*pperiod)),0.0)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parPHS = 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hour = (MOD(TIME, 1))*24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pperiod = photoX - photoA*COS(2*PI*(JD- photoPHS)/photoT)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photoT = 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photoPHS =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photoX = 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photoA = 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 = (parAX - parAA*COS(2*PI*(JD- parAPHS)/parAT))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parAA = 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parAPHS =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parAX = 1750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parAT = 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parPERI = IF( sinB &gt; 0.0) THEN (parz*EXP(-aPERI*(CPERIK)/sinB)) ELSE (0.0)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aPERI = 0.002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CPERIK = 45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sinB = SIN(LAT)*SIN(Declination*PI/180)-COS(LAT)*COS(Declination*PI/180)*COS(tau)</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declination =  0.39637-22.9133*cos(psi)+4.02543*sin(psi)-0.3872*cos(2*psi)+0.052*sin(2*psi)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psi =  (MOD((JD-1),365))/365*2*pi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tau = hour/24*2*PI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LAT = 27*(PI/180)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Tcos = TempX-TempA*COS(2*PI*(JD-TempPHS)/TempT)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TempA = 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TempX = 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TempPHS = 32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TempT = 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IkEAV = 150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fIEAV = parz/(IkEAV+parz)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Topt25 = 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KtB = 0.069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Tfx = EXP(KtB*(Tcos-Topt25))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hMIN = 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EAVka = 1.84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EAVkb = 2.95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fEAV = IF(hMOD&gt;=hMIN) THEN (EAVka*EXP(-EAVkb*hMOD)) ELSE (1.0)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PMXEAV = 0.3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CMXEAV = 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SFBEAV = (CEAVSH/CMXEAV)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fPEAVRR = (DIPs/(kPEAV+DIPs))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kPEAV = 0.0035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DIPsK = 0.18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kREAVSH = 0.006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kLEAVSH = 0.004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kGZEAV = 1E-06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kTRSEAV = 0.75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NPPEAV = GEAV-REAVSH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CPEAVSH = 453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kREAVRR = 0.002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kLEAVRR = 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CPEAVRR = 529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DIPsJD = DIPsJD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PEAVSH = CEAVSH/CPEAVSH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GPEAV = GEAV/CPEAVSH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RPEAV = REAVSH/CPEAVSH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LPEAV = LEAVSH/CPEAVSH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TRSPEAV = TRSEAV/CPEAVSH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NPEAV = NEAVSH/CPEAVSH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GZPEAVSH = GZEAVSH/CPEAVSH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PEAVRR = CEAVRR/CPEAVRR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RPEAVRR = REAVRR/CPEAVRR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LPEAVRR = LEAVRR/CPEAVRR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TRSPEAVRR = TRSEAV2/CPEAVRR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IkSAV = 147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kPSAVSH = 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fISAV = PARPERI/(IkSAV+PARPERI)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DIPwJD = DIPwJD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CMXSAV = 200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fCSAV = (CSAVSH/CMXSAV)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fPSAVSH = MAX((DIPw/(kPSAVSH+DIPw)),0.0)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PMXSAV = 0.25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kRSAVSH = 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kGZSAVSH = 0.00001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kLSAVSH = 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kTRSSAV =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CPSAVIN = 103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CPSAVMID = 227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CPSAVOUT = 901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CPSAV = IF (CPSAVX=1) THEN(CPSAVIN) ELSE IF (CPSAVX=2) THEN(CPSAVMID) ELSE(CPSAVOUT)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CPSAVX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PSAVSH = CSAVSH/CPSAV*fASAV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GPSAV = GSAV/CPSAV*fASAV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RPSAVSH = RSAVSH/CPSAV*fASAV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GZPSAVSH = GZSAVSH/CPSAV*fASAV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TRSPSAV = TRSSAV/CPSAV*fASAV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LPSAVSH = LSAVSH/CPSAV*fASAV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IkPERI = 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fIPERI = PARPERI/(IkPERI+PARPERI)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kPPERI = 0.015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fPPERI = MAX((DIPw/(kPPERI+DIPw)),0.0)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PMXPERI = 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fCPERI = (CPERI/CMXPERI)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CMXPERI = 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kEXPERI = 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kRPERI = 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kGZPERI = 0.001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kLPERI = 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CPPERIX = 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CPPERIIN = 186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CPPERIMID = 500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CPPERIOUT = 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CPPERI = IF (CPPERIX=1) THEN(CPPERIIN) ELSE IF (CPPERIX=2) THEN(CPPERIMID) ELSE(CPPERIOUT)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PPERI = CPERI/CPPERI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GPPERI = GPERI/CPPERI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RPPERI = RPERI/CPPERI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GZPPERI = GZPERI/CPPERI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LPPERI = LPERI/CPPERI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EXPPERI = EXPERI/CPPERI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PLITSOURCE = LPEAV+LPSAVSH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kLPLIT = 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POPwSNKJD = POPwSNKJD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WIND = WIND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kRES = 0.0005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fWIND = EXP(kWOPT*(WIND-WOPT))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WOPT = 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kWOPT = 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kLPFLOC = 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PLITFLOC = PFLOC+PLITTER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fAEAV = 0.93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AEAV = AFW1*fAEAV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kHYD = 0.0075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kDEPPOP = 0.0001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kDOPSWX = 0.003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kREM = 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kPHT = 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kDIPSWX = 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PIPsDSBJD = PIPsDSBJD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SBday = 1.456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DIPsSOURCE = DIPsDSB+DIPsP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DIPsSINK = DIPsEAV+DIPsSWX+DIPsSB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fDIPsSWX = DIPsSWXC/DIPsLSUM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fDIPsSB = DIPsSBC/DIPsLSUM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fDIPsEAV = GPEAV/DIPsLSUM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DIPsSWXC = DIPs*kDIPSWX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DIPsSBC = SBday*DIPs*dt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kDSB = 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PIPwSINK = PIPwSINK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CPPHYTO = 41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DOPsK = 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DIPsBOUND = 0.15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kLPHYTO = 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kRPHYTO = 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kGRZPHYTO = 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kEXPHYTO = 0.35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PMXPHYTO = 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IkPHYTO = 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kPPHYTO = 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kSPHYTO = 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DIPINK = 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fIPHYTO = parz/(IKPHYTO+parz)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fPPHYTO = DIPw/(KPPHYTO+DIPw)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fCPHYTO = MIN((CPHYTO/CMXPHYTO),1.0)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CMXPHYTO = 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CPHYTOSOURCE = PHYTOIN+GPHYTO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DIPsLSUM = DIPsSWXC+GPEAV+DIPsSBC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CPHYTOSINK = LPHYTO+GZPHYTO+SPHYTO+PHYTOOUT+RPHYTO+EXPHYTO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CHL = CPHYTO/CCHL*1000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SPHYTOC = IF(hMOD&gt;hMIN)THEN(Cphyto*kSPHYTO/hMOD)ELSE(0.0)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EXPHYTOC = GPHYTO*kEXPHYTO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GRZPHYTOC = kGRZPHYTO*Cphyto^2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RPHYTOC = CPHYTO*kRPHYTO*Tfx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PHYTOOUTC = CPHYTO*QOUTM/VMOD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LPHYTOC = CPHYTO*kLPHYTO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CPHYTLOSS = EXPHYTOC+SPHYTOC+LPHYTOC+GRZPHYTOC+RPHYTOC+PHYTOOUTC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fPHYTLOUT = PHYTOOUTC/CPHYTLOSS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fPHYTLR = RPHYTOC/CPHYTLOSS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fPHYTLGRZ = GRZPHYTOC/CPHYTLOSS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fPHYTLEXP = EXPHYTOC/CPHYTLOSS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fPHYTLS = SPHYTOC/CPHYTLOSS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fPHYTLL = LPHYTOC/CPHYTLOSS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PPHYTO = CPHYTO/CPPHYTO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POPINK = 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PHYTOOUTP = PHYTOOUT/CPPHYTO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RPPHYTO = RPHYTO/CPPHYTO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LPPHYTO = LPHYTO/CPPHYTO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GZPPHYTO = GZPHYTO/CPPHYTO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EXPPHYTO = EXPHYTO/CPPHYTO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SPPHYTO = SPHYTO/CPPHYTO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GPPHYTYO = GPHYTO/CPPHYTO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PHYTOINP = PHYTOIN/CPPHYTO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kPOPwS = 0.001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aTYPHA = 0.006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bTYPHA = 351.4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POPwSNK = POPw*kPOPwS/hMOD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fTYPHA = IF(hMOD&gt;hmin)THEN(aTYPHA*(CEAVSH/(bTYPHA+CEAVSH)))ELSE(0.0)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POPwSC = POPwSNK+fTYPHA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POPwOUTC = POPw*QOUTM/VMOD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POPwHYDC = POPw*kHYD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POPwTLOSS = POPwHYDC+POPwSC+POPwOUTC+POPwRSDNEG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fPOPwS = POPwSC/POPwTLOSS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fPOPwOUT = POPwOUTC/POPwTLOSS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fPOPwHYD = POPwHYDC/POPwTLOSS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POPwRSDNEG = IF(QRSDM&lt;0.0)THEN(POPw*QRSDM*(-1)/VMOD)ELSE(0.0)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fPOPwRSDOUT = POPwRSDNEG/POPwTLOSS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POPwRSDPOS = IF(QRSDM&gt;0.0)THEN(POPINK*QRSDM/VMOD)ELSE(0.0)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POPwSOURCES = POPwIND+POPwRESD+POPwINRSDD+POPwPD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POPwSINKS = POPwHYDD+POPwSD+POPwOUTRSDD+POPwOUTD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DOPwRSDNEG = IF(QRSDM&lt;0.0)THEN(DOPw*QRSDM*(-1)/VMOD)ELSE(0.0)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DOPwRSDPOS = IF(QRSDM&gt;0.0)THEN(DOPINK*QRSDM/VMOD)ELSE(0.0)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DOPINK = 0.002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DOPwPHTC = kPHT*DOPw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DOPwREMC = kREM*DOPw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DOPwOUTC = DOPw*QOUTM/VMOD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DOPwTLOSS = DOPwOUTC+DOPwRSDNEG+DOPwPHTC+DOPwREMC+DOPwSPNEG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fDOPwPHT = DOPwPHTC/DOPwTLOSS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fDOPwREM = DOPwREMC/DOPwTLOSS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fDOPwOUT = DOPwOUTC/DOPwTLOSS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fDOPwRSDOUT = DOPwRSDNEG/DOPwTLOSS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DOPwSOURCES = DOPwSWXD+DOPwPD+DOPwIND+DOPwRSDIND+DOPwRAIND+DOPwSPIND+DOPwEXUD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DOPwSINKS = DOPwOUTD+DOPwRSDOUTD+DOPwPHTD+DOPwREMD+DOPwSPOD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DIPwRSDPOS = IF(QRSDM&gt;0.0)THEN(DIPINK*QRSDM/VMOD)ELSE(0.0)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DIPwRSDNEG = IF(QRSDM&lt;0.0)THEN(DIPw*QRSDM*(-1)/VMOD)ELSE(0.0)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DIPwOUTC = DIPw*QOUTM/VMOD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DIPwSBC = SBday*DIPw*dt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DIPwPRCC = fPRC2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DIPwUPC = GPSAV+GPPHYTYO+GPPERI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DIPwTLOSS = DIPwPRCC+DIPwUPC+DIPwOUTC+DIPwSBC+DIPwRSDNEG+DIPwSPNEG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fDIPwUP = DIPwUPC/DIPwTLOSS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fDIPwRSDOUT = DIPwRSDNEG/DIPwTLOSS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fDIPwPRC = DIPwPRCC/DIPwTLOSS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fDIPwSB = DIPwSBC/DIPwTLOSS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fDIPwOUT = DIPwOUTC/DIPwTLOSS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fPRECIP = IF(GTOTAL&gt;0.0)THEN(aPRECIP/(1+EXP(-(GTOTAL-x0PRECIP)/bPRECIP)))ELSE(0.0)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GTOTAL = GPERI+GPHYTO+GSAV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aPRECIP = 0.56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bPRECIP = 11.3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X0PRECIP = 34.8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DIPwSOURCES = DIPwREMD+DIPwRSDIND+DIPwGRZD+DIPwRAIND+DIPwSPIND+DIPwDSBD+DIPwIND+DIPwPHTD+DIPwSWXD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DIPwSINKS = DIPwPRCD+DIPwUPD+DIPwRSDOUTD+DIPwSPOUTD+DIPwOUTD+DIPwSBD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PIPINK = 0.003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PIPwTLOSS = PIPwOUTC+PIPwSC+PIPwDSBC+PIPwRSDNEG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PIPwOUTC = PIPw*QOUTM/VMOD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PIPwSC = PIPw*kPIPwS/hMOD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fPIPwOUT = PIPwOUTC/PIPwTLOSS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PIPwDSBC = PIPw*kDSB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fPIPwRSDOUT = PIPwRSDNEG/PIPwTLOSS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fPIPwDSB = PIPwDSBC/PIPwTLOSS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fPIPwS = PIPwSC/PIPwTLOSS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PIPwRSDPOS = IF(QRSDM&gt;0.0)THEN(PIPINK*QRSDM/VMOD)ELSE(0.0)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PIPwRSDNEG = IF(QRSDM&lt;0.0)THEN(PIPw*QRSDM*(-1)/VMOD)ELSE(0.0)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kPIPwS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PIPwSOURCES = PIPwRSDIND+PIPwIND+PIPwSBD+PIPwPRCD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PIPwSINKS = PIPwOUTD+PIPwDSBD+PIPwSD+PIPwRSDOUTD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TPgm3 = DIPw+POPw+PIPw+DOPw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DOPwSPPOS = IF(QSPM&gt;0.0)THEN(DOPSPK*QSPM/VMOD)ELSE(0.0)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DOPwSPNEG = IF(QSPM&lt;0.0)THEN(DOPw*QSPM*(-1)/VMOD)ELSE(0.0)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DOPSPK = 0.0125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DIPSPK = 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DOPRAINK = 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DIPRAINK = 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fDOPwSPOUT = DOPwSPNEG/DOPwTLOSS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DIPwSPPOS = IF(QSPM&gt;0.0)THEN(DIPSPK*QSPM/VMOD)ELSE(0.0)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DIPwSPNEG = IF(QSPM&lt;0.0)THEN(DIPw*QSPM*(-1)/VMOD)ELSE(0.0)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fDIPwSPOUT = DIPwSPNEG/DIPwTLOSS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kDEPPIP = 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fASAV = 1-fAEAV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PIPsDEPC = PIPs*kDEPPIP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PIPsDSBC = kDSB*PIPs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PIPsLSUM = PIPsDEPC+PIPsDSBC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fPIPsDEP = PIPsDEPC/PIPsLSUM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fPIPsDSB = PIPsDSBC/PIPsLSUM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hREF2 = hREF2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fPRC2 = GTOTAL*aPRC2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aPRC2 = 0.001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QRSD = (hMOD-hREF2)*AFW1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QRSDIN = IF(QRSD&gt;0)THEN(QRSD*fRSDIN)ELSE(0.0)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fRSDIN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fRSDOUT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QRSDOUT = IF(QRSD&lt;=0)THEN(fRSDOUT*QRSD*(-1))ELSE(0.0)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tFW1 = (QINM/VMOD)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POPINC2 = POPINC2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DOPINC2 = DOPINC2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DIPINC2 = DIPINC2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PIPINC2 = PIPINC2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POPwOUTD = POPwOUT*DT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POPwOUTRSDD = POPwOUTRSD*DT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POPwHYDD = POPwHYD*DT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POPwSD = POPwS*DT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POPwPD = POPwP*DT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POPwRESD = POPwRES*DT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POPwIND = POPwIN*DT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POPwINRSDD = POPwINRSD*DT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DOPwREMD = DOPwREM*DT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DOPwRSDOUTD = DOPwRSDOUT*DT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DOPwOUTD = DOPwOUT*DT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DOPwPHTD = DOPwPHT*DT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DOPwSPOD = DOPwSPOUT*DT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DOPwPD = DOPwP*DT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DOPwEXUD = DOPwEXU*DT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DOPwSWXD = DOPwSWX*DT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DOPwSPIND = DOPwSPIN*DT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DOPwIND = DOPwIN*DT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DOPwRSDIND = DOPwRSDIN*DT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DOPwRAIND = DOPwRAIN*DT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DIPwRSDIND = DIPwRSDIN*DT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DIPwRAIND = DIPwRAIN*DT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DIPwSPIND = DIPwSPIN*DT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DIPwREMD = DIPwREM*DT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DIPwPHTD = DIPwPHT*DT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DIPwSWXD = DIPwSWX*DT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DIPwGRZD = DIPwGRZ*DT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DIPwIND = DIPwIN*DT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DIPwDSBD = DIPwDSB*DT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DIPwSBD = DIPwSB*DT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DIPwRSDOUTD = DIPwRSDOUT*DT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DIPwPRCD = DIPwPRC*DT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DIPwSPOUTD = DIPwSPOUT*DT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DIPwUPD = DIPwUP*DT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DIPwOUTD = DIPwOUT*DT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PIPwPRCD = PIPwPRC*DT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PIPwIND = PIPwIN*DT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PIPwDSBD = PIPwDSB*DT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PIPwRSDOUTD = PIPwRSDOUT*DT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PIPwSBD = PIPwSB*DT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PIPwSD = PIPwS*DT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PIPwOUTD = PIPwOUT*DT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PIPwRSDIND = PIPwRSDIN*DT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QTPIN = DOPwIND+POPwIND+DIPwIND+PIPwIND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QTPOUT = PIPwOUTD+DOPwOUTD+DIPwOUTD+POPwOUTD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fTPIN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QIN025 = QIN025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QIN050 = QIN050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QIN150 = QIN150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QIN200 = QIN200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GEAVD = GEAV*DT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NEAVSHD = NEAVSH*DT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EAVSSOURCE = GEAVD+NEAVSHD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GZEAVSHD = GZEAVSH*DT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REAVSHD = REAVSH*DT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LEAVSHD = LEAVSH*DT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TRSEAVD = TRSEAV*DT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EAVSSINK = LEAVSHD+GZEAVSHD+TRSEAVD+REAVSHD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TRSEAV2D = TRSEAV2*DT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REAVRRD = REAVRR*DT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LEAVRRD = LEAVRR*DT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EAVRRSINK = REAVRRD+LEAVRRD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EAVRRSOURCE = TRSEAV2D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fEAVLX = IF(JD&lt;JDEAVLX)THEN(CEAVSH*kEAVLX)ELSE(0.0)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kEAVLX = 0.002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JDEAVLX = 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RPERID = RPERI*DT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GZPERID = GZPERI*DT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LPERID = LPERI*DT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EXPERID = EXPERI*DT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GPERID = GPERI*DT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CPERISOURC = GPERID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CPERISINK = EXPERID+LPERID+GZPERID+RPERID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POPsDEPD = POPsDEP*DT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PIPsDEPD = PIPsDEP*dt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DOPsREMD = DOPsREM*DT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TPsnetD = PIPsDEPD+POPsDEPD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POPINCF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DOPINCF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DIPINCF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PIPINCF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fDOPsPHT =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QOUTD = QOUT*DT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QIND = QIN*DT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QINMD = QINM*DT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QRAINMD = QRAINM*DT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QETMD = QETM*DT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QOUTMD = QOUTM*DT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QRSPMD = QSPM*DT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QRSDMD = QRSDM*DT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{Globals}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Qin=#Qin(JD)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Qout=#Qout(JD)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hFW1=#hFW1(JD)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VRES28IN=#VRES28IN(JD)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SPALL=#SPALL(JD)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QRAIN=#QRAIN(JD)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QET=#QET(JD)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DIPsJD=#DIPsJD(JD)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DIPwJD=#DIPwJD(JD)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hREF=#hREF(JD)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POPwSNKJD=#POPwSNKJD(JD)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WIND=#WIND(JD)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PIPsDSBJD=#PIPsDSBJD(JD)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PIPwSINK=#PIPwSINK(JD)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POPIN=#POPIN(JD)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DIPIN=#DIPIN(JD)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PIPIN=#PIPIN(JD)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POP=#POP(JD)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DIP=#DIP(JD)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PIP=#PIP(JD)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hREF2=#hREF2(JD)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POPINC2=#POPINC2(JD)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DOPINC2=#DOPINC2(JD)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DIPINC2=#DIPINC2(JD)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PIPINC2=#PIPINC2(JD)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QIN025=#QIN025(JD)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QIN050=#QIN050(JD)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QIN150=#QIN150(JD)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QIN200=#QIN200(JD)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bookmarkStart w:id="219" w:name="_Hlk4411562"/>
      <w:bookmarkStart w:id="220" w:name="_Hlk4411562"/>
      <w:bookmarkEnd w:id="220"/>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jc w:val="left"/>
        <w:rPr>
          <w:rFonts w:ascii="Courier New" w:hAnsi="Courier New" w:cs="Courier New"/>
          <w:color w:themeColor="text1" w:val="000000"/>
          <w:sz w:val="18"/>
          <w:szCs w:val="18"/>
        </w:rPr>
      </w:pPr>
      <w:r>
        <w:rPr>
          <w:rFonts w:cs="Courier New" w:ascii="Courier New" w:hAnsi="Courier New"/>
          <w:color w:themeColor="text1" w:val="000000"/>
          <w:sz w:val="18"/>
          <w:szCs w:val="18"/>
        </w:rPr>
      </w:r>
      <w:r>
        <w:br w:type="page"/>
      </w:r>
    </w:p>
    <w:p>
      <w:pPr>
        <w:pStyle w:val="APPENDIXA"/>
        <w:spacing w:before="0" w:after="0"/>
        <w:rPr>
          <w:color w:themeColor="text1" w:val="000000"/>
        </w:rPr>
      </w:pPr>
      <w:r>
        <w:rPr>
          <w:color w:themeColor="text1" w:val="000000"/>
        </w:rPr>
        <w:t>APPENDIX B</w:t>
      </w:r>
    </w:p>
    <w:p>
      <w:pPr>
        <w:pStyle w:val="Appendix"/>
        <w:rPr>
          <w:color w:themeColor="text1" w:val="000000"/>
        </w:rPr>
      </w:pPr>
      <w:r>
        <w:rPr>
          <w:color w:themeColor="text1" w:val="000000"/>
        </w:rPr>
        <w:t xml:space="preserve">CASM STA </w:t>
      </w:r>
    </w:p>
    <w:p>
      <w:pPr>
        <w:pStyle w:val="Appendix"/>
        <w:rPr>
          <w:color w:themeColor="text1" w:val="000000"/>
        </w:rPr>
      </w:pPr>
      <w:r>
        <w:rPr>
          <w:color w:themeColor="text1" w:val="000000"/>
        </w:rPr>
        <w:t>Control &amp; Program Files</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spacing w:lineRule="auto" w:line="240" w:before="0" w:after="0"/>
        <w:rPr>
          <w:rFonts w:ascii="Times New Roman" w:hAnsi="Times New Roman"/>
          <w:color w:themeColor="text1" w:val="000000"/>
          <w:sz w:val="16"/>
          <w:szCs w:val="16"/>
        </w:rPr>
      </w:pPr>
      <w:r>
        <w:rPr>
          <w:rFonts w:ascii="Times New Roman" w:hAnsi="Times New Roman"/>
          <w:color w:themeColor="text1" w:val="000000"/>
          <w:sz w:val="16"/>
          <w:szCs w:val="16"/>
        </w:rPr>
      </w:r>
    </w:p>
    <w:p>
      <w:pPr>
        <w:pStyle w:val="Normal"/>
        <w:spacing w:lineRule="auto" w:line="240" w:before="0" w:after="0"/>
        <w:jc w:val="left"/>
        <w:rPr>
          <w:rFonts w:ascii="Times New Roman" w:hAnsi="Times New Roman"/>
          <w:color w:themeColor="text1" w:val="000000"/>
          <w:sz w:val="20"/>
        </w:rPr>
      </w:pPr>
      <w:r>
        <w:rPr>
          <w:rFonts w:ascii="Times New Roman" w:hAnsi="Times New Roman"/>
          <w:color w:themeColor="text1" w:val="000000"/>
          <w:sz w:val="20"/>
        </w:rPr>
      </w:r>
      <w:r>
        <w:br w:type="page"/>
      </w:r>
    </w:p>
    <w:p>
      <w:pPr>
        <w:pStyle w:val="Normal"/>
        <w:spacing w:lineRule="auto" w:line="240" w:before="0" w:after="0"/>
        <w:rPr>
          <w:rFonts w:ascii="Courier New" w:hAnsi="Courier New" w:cs="Courier New"/>
          <w:b/>
          <w:bCs/>
          <w:color w:themeColor="text1" w:val="000000"/>
          <w:sz w:val="18"/>
          <w:szCs w:val="18"/>
        </w:rPr>
      </w:pPr>
      <w:r>
        <w:rPr>
          <w:rFonts w:cs="Courier New" w:ascii="Courier New" w:hAnsi="Courier New"/>
          <w:b/>
          <w:bCs/>
          <w:color w:themeColor="text1" w:val="000000"/>
          <w:sz w:val="18"/>
          <w:szCs w:val="18"/>
        </w:rPr>
        <w:t>Filename:  .\casm_STA_cntrl_750.dat for use with CASM_STA versions 6.50 and above</w:t>
      </w:r>
    </w:p>
    <w:p>
      <w:pPr>
        <w:pStyle w:val="Normal"/>
        <w:spacing w:lineRule="auto" w:line="240" w:before="0" w:after="0"/>
        <w:rPr>
          <w:rFonts w:ascii="Courier New" w:hAnsi="Courier New" w:cs="Courier New"/>
          <w:b/>
          <w:bCs/>
          <w:color w:themeColor="text1" w:val="000000"/>
          <w:sz w:val="18"/>
          <w:szCs w:val="18"/>
        </w:rPr>
      </w:pPr>
      <w:r>
        <w:rPr>
          <w:rFonts w:cs="Courier New" w:ascii="Courier New" w:hAnsi="Courier New"/>
          <w:b/>
          <w:bCs/>
          <w:color w:themeColor="text1" w:val="000000"/>
          <w:sz w:val="18"/>
          <w:szCs w:val="18"/>
        </w:rPr>
        <w:t>CASM_STA Program Version 7.50 control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Enter the number of nodes (cells) used to describe the STA system: (i3 format)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003  Number of nodes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Enter the number of simulated years (format i3) - must be 20 or less years w/o editing program array dimensions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016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the output interval in days (format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Provide a message that describes the particular simulation (a80)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Message: CASM_STA version 7.50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information on derivatives (i3:000=no info,111=give info); specify debug station (1-6) (format i3,1x,i1)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000 1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time step (units = days e.g., 1.0, 0.1, 0.01) (format f5.3)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0.100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zero-state test or steady-state test or year 1 initialization to (izr_test = 01; iss_test = 01 gives test; ian_test = 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00 00 00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initial biomass input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.\casmSTA_bio_binit_BGC85.dat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bioenergetics parameter input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.\casm_bioparms_STA_BGC85_C750EXP.dat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food web input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.\web_casmSTA.dat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environment input files for each station: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.\STA-Node001-G329BEnvData2005-2020Wind.prn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.\STA-Node002-G329BEnvData2005-2020Wind.prn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.\STA-Node003-G329BEnvData2005-2020Wind.prn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geomorphology input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.\STA_geo_rev.dat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Specify daily advection coefficients and segment volumes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.\STA2_FW1_BGC8500_SegmentInputs_All_24May2024.prn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Specify P-loading input file: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.\STA2-FW1DailyLoads2005-2020.prn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system summary output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.\casmSTA_sysV750_Base.out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system bottom-line result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.\casmSTA_BLN-2005-2020V750Base.out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simulation output files for each node: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.\STA_Node001_2005-2020V750Base.out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.\STA_Node002_2005-2020V750Base.out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.\STA_Node003_2005-2020V750Base.out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simulation mass-balance files for each node: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.\STA_Node001_2005-2020V750MassBalBase.out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.\STA_Node002_2005-2020V750MassBalBase.out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.\STA_Node003_2005-2020V750MassBalBase.out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Specify factors to modify inflow (flow_mod) and input P concentrations (Pin_mod) (f4.2,1x,f4.2)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1.00 1.00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Specific factor to modify initial P pool values (Pinit_mod) (f4.2)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w:t>
      </w:r>
    </w:p>
    <w:p>
      <w:pPr>
        <w:pStyle w:val="Normal"/>
        <w:spacing w:lineRule="auto" w:line="240" w:before="0" w:after="0"/>
        <w:jc w:val="left"/>
        <w:rPr>
          <w:rFonts w:ascii="Courier New" w:hAnsi="Courier New" w:cs="Courier New"/>
          <w:color w:themeColor="text1" w:val="000000"/>
          <w:sz w:val="20"/>
        </w:rPr>
      </w:pPr>
      <w:r>
        <w:rPr>
          <w:rFonts w:cs="Courier New" w:ascii="Courier New" w:hAnsi="Courier New"/>
          <w:color w:themeColor="text1" w:val="000000"/>
          <w:sz w:val="20"/>
        </w:rPr>
      </w:r>
      <w:r>
        <w:br w:type="page"/>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b/>
          <w:bCs/>
          <w:color w:themeColor="text1" w:val="000000"/>
          <w:sz w:val="18"/>
          <w:szCs w:val="18"/>
        </w:rPr>
      </w:pPr>
      <w:r>
        <w:rPr>
          <w:rFonts w:cs="Courier New" w:ascii="Courier New" w:hAnsi="Courier New"/>
          <w:b/>
          <w:bCs/>
          <w:color w:themeColor="text1" w:val="000000"/>
          <w:sz w:val="18"/>
          <w:szCs w:val="18"/>
        </w:rPr>
        <w:t xml:space="preserve">      </w:t>
      </w:r>
      <w:r>
        <w:rPr>
          <w:rFonts w:cs="Courier New" w:ascii="Courier New" w:hAnsi="Courier New"/>
          <w:b/>
          <w:bCs/>
          <w:color w:themeColor="text1" w:val="000000"/>
          <w:sz w:val="18"/>
          <w:szCs w:val="18"/>
        </w:rPr>
        <w:t>Program CASM_STA750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(Version 7.50)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(August 2024)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7.00 reinitializes phytoplankton to initial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biomass each year, adds BGC depth effects on Typha growth,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further addresses relative importance of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consumer excretion vs bioturbation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CASM_STA Version 6.70 adds additional checks on mass-balance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6.60 summarizes annual P loadings for analysis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similar to BGC loadings vs TPw and TPout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summarizes outflows (g P/m2/d) through the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model segments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6.50 computes daily segemnt depths from daily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input volumes and extends the simulation period to 2005-2020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with corresponding creation of daily input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data for the entire period and specifes ....cntrl_650.dat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6.00 adds option to modify inflows and input 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concentrations and initial P pool for sensitivity analysis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5.75 adds option (ian_test) to initialize each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year to year 1 initial conditions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5.50   revises V 5.00MY to include updated target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values (CELLC 2024) and adds co-precipitation of 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also revises shading function for aquatic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plants;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5.00MY revises V 5.00 to simulate an indefinite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number of years for the mass balance simulations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adds DEPs as deep sediment P pool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5.00 revises the hyrological inputs and adds code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to address mass balance for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4.00 revises P pool calculations and annual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resetting of biomass; adds target values to BLN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3.00 updates P pool calculations and adds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resuspension function from EAVSAV habitat model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CASM_STA Version 2.50 is a modification of CASM_LT Version 2.90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developed for Lake Texoma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The Comprehensive Aquatic Simulation Model (CASM) simulates the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daily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production dynamics of populations inhabiting a water column,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 littoral zone or benthic zone.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The CASM also describes the dynamics of dissolved organic matter,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particulate organic matter, settled detritus and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concentrations of nitrogen, phosphorus, silica and dissolved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oxygen.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Author: S.M. Bartell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Jan 2022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Main Program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(maxsegs=3) !maximum number of spatial segments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(maxyrs=16)  !maximum number of simulated years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character*12 st_nam(maxsegs)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character*80 ruler,comment,message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character*80 fil_name,fil_geo,fil_sum,fil_cl,fil_bln,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bintfil,parmfil,fil_wid,webfil,dlutfil,fil_pin,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fil_trans        !contains daily values of transport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coefficients and segment volumes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character*80 fil_out(maxsegs) !output files for segments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character*80 fil_env(maxsegs) !environmental data input files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character*80 fil_mas(maxsegs) !mass-balance segment output files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common/dbg/idebug,ksegdb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common/csm1/nsegs !number of spatial segments ('boxes') used to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describe modeled aquatic system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common/csm2/nyrs,ndays,incr_out  !nyrs - number of simulatetd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years (range: 1-50); ndays=nyrs*365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common/blksta/st_nam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common/lblout/fil_out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common/csm3/delta_t   !time step, units = days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common/test/izr_test,iss_test,ian_test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common/sen/flow_mod,Pin_mod,Pinit_mod !factors that mutliply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input flows, input P loadings, and initial P pool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Control input file for casm_STA simulations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open(3,file='.\casm_STA_cntrl_750.dat',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status ='unknown')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File reports casm program status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open(10,file='.\p_stat.out',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status ='unknown')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De-bugging output from casm_dh simulation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open(96,file='.\casmSTA_debug.out',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status ='unknown')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Write(*,*)'Comprehensive Aquatic Systems Model'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Write(*,*)'CASM STA'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Write(*,*)'STA Phosphorus Dynamics'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number of segments from CASM_STA Control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23      format(a80)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read(3,'(i3)')nsegs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input number of simulated years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read(3,25)nyrs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25      format(i3)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write(*,26)nyrs,nsegs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26    format('Number of simulated years: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'Number of simulated nodes: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ndays=nyrs*365 !total number of simulated days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define output increment in days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read(3,25)incr_out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message that describes details of the simulation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read(3,23)message !as many as 80 characters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switch for printing derivatives, debugging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read(3,'(i3,1x,i1)')idebug,ksegdb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CASM time step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read(3,'(f5.3)')delta_t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write(*,*)'Time step (d): ',delta_t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switches for zdro-state and steady-state simulations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read(3,'(i2,1x,i2,1xi2)')izr_test,iss_test,ian_test !values of 00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do nothing; values of 01 setup simulations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ab/>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if(idebug.ne.0) open(97,file=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'.\casmSTA_derivs.out',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status='unknown')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read(3,23)ruler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read(3,28)bintfil !initial biomass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open(7,file=bintfil, status ='unknown')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read(3,23)ruler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read(3,28)parmfil !bioenergetics parameter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open(5,file=parmfil, status ='unknown')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read(3,23)ruler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read(3,28)webfil !food web interactions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open(9,file=webfil, status ='unknown')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input names and define environmental data files for each station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29 i=1,nsegs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junit=100+i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b/>
        <w:t xml:space="preserve"> read(3,28)fil_env(i)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fil_name=fil_env(i)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open(junit,file=fil_name, status='unknown')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29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28      format(a80)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file for node geomorphology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b/>
        <w:t xml:space="preserve"> read(3,28)fil_geo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fil_name=fil_geo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open(50,file=fil_name, status='unknown')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file for daily advection coefficients and segment volumes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b/>
        <w:t xml:space="preserve"> read(3,28)fil_trans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fil_name=fil_trans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open(52,file=fil_name, status='unknown')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input file for P loadings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b/>
        <w:t xml:space="preserve"> read(3,28)fil_pin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fil_name=fil_pin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open(55,file=fil_name, status='unknown')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Output file for advective transfer rates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open(56,file='.\casmSTA_trans.out',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status ='unknown')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define file for output of system summary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b/>
        <w:t xml:space="preserve"> read(3,28)fil_sum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fil_name=fil_sum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open(300,file=fil_name, status='unknown')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write(300,23)message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write(300,34)nyrs,nsegs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define file bottom-line annual summary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b/>
        <w:t xml:space="preserve"> read(3,28)fil_bln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fil_name=fil_bln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open(302,file=fil_name, status='unknown')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write(302,23)message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write(302,34)nyrs,nsegs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34    format('Number of simulated years: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'Number of nodes: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output simulation results to node output files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define output files for each node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30 i=1,nsegs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junit=200+i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b/>
        <w:t xml:space="preserve"> read(3,28)fil_out(i)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fil_name=fil_out(i)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open(junit,file=fil_name, status='unknown')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write(junit,23)message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30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define mass-balance output files for each node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36 i=1,nsegs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junit=400+i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b/>
        <w:t xml:space="preserve"> read(3,28)fil_mas(i)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fil_name=fil_mas(i)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open(junit,file=fil_name, status='unknown')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write(junit,23)message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36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option to modify inflow and input P concentrations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read(3,'(f4.2,1x,f4.2)')flow_mod,Pin_mod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option to modify initial values of P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read(3,23)comment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read(3,'(f4.2)')Pinit_mod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write(302,40)flow_mod,Pin_mod,Pinit_mod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40    format('flow_mod: ',  f4.2,2x,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'Pin_mod: ',   f4.2,2x,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'Pinit_mod: ',f4.2)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CASM_STA parameter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print*,'Call Subroutine INPUT...'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call input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print*,'Subroutine INPUT completed...'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perform CASM_STA simulation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print*,'CASM_STA simulations initiated...'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print*,'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i=1,nyrs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iy=i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call casm(iy)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write(*,4)i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4        format('CASM_STA completed for year: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 !end year loop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print*,'All CASM_STA simulations completed.'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print*,'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print*,'Begin CASM_STA post-processing...'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generate system summary for simulation for each model 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call SystemSummary(nsegs)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31       format(' CASM_STA ecosystem summary generated.')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if(nyrs.eq.1)call ratsum(nsegs)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close(55)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close(56)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close(300)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close(302)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close(97)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jj=i+100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kk=i+200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nn=i+400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close(jj)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close(kk)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33       format(' CASM_STA post-processing completed.')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35</w:t>
        <w:tab/>
        <w:t xml:space="preserve">     format(' CASM_STA Normal exit.')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stop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Block Data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(npops=12, maxsegs=3)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character*16 popnam(npops),znam(17),pnam(35)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character*12 st_nam(maxsegs)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common/blknam/popnam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common/blksta/st_nam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common/blkznm/znam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common/blkpnm/pnam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data st_nam/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.'STA 2 Node 1',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.'STA 2 Node 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.'STA 2 Node 3'/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water quality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data znam/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.'DINepi(mg/L)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.'DIPepi(mg/L)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.'DOepi(mg/L)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.'DO%sat-epi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.'DINhyp(mg/L)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.'DIPhyp(mg/L)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.'DOhyp(mg/L)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.'DO%sat-hyp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.'DOCepi(mg/L)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.'POCepi(mg/L)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.'DOChyp(mg/L)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.'POChyp(mg/L)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.'TISepi(mg/L)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.'TIShyp(mg/L)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.'Chlor(ug/L)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.'Secchi(m)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.'Depth (m)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phosphorus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data pnam/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.'FlcP(gP/m2)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.'LitP(gP/m2)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.'DEPs(gP/m2)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.'TotP(gP/m2)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.'POPw-v(gP/m3)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.'DOPw-v(gP/m3)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.'DIPw-v(gP/m3)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.'PIPw-v(gP/m3)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.'TotP-v(gP/m3)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.'POPw_outfl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.'DOPw_outfl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.'DIPw_outfl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.'PIPw_outfl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.'TotP_outab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.'TotP_outbc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.'TotP_outfl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.'Deposit(gP/m2)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.'Remineraliz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.'Excretion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.'Bioturbation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.'Resuspension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.'Co-precipitation',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.'Phyto-P(gP/m2)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.'Perip-P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.'SAV-P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.'EAV-P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.'Con-P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data popnam/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'Phytoplankton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'Periphyton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Macrophytes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'SAV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Emergents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'EAV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Pelagic consumers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'Zooplankton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'Mosquitofish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'LrgmouthBass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'Bacterioplankton',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Benthic consumers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'Infauna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'GrassShrimp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'Tilapia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'SedBacteria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program control variables, model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conditions, and environmental data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Begin input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Subroutine input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parameter (maxsegs=3,maxyrs=16)  !maximum number of spatial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segments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!maximum number of simulated years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parameter (np=4,nc=8)  !np=number of plant categories, nc=number of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consumer categories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(npops=12, nall=npops+8,nfacs=8)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real*4 LitP_init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 rem*1,comment*40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character*10 seg_nam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character*40 seg_name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character*80 ruler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character*265 header2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character*152 header3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character*16 popnam(npops)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character*14 name1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character*80 fil_bio,fil_web,fil_env,fil_name,fil_geo,fil_gas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common/csm1/nsegs !number of spatial segments ('boxes')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common/csm2/nyrs,ndays,incr_out  !nyrs - number of simulated years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(range: 1-50); ndays=nyrs*365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common/blknam/popnam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biomass values and bioenergetics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  bp(4,10,maxsegs),   !initial biomass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ps(4,10),   !max photosyhnethetic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pte1(4,10),pxk1(4,10),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pte2(4,10),pxk2(4,10),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pte3(4,10),pxk3(4,10),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pte4(4,10),pxk4(4,10),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si(4,10),  !Light saturation intensity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snk(4,10),  !Sinking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xkp(4,10),xkn(4,10),xks(4,10), !Michaelis-Menten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constants for P, N, and Si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pm(4,10),   !Mortality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resp(4,10),   !Photorespiration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resd(4,10),   !Dark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factors for salinity, current 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psplt(4,10),pspol(4,10),pspou(4,10),psput(4,10),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ppvlt(4,10),ppvol(4,10),ppvou(4,10),ppvut(4,10),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ppdlt(4,10),ppdol(4,10),ppdou(4,10),ppdut(4,10),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Phenology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ddi(4,10),   !Degree-days required for growth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dds(4,10),   !Degree-days for onset of senescence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xlk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common/c/  bc(8,5,maxsegs),  !Initial biomass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cmx(8,5),  !max consumption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cte1(8,5),cxk1(8,5),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cte2(8,5),cxk2(8,5),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cte3(8,5),cxk3(8,5),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cte4(8,5),cxk4(8,5),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rsda(8,5),    rs(8,5),           !specific dynamic action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rate,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tro(8,5),   trm(8,5),           !temperature dependence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of respiration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f(8,5),     u(8,5),  cm(8,5), !egestion, excretion,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mortality rates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Habitat factors for dissolved oxygen, salinity, current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DOlt(8,5), DOol(8,5), DOou(8,5), DOut(8,5),  !dissolved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oxygen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psclt(8,5),pscol(8,5),pscou(8,5),pscut(8,5),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ccvlt(8,5),ccvol(8,5),ccvou(8,5),ccvut(8,5),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ccdlt(8,5),ccdol(8,5),ccdou(8,5),ccdut(8,5),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bxkn,      bxkp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common/dd/Boptp(8,5),Bmaxp(8,5)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common/cl/ w(84,40), a(84,40),he(84,40)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common/p_init/ fpp,fpn,fps,fpdo,fpp_per,fpp_sav,fpp_eav,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eni,  epi,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esi,    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om1,  om2,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om3,  om4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common/c_init/ fcp,fcn,fcs,fcdo,fcp_DOC,fcp_POC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common/tis/stl                           !TIS settling rate (1/d)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common/t/nsp(np),nsc(nc)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common/adv/ segarea(maxsegs)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common/gs4/P_owat(maxsegs),P_inter(maxsegs),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P_wetl(maxsegs),P_mrsh(maxsegs)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common/rsk/  fktrN(maxsegs),fktrP(maxsegs), fktrS(maxsegs)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common/dbg/idebug,ksegdb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common/extinct/exH2O,exDOC,exPOC,exTIS   !light extinction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common/decomp/rdle,trdle_opt,trdle_max,  !decomposition 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rdre,trdre_opt,trdre_max,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rdlh,trdlh_opt,trdlh_max,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rdrh,trdrh_opt,trdrh_max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common/exb1/exPHYT,exPERI,exMACR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common/angio1/frc_shoot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STA phosphorus pools,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common/Ppool_init/             !initial STA P pool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FlcP_init(maxsegs),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LitP_init(maxsegs),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DIPs_init(maxsegs),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DOPs_init(maxsegs),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PIPs_init(maxsegs),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POPs_init(maxsegs),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DIPw_init(maxsegs),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DOPw_init(maxsegs),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PIPw_init(maxsegs),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POPw_init(maxsegs),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DEPs_init(maxsegs)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common/pparms/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rlsf_pops,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rlsl_floc,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rlsl_pops,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rhyd_dops,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rdep_pops,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rrem_dips,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rpht_dips,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rdif_dopw,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rsor_pips,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rdif_dipw,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rsnk_pips,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rdes_dips,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rdep_pips,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rxud_phyt,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rxud_peri,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rstl_pflc,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rhyd_dopw,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rpht_dipw,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rrem_dipw,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rsor_pipw,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rdes_dipw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common/coprecip/slope_prc !slope of the gross pruduction - 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precipitation function (CELLC 2024, Task 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common/bioturb/fbtb_mod ! modifier of bioturbation rate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calibration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common/phy0/boy_phy(maxsegs)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12    format(a80)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 (nsp(i), i=1,np)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99    format(9I6)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write(96,99) np,(nsp(i), i=1,np)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Reading the number of consumer categories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followed by the number of consumers in each category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read(5,99) (nsc(i), i=1,nc)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write(96,99) nc,(nsc(i), i=1,nc)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pause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initial biomass values for all stations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j=1,np !initial producer biomass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read(7,12)ruler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read(7,251) (bp(j,i,k),k=1,nsegs)   !initial biomass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251   format(15x,7(1x,e8.2))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capture initial phytoplankton biomass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boy_phy(i)=bp(1,1,i)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j=1,nc !initial consumer biomass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read(7,12)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nn=nsc(j)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read(7,251) (bc(j,i,k),k=1,nsegs)  ! initial biomass, gC/m3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bioenergetics parameters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Primary producers: phytoplankton, periphyton, macrophytes,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emergents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'Bioenergetic Growth Parameters for the CASM STA:'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write(96,68)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68    format('Producer Population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m=1,4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read(5,13)header2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write(96,13)header2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13    format(a265)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read(5,51) name1,    ! species name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ps(j,i),   !max photosyhnethetic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pte1(j,i),pxk1(j,i),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pte2(j,i),pxk2(j,i),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pte3(j,i),pxk3(j,i),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pte4(j,i),pxk4(j,i),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si(j,i),  !Light saturation intensity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snk(j,i),  !Sinking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xkp(j,i),xkn(j,i),xks(j,i), !Michaelis-Menten constants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for P, N, and Si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pm(j,i),   !Mortality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resp(j,i),   !Photorespiration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resd(j,i),   !Dark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factors for salinity, current 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psplt(j,i),pspol(j,i),pspou(j,i),psput(j,i),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ppvlt(j,i),ppvol(j,i),ppvou(j,i),ppvut(j,i),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ppdlt(j,i),ppdol(j,i),ppdou(j,i),ppdut(j,i),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Phenology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ddi(j,i),dds(j,i)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51         format(a14,10x,f7.3,2x,4(1x,f3.0,1x,f4.2),f6.0,8x,f4.2,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3x,3f7.3,f8.3,f9.3,4x,f8.3,3x,4(4x,f3.0),1x,4(2x,f4.1),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5x,4(1x,f5.2),2(5x,f6.0))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write(96,51)name1,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ps(j,i),   !max photosyhnethetic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pte1(j,i),pxk1(j,i),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pte2(j,i),pxk2(j,i),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pte3(j,i),pxk3(j,i),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pte4(j,i),pxk4(j,i),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si(j,i),  !Light saturation intensity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snk(j,i),  !Sinking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xkp(j,i),xkn(j,i),xks(j,i), !Michaelis-Menten constants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for P, N, and Si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pm(j,i),   !Mortality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resp(j,i),   !Dark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resd(j,i),   !Dark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factors for salinity, current 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psplt(j,i),pspol(j,i),pspou(j,i),psput(j,i),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ppvlt(j,i),ppvol(j,i),ppvou(j,i),ppvut(j,i),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ppdlt(j,i),ppdol(j,i),ppdou(j,i),ppdut(j,i),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ddi(j,i), dds(j,i)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IMPORTANT NOTE: In this version of the CASM, the M-M constants are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in mg/L = g/m3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read(5,'(a14,2x,f4.2)') name1, xlk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write(96,'(a14,2x,f4.2)') name1, xlk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print*,'past producer input'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write(96,78)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78    format(/'Consumer Population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m=1,5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read(5,17) header2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if(m.ne.1)write(96,17) header2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17    format(a265)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Consumers: zooplankton, planktivores, bacterioplankton,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benthic invertebrates, fish, sed. bacteria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nn=nsc(j)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read(5,52) name1,    ! species name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cmx(j,i),  ! max feeding rate,        gC/gC/day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cte1(j,i),cxk1(j,i),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cte2(j,i),cxk2(j,i),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cte3(j,i),cxk3(j,i),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cte4(j,i),cxk4(j,i),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rsda(j,i),    rs(j,i),           !specific dynamic action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rate,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tro(j,i),   trm(j,i),           !temperature dependence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of respiration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f(j,i),     u(j,i),  cm(j,i), !egestion, excretion,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mortality rates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Habitat factors for dissolved oxygen, salinity, current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DOlt(j,i), DOol(j,i), DOou(j,i), DOut(j,i),  !dissolved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oxygen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psclt(j,i),pscol(j,i),pscou(j,i),pscut(j,i),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ccvlt(j,i),ccvol(j,i),ccvou(j,i),ccvut(j,i),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ccdlt(j,i),ccdol(j,i),ccdou(j,i),ccdut(j,i),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Boptp(j,i),Bmaxp(j,i)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52    format(a14,10x,f6.2,3x,4(1x,f3.0,1x,f4.2),f7.3,4x,f7.5,5x,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2(2x,f3.0),8x,f5.3,5x,f5.3,6x,f7.5,2x,4(2x,f4.1),1x,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4(3x,f4.1),2x,4(2x,f4.1),2x,4(2x,f4.1),4x,f7.4,2x,f7.4)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write(96,52)name1,cmx(j,i),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cte1(j,i),cxk1(j,i),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cte2(j,i),cxk2(j,i),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cte3(j,i),cxk3(j,i),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cte4(j,i),cxk4(j,i),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rsda(j,i),    rs(j,i),           !specific dynamic action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rate,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tro(j,i),   trm(j,i),           !temperature dependence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of respiration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f(j,i),     u(j,i),  cm(j,i), !egestion, excretion,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mortality rates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Habitat factors for dissolved oxygen, salinity, current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DOlt(j,i), DOol(j,i), DOou(j,i), DOut(j,i),  !dissolved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oxygen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psclt(j,i),pscol(j,i),pscou(j,i),pscut(j,i),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ccvlt(j,i),ccvol(j,i),ccvou(j,i),ccvut(j,i),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ccdlt(j,i),ccdol(j,i),ccdou(j,i),ccdut(j,i),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Boptp(j,i),Bmaxp(j,i)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enddo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reading in the half saturation value for N and P (mg/L)for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bacterioplankton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read(5,54) name1,bxkn,bxkp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write(96,54)name1,bxkn,bxkp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54    format(a14,1x,f5.0,1x,f5.0)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initial conditions for: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fpp = fraction of plant carbon that is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fpn = fraction of plant carbon that is 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fps = fraction of plant carbon that is Si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fpdo= plant carbon equivalent in diss. oxygen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fcp = fraction of consumer carbon that is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fcn = fraction of consumer carbon that is 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fcs = fraction of consumer carbon that is Si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fcdo= consumer carbon equivalent in diss. oxygen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fcp_DOC = P fraction of decomposed DOC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fcp_POC = P fraction of decomposed 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read(5,911)  fpp,fpn,fps,fpdo,fpp_per,fpp_sav,fpp_eav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write(96,911)fpp,fpn,fps,fpdo,fpp_per,fpp_sav,fpp_eav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read(5,911)  fcp,fcn,fcs,fcdo,fcp_DOC,fcp_POC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write(96,911)fcp,fcn,fcs,fcdo,fcp_DOC,fcp_POC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911   format(7(f10.4,1x))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read(5,911)  exH2O,exDOC,exPOC,exTIS   !light extinction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write(96,911)exH2O,exDOC,exPOC,exTIS   !light extinction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read(5,914)  rdle,trdle_opt,trdle_max  !decomposition 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write(96,914)rdle,trdle_opt,trdle_max  !decomposition 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read(5,914)  rdre,trdre_opt,trdre_max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write(96,914)rdre,trdre_opt,trdre_max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read(5,914)  rdlh,trdlh_opt,trdlh_max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write(96,914)rdlh,trdlh_opt,trdlh_max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read(5,914)  rdrh,trdrh_opt,trdrh_max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write(96,914)rdrh,trdrh_opt,trdrh_max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914   format(f10.4,1x,f4.1,7x,f4.1)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read(5,915)  stl     !TIS settling rate, 1/d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write(96,915)stl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915   format(f5.3)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read(5,916)  exPHYT,exPERI,exMACR     !shading coefficients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write(96,916)exPHYT,experi,exMACR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916   format(3(f6.3,1x))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STA P pool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read(7,917)  (FlcP_init(k),k=1,nsegs)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read(7,917)  (LitP_init(k),k=1,nsegs)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read(7,917)  (DIPs_init(k),k=1,nsegs)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read(7,917)  (DOPs_init(k),k=1,nsegs)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read(7,917)  (PIPs_init(k),k=1,nsegs)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read(7,917)  (POPs_init(k),k=1,nsegs)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read(7,917)  (DIPw_init(k),k=1,nsegs)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read(7,917)  (DOPw_init(k),k=1,nsegs)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read(7,917)  (PIPw_init(k),k=1,nsegs)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read(7,917)  (POPw_init(k),k=1,nsegs)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read(7,917)  (DEPs_init(k),k=1,nsegs)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917   format(12x,6(4x,f5.3))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iput internal cycling P parameters for the CASM STA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rlsf_pops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rlsl_floc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rlsl_pops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rhyd_dops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rdep_pops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rrem_dips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rpht_dips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rdif_dopw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rsor_pips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rdif_dipw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rsnk_pips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rdes_dips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rdep_pips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rxud_phyto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rxud_peri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rstl_pflc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rhyd_dopw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rpht_dipw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read(5,1000)   rrem_dipw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rsor_pipw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read(5,1000)   rdes_dipw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1000  format(9x,f9.5)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write(96,1001)rlsf_pops,rlsl_floc,rlsl_pops,rhyd_dops,rdep_pops,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rrem_dips,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rpht_dips,rdif_dopw,rsor_pips,rdif_dipw,rsnk_pips,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rdes_dips,rdep_pips,rxud_phyto,rxud_peri,rstl_pflc,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rhyd_dopw,rpht_dipw,rrem_dipw,rsor_pipw,rdes_dipw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1001  format(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'rlsf_pops',f9.5,'  floc loss to POPs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'rlsl_floc',f9.5,'  litter deomposition to floc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'rlsl_pops',f9.5,'  litter loss to POPs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'rhyd_dops',f9.5,'  POPs hydrolysis to DOPs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'rdep_pops',f9.5,'  POPs deposition to deep storage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'rrem_dips',f9.5,'  DOPS remineralization to DIPs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'rpht_dips',f9.5,'  DOPs photolysis to DIPs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'rdif_dopw',f9.5,'  DOPs diffusion to DOPw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'rsor_pips',f9.5,'  DIPs sorption to PIPs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'rdif_dipw',f9.5,'  DIPs loss diffusion to DIPw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'rsnk_pips',f9.5,'  input sinking of PIPw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'rdes_dips',f9.5,'  loss desorption to DIPs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'rdep_pips',f9.5,'  loss to deep deposition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'rxud_phyt',f9.5,'  phytoplankton exudation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'rxud_peri',f9.5,'  periphyton exudation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'rstl_pflc',f9.5,'  POPw settling to floc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'rhyd_dopw',f9.5,'  POPw loss hydrolysis to DOPw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'rpht_dipw',f9.5,'  DOPw loss photolysis to 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'rrem_dipw',f9.5,'  DOPw loss reminerlization to DIPw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'rsor_pipw',f9.5,'  DIPw loss sorption to PIPw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'rdes_dipw',f9.5,'  PIPw loss desorption to 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read(5,'(f4.2)')frc_shoot !fraction of SAV and EAV shoot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productivity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read(5,'(f5.3)')slope_prc !slope of co-precipitation function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(CELLC 2024, Task 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write(96,1002)  slope_prc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1002  format('slope_prc',f9.5,'  slope of co-precipitation fnc')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read(5,12)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read(5,'(f5.3)')fbtb_mod !bioturbation calibration 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write(96,1004) fbtb_mod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1004  format('fbtb_mod ',f5.3,' bioturbation 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The following code defines the foodweb connections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throughout the model and can be used to modify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foodweb relations for site specific applications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of the model. Values range between 0. and 1.0 for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both w(,) and 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w(i,j) --- preference of prey i by predator 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a(i,j) --- assimlation of ingested prey 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by predator 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he(i,j)--- handling efficiency of predator j to prey 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i=1,84              ! initialize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w(i,j)=0.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a(i,j)=0.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he(i,j)=1.0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pause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     read(9,9997, END=3) rem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if(rem.ne.';') 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backspace (9)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read(9,9999,END=3,ERR=4)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k,l,w(k,l),a(k,l),he(k,l),comment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pause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9999  format(2i3,3(f10.2),a40)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9997  format(a1)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 (k.gt.84.or.l.gt.40) 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 'Error in the food web interaction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 'Too large indices'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elseif (k.eq.0.or.l.eq.0) 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go to 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endif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endif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go to 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go to 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4     write(*,*) 'Error in the foodweb interaction input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close(9)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node physical information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read(50,12)ruler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write(96,12)ruler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read(50,19)header3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    format(a152)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write(96,19)header3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m=1,nsegs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read(50,75)seg_nam,segarea(m),P_owat(m),   !segarea input as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hectares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P_inter(m),P_wetl(m),P_mrsh(m)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write(96,75)seg_nam,segarea(m),P_owat(m),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P_inter(m),P_wetl(m),P_mrsh(m)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segarea(m)=segarea(m)*10000.               !convert area to m2 1 ha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10,000 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75    format(a10,8x,f9.3,4(8x,f4.0))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The following subroutines execute the CASM STA model for all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modeled nodes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Subroutine casm(iyear)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(npops=12,maxsegs=3) !maximum number of spatial nodes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(maxyrs=20) !maximum number of simulated years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(np=4,nc=8)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real*4 LitP_init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character*152 header3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character*80 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character*16 popnam(npops)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character*12 st_nam(maxsegs)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character*16 znam(17),pnam(35)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common/blknam/popnam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common/blksta/st_nam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common/blkznm/znam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common/blkpnm/pnam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common/csm3/delta_t   !time step, units = days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common/test/izr_test,iss_test,ian_test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common/csm1/nsegs !number of spatial elements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common/csm2/nyrs,ndays,incr_out  !nyrs - number of simulatetd years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(range: 1-50); ndays=nyrs*365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common/t/nsp(np),nsc(nc)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common/ntprd1/anetprod(npops,maxsegs,maxyrs) !population annual net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productivity (gC/m2/y)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biomass values and bioenergetics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  bp(4,10,maxsegs),   !initial biomass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ps(4,10),   !max photosyhnethetic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pte1(4,10),pxk1(4,10),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pte2(4,10),pxk2(4,10),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pte3(4,10),pxk3(4,10),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pte4(4,10),pxk4(4,10),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si(4,10),  !Light saturation intensity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snk(4,10),  !Sinking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xkp(4,10),xkn(4,10),xks(4,10), !Michaelis-Menten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constants for P, N, and Si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pm(4,10),   !Mortality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resp(4,10),   !Photorespiration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resd(4,10),   !Dark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factors for salinity, current 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psplt(4,10),pspol(4,10),pspou(4,10),psput(4,10),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ppvlt(4,10),ppvol(4,10),ppvou(4,10),ppvut(4,10),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ppdlt(4,10),ppdol(4,10),ppdou(4,10),ppdut(4,10),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Phenology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ddi(4,10),   !Degree-days required for growth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dds(4,10),    !Degree-days for onset of senescence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xlk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common/c/  bc(8,5,maxsegs),  !Initial biomass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cmx(8,5),  !max consumption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cte1(8,5),cxk1(8,5),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cte2(8,5),cxk2(8,5),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cte3(8,5),cxk3(8,5),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cte4(8,5),cxk4(8,5),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rsda(8,5),    rs(8,5),           !specific dynamic action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rate,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tro(8,5),   trm(8,5),           !temperature dependence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of respiration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f(8,5),     u(8,5),  cm(8,5), !egestion, excretion,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mortality rates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Habitat factors for dissolved oxygen, salinity, current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DOlt(8,5), DOol(8,5), DOou(8,5), DOut(8,5),  !dissolved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oxygen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psclt(8,5),pscol(8,5),pscou(8,5),pscut(8,5),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ccvlt(8,5),ccvol(8,5),ccvou(8,5),ccvut(8,5),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ccdlt(8,5),ccdol(8,5),ccdou(8,5),ccdut(8,5),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bxkn,      bxkp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common/dd/Boptp(8,5),Bmaxp(8,5)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common/extinct/exH2O,exDOC,exPOC,exTIS   !light extinction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common/decomp/rdle,trdle_opt,trdle_max,  !decomposition 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rdre,trdre_opt,trdre_max,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rdlh,trdlh_opt,trdlh_max,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rdrh,trdrh_opt,trdrh_max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common/p_init/ fpp,fpn,fps,fpdo,fpp_per,fpp_sav,fpp_eav,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eni,  epi,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esi,    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om1,  om2,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om3,  om4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common/c_init/ fcp,fcn,fcs,fcdo,fcp_DOC,fcp_POC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common/env2/degdays_aq(maxsegs)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common/tis/stl                    !TIS settling rate (1/d)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common/adv/ segarea(maxsegs) !constant segment area (ha)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common/rsk/ fktrN(maxsegs),fktrP(maxsegs), fktrS(maxsegs)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common/gs1/sum_o2(maxyrs,maxsegs), !net oxygen produced by all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plants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sum_c (maxyrs,maxsegs), !total carbon fixation by all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plants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sum_N(maxyrs,maxsegs),sum_P(maxyrs,maxsegs)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!bioaccumulated N and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common/gs3/secchi(maxsegs) !Secchi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common/arg1/om(2,2,maxsegs),yo(40),egn(40),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cl(84),tux(40),trsdax(40)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common/hstry/bmass(84,maxsegs),znut(17,maxsegs),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O2se(maxsegs),O2sh(maxsegs)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common/r_env/en,ep,edo,es,hn,hp,hdo,hs,tise,tish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common/dbg/idebug,ksegdb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common/rat1/fg(4,10,maxsegs)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common/plt1/chl(maxsegs)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common/sys1/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Chlmx(maxsegs,maxyrs),   !maximum phytoplankton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chlorophyll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Chlav(maxsegs,maxyrs),   !average phytoplankton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chlorophyll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SDmean(maxsegs,maxyrs),  !Secchi depth - average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SDmax(maxsegs,maxyrs),   !Secchi depth - maximum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SDmin(maxsegs,maxyrs),   !Secchi depth - minimum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DOmean(maxsegs,maxyrs),  !dissolved oxygen conc. - mean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DOmin(maxsegs,maxyrs),   !dissolved oxygen conc.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minimum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DOpmn(maxsegs,maxyrs)    !dissolved oxygen sat   - mean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saturation)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common/pparms/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rlsf_pops,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rlsl_floc,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rlsl_pops,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rhyd_dops,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rdep_pops,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rrem_dips,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rpht_dips,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rdif_dopw,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rsor_pips,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rdif_dipw,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rsnk_pips,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rdes_dips,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rdep_pips,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rxud_phyt,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rxud_peri,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rstl_pflc,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rhyd_dopw,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rpht_dipw,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rrem_dipw,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rsor_pipw,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rdes_dipw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common/coprecip/slope_prc !slope of the gross pruduction - 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precipitation function (CELLC 2024, Task 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common/bioturb/fbtb_mod ! modifier of bioturbation rate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calibration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common/Ppool_init/             !initial STA P pool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FlcP_init(maxsegs),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LitP_init(maxsegs),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DIPs_init(maxsegs),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DOPs_init(maxsegs),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PIPs_init(maxsegs),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POPs_init(maxsegs),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DIPw_init(maxsegs),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DOPw_init(maxsegs),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PIPw_init(maxsegs),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POPw_init(maxsegs),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DEPs_init(maxsegs)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common/angio1/frc_shoot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common/sen/flow_mod,Pin_mod,Pinit_mod !factors that mutliply input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flows, input P loadings, and initial P pool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common/phy0/boy_phy(maxsegs)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ein(maxsegs),te(maxsegs),th(maxsegs),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xne(maxsegs),  xnh(maxsegs),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xpe(maxsegs),  xph(maxsegs),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xse(maxsegs),depth(maxsegs),     cvel(maxsegs),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xtise(maxsegs),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POCe(maxsegs), wind(maxsegs), salinity(maxsegs)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pltref(npops,maxsegs)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ss(12),bpinit(4,10,maxsegs),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bcinit(8,5, 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pp(4,10,maxsegs)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integer bpflag(4,10,maxsegs), bcflag(8,5,maxsegs)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en(maxsegs),ep(maxsegs),es(maxsegs),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hn(maxsegs),hp(maxsegs),hs(maxsegs)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ttxp(maxsegs),ttxn(maxsegs),ttxs(maxsegs),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ttdp(maxsegs),ttdn(maxsegs),ttds(maxsegs)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edo(maxsegs),hdo(maxsegs),tise(maxsegs),tish(maxsegs)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dimension xpload(maxsegs), flowin(maxsegs),flowout(maxsegs)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DIPw_in(maxsegs),DOPw_in(maxsegs),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PIPw_in(maxsegs),POPw_in(maxsegs)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STA phosphorus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dimension pflc(maxsegs), plit(maxsegs), pops(maxsegs),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!daily values,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dops(maxsegs), dips(maxsegs), pips(maxsegs), popw(maxsegs),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dopw(maxsegs), dipw(maxsegs), pipw(maxsegs), totp(maxsegs),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deps(maxsegs),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dopw_v(maxsegs), dipw_v(maxsegs),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pipw_v(maxsegs), popw_v(maxsegs),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totp_v(maxsegs)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dimension dav_pflc(maxsegs),dav_plit(maxsegs),dav_pops(maxsegs),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!daily average values, g 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dav_dops(maxsegs),dav_dips(maxsegs),dav_pips(maxsegs),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dav_popw(maxsegs),dav_dopw(maxsegs),dav_dipw(maxsegs),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dav_pipw(maxsegs),dav_totp(maxsegs),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dav_deps(maxsegs),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dav_dopw_v(maxsegs), dav_dipw_v(maxsegs),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dav_pipw_v(maxsegs), dav_popw_v(maxsegs),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dav_totp_v(maxsegs)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dimension dmn_pflc(maxsegs),dmn_plit(maxsegs),dmn_pops(maxsegs),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!annual min values, g 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dmn_dops(maxsegs),dmn_dips(maxsegs),dmn_pips(maxsegs),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dmn_popw(maxsegs),dmn_dopw(maxsegs),dmn_dipw(maxsegs),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dmn_pipw(maxsegs),dmn_totp(maxsegs),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dmn_deps(maxsegs),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dmn_dopw_v(maxsegs), dmn_dipw_v(maxsegs),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dmn_pipw_v(maxsegs), dmn_popw_v(maxsegs),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dmn_totp_v(maxsegs)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dimension dmx_pflc(maxsegs),dmx_plit(maxsegs),dmx_pops(maxsegs),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!annual max values, g 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dmx_dops(maxsegs),dmx_dips(maxsegs),dmx_pips(maxsegs),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dmx_popw(maxsegs),dmx_dopw(maxsegs),dmx_dipw(maxsegs),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dmx_pipw(maxsegs),dmx_totp(maxsegs),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dmx_deps(maxsegs),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dmx_dopw_v(maxsegs), dmx_dipw_v(maxsegs),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dmx_pipw_v(maxsegs), dmx_popw_v(maxsegs),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dmx_totp_v(maxsegs)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P_phy(maxsegs),P_per(maxsegs),P_sav(maxsegs),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P_eav(maxsegs),totcon_P(maxsegs)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dav_phyP(maxsegs),dav_perP(maxsegs),dav_savP(maxsegs),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dav_eavP(maxsegs)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dmx_phyP(maxsegs),dmx_perP(maxsegs),dmx_savP(maxsegs),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dmx_eavP(maxsegs)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dmn_phyP(maxsegs),dmn_perP(maxsegs),dmn_savP(maxsegs),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dmn_eavP(maxsegs)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dav_totc_p(maxsegs),dmx_totc_p(maxsegs),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dmn_totc_p(maxsegs) !total consumer population biomass, 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dimension tan_dep(maxsegs), tan_rem(maxsegs)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eoy_mos(maxsegs),eoy_lmb(maxsegs),eoy_bce(maxsegs),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eoy_grs(maxsegs),eoy_til(maxsegs),eoy_bcs(maxsegs),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eoy_phy(maxsegs),eoy_per(maxsegs),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eoy_sav(maxsegs),eoy_eav(maxsegs),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eoy_zoo(maxsegs),eoy_inf(maxsegs)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eoy_pflc(maxsegs),eoy_plit(maxsegs),eoy_pops(maxsegs),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eoy_dops(maxsegs),eoy_dips(maxsegs),eoy_pips(maxsegs)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eoy_popw(maxsegs),eoy_dopw(maxsegs),eoy_dipw(maxsegs),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eoy_pipw(maxsegs),eoy_deps(maxsegs)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eoy_en(maxsegs),eoy_ep(maxsegs),eoy_es(maxsegs),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eoy_hn(maxsegs),eoy_hp(maxsegs),eoy_hs(maxsegs)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eoy_DOCe(maxsegs),eoy_POCe(maxsegs),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eoy_DOCh(maxsegs),eoy_POCh(maxsegs),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eoy_TISe(maxsegs),eoy_TISh(maxsegs)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TSegP(maxsegs)      !total segment P on day 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TSegP_init(maxsegs) !                on day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dimension Pmass_res(maxsegs), Prcnt_res(maxsegs) !P residuals 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mass balance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dimension tdelp_P(maxsegs),tdelc_P(maxsegs) !derivatives used in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mass balance calculations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TPin(maxsegs),dav_TPin(maxsegs),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dmx_TPin(maxsegs),dmn_TPin(maxsegs)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totp_outab(maxsegs),dav_totp_outab(maxsegs),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dmx_totp_outab(maxsegs),dmn_totp_outab(maxsegs)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totp_outbc(maxsegs),dav_totp_outbc(maxsegs),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dmx_totp_outbc(maxsegs),dmn_totp_outbc(maxsegs)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totp_outfl(maxsegs),dav_totp_outfl(maxsegs),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dmx_totp_outfl(maxsegs),dmn_totp_outfl(maxsegs)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check_mb(5,10)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iyr=iyear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nperday=ifix(0.001+(1.0/delta_t)) !the number of sub-daily loops,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inverse of the time step, delta_t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dt=delta_t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an array for local mass-balance checking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check_mb(i,j)=0.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calculate the beginning and ending day for the simulated 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i_begin=(iyear-1)*365 + 1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i_end=  (i_begin)+364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i_doy=0 !counter for day of year (1-365)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Initialize over all segments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1000 kseg=1,nsegs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degdays_aq(kseg)=0. !initialize degree-days for aquatic plants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sum_O2(iyr,kseg)=0. !initialize net oxygen produced by all plants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sum_C (iyr,kseg)=0. !initialize total carbon fixation by all plants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sum_N(iyr,kseg)=0.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sum_P(iyr,kseg)=0.  !initialize bioaccumulated N and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Chlmx(kseg,iyr) =0.   !maximum phytoplankton chlorophyll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Chlav(kseg,iyr) =0.   !average phytoplankton chlorophyll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SDmean(kseg,iyr)=0.   !Secchi depth - average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SDmax(kseg,iyr) =0.   !Secchi depth - maximum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SDmin(kseg,iyr) =60.  !Secchi depth - minimum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DOmean(kseg,iyr)=0.   !dissolved oxygen conc. - mean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DOmin(kseg,iyr) =60.  !dissolved oxygen conc. - minimum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DOpmn(kseg,iyr) =0.   !dissolved oxygen sat   - mean (% saturation)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do i=1,84             !initialize the biomass vs kseg array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m=1,npops         !initialize annual net productivity array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anetprod(m,kseg,iyr)=0.  !note: annual net prod does not include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losses to grazing or predation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initialize phys-chem tracking arrays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i=1,17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nutrient conditions, mg/L = g/m3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organic matter pools, g C/m2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om(1,1,kseg)=0.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om(1,2,kseg)=0.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om(2,1,kseg)=0.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om(2,2,kseg)=0.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total inorganic solids, g/m2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tise(kseg)=0.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tish(kseg)=0.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totp(kseg)=0.    !TP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tan_dep(kseg)=0. !total annual deposition, g P/m2/y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tan_rem(kseg)=0. !total annual remineralization, g P/m2/y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tdelp_P(kseg)=0.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tdelc_P(kseg)=0.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dav_pflc(kseg)=0.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dav_plit(kseg)=0.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dav_pops(kseg)=0.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dav_dops(kseg)=0.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dav_dips(kseg)=0.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dav_pips(kseg)=0.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dav_deps(kseg)=0.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dav_popw(kseg)=0.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dav_dopw(kseg)=0.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dav_dipw(kseg)=0.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dav_pipw(kseg)=0.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dav_totp(kseg)=0.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dav_popw_v(kseg)=0.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dav_dopw_v(kseg)=0.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dav_dipw_v(kseg)=0.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dav_pipw_v(kseg)=0.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dav_totp_v(kseg)=0.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dav_totc_p(kseg)=0. !annual daily average consumer population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biomass as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dmx_pflc(kseg)=0.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dmx_plit(kseg)=0.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dmx_pops(kseg)=0.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dmx_dops(kseg)=0.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dmx_dips(kseg)=0.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dmx_pips(kseg)=0.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dmx_deps(kseg)=0.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dmx_popw(kseg)=0.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dmx_dopw(kseg)=0.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dmx_dipw(kseg)=0.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dmx_pipw(kseg)=0.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dmx_totp(kseg)=0.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dmx_popw_v(kseg)=0.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dmx_dopw_v(kseg)=0.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dmx_dipw_v(kseg)=0.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dmx_pipw_v(kseg)=0.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dmx_totp_v(kseg)=0.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dmx_totc_p(kseg)=0. !annual maximum consumer population biomass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as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dmn_pflc(kseg)=1000.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dmn_plit(kseg)=1000.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dmn_pops(kseg)=1000.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dmn_dops(kseg)=1000.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dmn_dips(kseg)=1000.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dmn_pips(kseg)=1000.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dmn_deps(kseg)=1000.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dmn_popw(kseg)=1000.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dmn_dopw(kseg)=1000.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dmn_dipw(kseg)=1000.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dmn_pipw(kseg)=1000.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dmn_totp(kseg)=1000.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dmn_popw_v(kseg)=1000.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dmn_dopw_v(kseg)=1000.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dmn_dipw_v(kseg)=1000.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dmn_pipw_v(kseg)=1000.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dmn_totp_v(kseg)=1000.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dmn_totc_p(kseg)=1000. !annual minimum consumer population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biomass as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P_phy(kseg)=0.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P_per(kseg)=0.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P_sav(kseg)=0.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P_eav(kseg)=0.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totcon_P(kseg)=0.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dav_phyP(kseg)=0.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dav_perP(kseg)=0.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dav_savP(kseg)=0.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dav_eavP(kseg)=0.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dav_TPin(kseg)=0.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dav_totp_outab(kseg)=0.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dav_totp_outbc(kseg)=0.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dav_totp_outfl(kseg)=0.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dmx_phyP(kseg)=0.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dmx_perP(kseg)=0.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dmx_savP(kseg)=0.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dmx_eavP(kseg)=0.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dmx_TPin(kseg)=0.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dmx_totp_outab(kseg)=0.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dmx_totp_outbc(kseg)=0.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dmx_totp_outfl(kseg)=0.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dmn_phyP(kseg)=1000.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dmn_perP(kseg)=1000.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dmn_savP(kseg)=1000.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dmn_eavP(kseg)=1000.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dmn_TPin(kseg)=1000.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dmn_totp_outab(kseg)=1000.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dmn_totp_outbc(kseg)=1000.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dmn_totp_outfl(kseg)=1000.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Accumulators for tracking nutrients and calls to 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ttxp(kseg)=0.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ttxn(kseg)=0.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ttxs(kseg)=0.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ttdp(kseg)=0.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ttdn(kseg)=0.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ttds(kseg)=0.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Initial P-pools, g 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pflc(kseg)=FlcP_init(kseg)*Pinit_mod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plit(kseg)=LitP_init(kseg)*Pinit_mod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pops(kseg)=POPs_init(kseg)*Pinit_mod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dops(kseg)=DOPs_init(kseg)*Pinit_mod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dips(kseg)=DIPs_init(kseg)*Pinit_mod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pips(kseg)=PIPs_init(kseg)*Pinit_mod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popw(kseg)=POPw_init(kseg)*Pinit_mod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dopw(kseg)=DOPw_init(kseg)*Pinit_mod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dipw(kseg)=DIPw_init(kseg)*Pinit_mod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pipw(kseg)=PIPw_init(kseg)*Pinit_mod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deps(kseg)=DEPs_init(kseg)*Pinit_mod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biomass condition - defined for year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eoy_pflc(kseg)=0. !sediment P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eoy_plit(kseg)=0.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eoy_dips(kseg)=0.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eoy_pips(kseg)=0.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eoy_deps(kseg)=0.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eoy_popw(kseg)=0. !water column P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eoy_dipw(kseg)=0.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eoy_pipw(kseg)=0.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totp_outab(kseg)=0.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totp_outbc(kseg)=0.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totp_outfl(kseg)=0.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eoy_phy(kseg)=0.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eoy_per(kseg)=0.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eoy_sav(kseg)=0. !SAV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eoy_eav(kseg)=0.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eoy_mos(kseg)=0. !mosquitofish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eoy_lmb(kseg)=0. !largemouth bass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eoy_inf(kseg)=0. !infauna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eoy_grs(kseg)=0. !grass shrimp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eoy_til(kseg)=0. !Tilapia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eoy_bce(kseg)=0. !bacteria - water column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eoy_bcs(kseg)=0. !bacteria - sediments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eoy_DOCe(kseg)=0. !DOCe(gC/m2,kseg)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eoy_POCe(kseg)=0. !POCe(gC/m2,kseg)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eoy_DOCh(kseg)=0. !DOCh(gC/m2,kseg)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eoy_POCh(kseg)=0. !POCh(gC/m2,kseg)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eoy_TISe(kseg)=0. !TISe(g/m2,kseg)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eoy_TISh(kseg)=0. !TISh(g/m2,kseg)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eoy_en(kseg)=0.   !DIN, DIP, Si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eoy_ep(kseg)=0.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eoy_es(kseg)=0.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eoy_hn(kseg)=0.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eoy_hp(kseg)=0.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eoy_hs(kseg)=0.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ki=1,10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bpflag(k,ki,kseg)=0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ki=1,5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bcflag(k,ki,kseg)=0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enddo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if(bp(j,i,kseg).gt.0.0) bpflag(j,i,kseg)=1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bpinit(j,i,kseg)=bp(j,i,kseg) !initial biomass used as refuge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value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nn=nsc(j)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if(bc(j,i,kseg).gt.0.0) bcflag(j,i,kseg)=1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bcinit(j,i,kseg)=bc(j,i,kseg) !initial biomass used as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refuge value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 !year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if(iyr.gt.1 .and. ian_test.eq.0)then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conditions - defined for all years &gt;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write(10,9000)iyr,ian_test,kseg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9000    format('BOY Check Year: ',i3,' IANT: ',i2,' Segment: ',i2)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write(10,9001) eoy_pflc(kseg),eoy_plit(kseg),eoy_pops(kseg),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eoy_dops(kseg),eoy_dips(kseg),eoy_pips(kseg),eoy_deps(kseg),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eoy_popw(kseg),eoy_dopw(kseg),eoy_dipw(kseg),eoy_pipw(kseg)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write(10,9001)boy_phy(kseg),eoy_per(kseg),eoy_sav(kseg),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eoy_eav(kseg),eoy_zoo(kseg),eoy_mos(kseg),eoy_lmb(kseg),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eoy_bce(kseg),eoy_inf(kseg),eoy_grs(kseg),eoy_til(kseg),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eoy_bcs(kseg)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write(10,9001) eoy_en(kseg),eoy_ep(kseg),eoy_es(kseg),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eoy_hn(kseg),eoy_hp(kseg),eoy_hs(kseg)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write(10,9001) eoy_DOCe(kseg),eoy_POCe(kseg),eoy_DOCh(kseg),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eoy_POCh(kseg),eoy_TISe(kseg),eoy_TISh(kseg)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9001    format(12(e10.4,1x))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bp(j,i,kseg)=0.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bpflag(j,i,kseg)=0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bpinit(j,i,kseg)=0.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bp(1,1,kseg)=boy_phy(kseg) !phytoplankton initialized to inital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year 1 input value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bp(2,1,kseg)=eoy_per(kseg)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bp(3,1,kseg)=eoy_sav(kseg) !SAV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bp(4,1,kseg)=eoy_eav(kseg)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bpinit(1,1,kseg)=boy_phy(kseg) !phytoplankton initialized to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inital year 1 input value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bpinit(2,1,kseg)=eoy_per(kseg)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bpinit(3,1,kseg)=eoy_sav(kseg) !SAV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bpinit(4,1,kseg)=eoy_eav(kseg)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if(bpinit(j,i,kseg).gt.0.)bpflag(j,i,kseg)=1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nn=nsc(j)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bc(j,i,kseg)=0.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bcflag(j,i,kseg)=0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bc(1,1,kseg)=eoy_zoo(kseg) !zooplankton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bc(2,1,kseg)=eoy_mos(kseg) !mosquitofish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bc(3,1,kseg)=eoy_lmb(kseg) !largemouth bass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bc(4,1,kseg)=eoy_bce(kseg) !bacteria - water column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bc(5,1,kseg)=eoy_inf(kseg) !infauna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bc(5,2,kseg)=eoy_grs(kseg) !grass shrimp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bc(6,1,kseg)=eoy_til(kseg) !Tilapia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bc(8,1,kseg)=eoy_bcs(kseg) !bacteria - sediment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bcinit(1,1,kseg)=eoy_zoo(kseg) !zooplankton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bcinit(2,1,kseg)=eoy_mos(kseg) !mosquitofish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bcinit(3,1,kseg)=eoy_lmb(kseg) !largemouth bass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bcinit(4,1,kseg)=eoy_bce(kseg) !bacteria - water column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bcinit(5,1,kseg)=eoy_inf(kseg) !infauna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bcinit(5,2,kseg)=eoy_grs(kseg) !grass shrimp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bcinit(6,1,kseg)=eoy_til(kseg) !Tilapia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bcinit(8,1,kseg)=eoy_bcs(kseg) !bacteria - sediment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nn=nsc(j)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if(bcinit(j,i,kseg).gt.0.)bcflag(j,i,kseg)=1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en(kseg)=eoy_en(kseg)      !DIN, DIP, Si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ep(kseg)=eoy_ep(kseg)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es(kseg)=eoy_es(kseg)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hn(kseg)=eoy_hn(kseg)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hp(kseg)=eoy_hp(kseg)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hs(kseg)=eoy_hs(kseg)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om(1,1,kseg)=eoy_DOCe(kseg) !DOCe(gC/m2,kseg)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om(1,2,kseg)=eoy_POCe(kseg) !POCe(gC/m2,kseg)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om(2,1,kseg)=eoy_DOCh(kseg) !DOCh(gC/m2,kseg)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om(2,2,kseg)=eoy_POCh(kseg) !POCh(gC/m2,kseg)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tise(kseg)=eoy_TISe(kseg)   !TISe(g/m2,kseg)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tish(kseg)=eoy_TISh(kseg)   !TISh(g/m2,kseg)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pflc(kseg)=eoy_pflc(kseg)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plit(kseg)=eoy_plit(kseg)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pops(kseg)=eoy_pops(kseg)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dops(kseg)=eoy_dops(kseg)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dips(kseg)=eoy_dips(kseg)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pips(kseg)=eoy_pips(kseg)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deps(kseg)=eoy_deps(kseg)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popw(kseg)=eoy_popw(kseg)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dopw(kseg)=eoy_dopw(kseg)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dipw(kseg)=eoy_dipw(kseg)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pipw(kseg)=eoy_pipw(kseg)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pipw_v(kseg)=0.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totp_outab(kseg)=0.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totp_outbc(kseg)=0.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totp_outfl(kseg)=0.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 !all other years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if(iyr.gt.1 .and. ian_test.eq.1)then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biomass condition - defined using year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eoy_pflc(kseg)=0. !sediment P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eoy_plit(kseg)=0.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eoy_dips(kseg)=0.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eoy_pips(kseg)=0.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eoy_deps(kseg)=0.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eoy_popw(kseg)=0. !water column P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eoy_dipw(kseg)=0.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eoy_pipw(kseg)=0.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eoy_phy(kseg)=0.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eoy_per(kseg)=0.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eoy_sav(kseg)=0. !SAV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eoy_eav(kseg)=0.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eoy_mos(kseg)=0. !mosquitofish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eoy_lmb(kseg)=0. !largemouth bass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eoy_inf(kseg)=0. !infauna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eoy_grs(kseg)=0. !grass shrimp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eoy_til(kseg)=0. !Tilapia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eoy_bce(kseg)=0. !bacteria - water column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eoy_bcs(kseg)=0. !bacteria - sediments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eoy_DOCe(kseg)=0. !DOCe(gC/m2,kseg)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eoy_POCe(kseg)=0. !POCe(gC/m2,kseg)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eoy_DOCh(kseg)=0. !DOCh(gC/m2,kseg)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eoy_POCh(kseg)=0. !POCh(gC/m2,kseg)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eoy_TISe(kseg)=0. !TISe(g/m2,kseg)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eoy_TISh(kseg)=0. !TISh(g/m2,kseg)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ki=1,10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bpflag(k,ki,kseg)=0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ki=1,5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bcflag(k,ki,kseg)=0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enddo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if(bp(j,i,kseg).gt.0.0) bpflag(j,i,kseg)=1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bpinit(j,i,kseg)=bp(j,i,kseg) !initial biomass used as refuge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value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bpinit(1,1,kseg)=boy_phy(kseg)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nn=nsc(j)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if(bc(j,i,kseg).gt.0.0) bcflag(j,i,kseg)=1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bcinit(j,i,kseg)=bc(j,i,kseg) !initial biomass used as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refuge value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 !year 1 annual re-initialization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1000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End - Define Initial biomass and system conditions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Loop over days in the model 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do 10 i=i_begin,i_end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iday=i         !cumulative day number for all simulated years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i_doy=i_doy+1  !day of year within each model year (1-365)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 xml:space="preserve">   Version 5.00 - input daily advection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 daily transport coefficients (1/d) and segment volumes (km3)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read(52,18)ruler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read(52,18)ruler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segvol_a=0.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segvol_b=0.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segvol_c=0.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--------------------------------------------Multi-year steady-state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simulations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if(iyr.le.16)then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if(i.eq.1)write(56,158)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read(52,157)trans_ab,trans_bc,trans_cout,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segvol_a,segvol_b,segvol_c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trans_ab  =trans_ab*flow_mod !for sensitivity analysis of inflows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trans_bc  =trans_bc*flow_mod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trans_cout=trans_cout*flow_mod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segvol_a=segvol_a*flow_mod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segvol_b=segvol_b*flow_mod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segvol_c=segvol_c*flow_mod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write(56,1590)i,trans_ab,trans_bc,trans_cout,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segvol_a,segvol_b,segvol_c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 ! multi-year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157   format(16x,3(2x,f6.4),8x,3(1x,f7.5))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158   format('Day    trans_ab trans_bc trans_cout',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segvol_a segvol_b segvol_c')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1590  format(i4,3(3x,f6.4),6x,3(f7.5,2x))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if(iss_test.eq.01)then !steady-state uses constant mean volume 2005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- 2012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segvol_a=0.00156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segvol_b=0.00141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segvol_c=0.00128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Loop over spatial segments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1010 kseg=1,nsegs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trate=0.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if(kseg.eq.1)then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trate=max(0.,trans_ab)      !constrained to non-negative flow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rates (no reverse flow)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segvol=segvol_a*1000000000. !convert km3 to 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if(kseg.eq.2)then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trate=max(0.,trans_bc)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segvol=segvol_b*1000000000.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if(kseg.eq.3)then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trate=max(0.,trans_cout)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segvol=segvol_c*1000000000.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POPw_in(kseg)=0. !initialize daily P loading to water column, 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PIPw_in(kseg)=0.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DOPw_in(kseg)=0.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DIPw_in(kseg)=0.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totp_outab(kseg)=0.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totp_outbc(kseg)=0.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totp_outfl(kseg)=0.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fbtb=0. !initialize daily bioturbation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Input segment environmental 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kunit=kseg+100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-----------------------------Multi-year steady-state simulations---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if(iyr.le.16)then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read(kunit,18)ruler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18      format(a80)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read(kunit,'(6x,f7.4)')fktrN(kseg)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read(kunit,'(6x,f7.4)')fktrP(kseg)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read(kunit,'(6x,f7.4)')fktrS(kseg)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read(kunit,19)header3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read(kunit,19)header3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w:t>
        <w:tab/>
        <w:t xml:space="preserve">  format(a152)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daily environmental input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read(kunit,191)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i1,            !cumulative day number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i2,            !year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i3,            !day of 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te(kseg),      !temperature - epilimnion            (deg 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th(kseg),      !temperature - hypolimnion           (deg 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ein(kseg),     !surface light - PAR                 (eins/m2/d)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xne(kseg),     !dissolved inorganic N - epilimnion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xpload(kseg),  !dissolved inorganic P - epilimnion  (tonnes)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xse(kseg),     !dissolved inorganic silica - epil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depth(kseg),   !water column depth                  (m)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NOTE: input but not used in V 6.50 - use computed depth instead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flowin(kseg),  !inflow                              (m3/d)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flowout(kseg), !outflow                             (m3/d)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xtise(kseg),   !inorganic solids - epilimnion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POCe(kseg),    !particulate organic carbon - epil   (mg C/L)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wind(kseg),    !surface wind velocity               (m/s)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salinity(kseg) !salinity                            (psu)</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endif !multi-year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191   format(1x,i5,i6,6x,i3,3x,3f8.1,f8.4,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f8.5,f8.1,f6.2,f10.1,f8.1,f8.4,3f8.2)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setup zero-state or steady-state simulations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if(izr_test.eq.01)then  !zero-state inputs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xne(kseg)=0.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xpload(kseg)=0.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xse(kseg)=0.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xtise(kseg)=0.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POCe(kseg)=0.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if(iss_test.eq.01)then !for steady-state, mean values for 2005 -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2012, except wind is max value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te(kseg) =     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th(kseg) =     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ein(kseg)=     81.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xne(kseg)=      0.54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xpload(kseg)=   0.00001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xse(kseg)=     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depth(kseg)=    0.35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flowin(kseg)=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flowout(kseg)=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xtise(kseg)=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POCe(kseg)=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wind(kseg)=     0.95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salinity(kseg)=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endif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calculate accumulated degree-days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degdays_aq(kseg)=degdays_aq(kseg)+te(kseg)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Version 6.50 computes depth to replace input value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depth(kseg)=0.10 !default minimum value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depth(kseg)=segvol/segarea(kseg)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depth(kseg)=depth(kseg)*flow_mod !sensitivity analysis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if(depth(kseg).lt.0.10)depth(kseg)=0.10 !FW1 minimum depth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assumption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tise(kseg)=tise(kseg)*depth(kseg) !convert mg/L to g/m2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POCe(kseg)=POCe(kseg)*depth(kseg) !convert mg C/L to g C/m2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calculate wind-driven resuspension of P pool (Buzzelli 2022 model)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fsul_popw=0. !litter P resuspension to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fsuf_popw=0. !floc   P resuspension to POPw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fsuo_popw=0. !POPs   P resuspension to POPw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fsup_pipw=0. !PIPs   P resuspension to PIPw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Wopt  = 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xkWopt= 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xkRES = 0.000125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xw    =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fRES  =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   =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if(wind(kseg).gt.Wopt)then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xw=xkWopt*(wind(kseg)-Wopt)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fRES=exp(xw)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RES=min(1.0,fRES*xkRES)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fsul_popw=RES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fsuf_popw=RES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fsuo_popw=RES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fsup_pipw=RES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write(96,6013)i,kseg,wind(kseg),xw,fRES,RES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6013     format('WIND &gt; Wopt ',i2,1x,i2,4(1x,e10.4))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endif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----------------------------Multi-year steady-state simulations----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if(iyr.le.16)then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input daily P loading data (g P/day) for segment 1 (e.g., STA-2 FW1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section 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convert to g P/m2/d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if(kseg.eq.1)then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if(i.eq.1)read(55,18)ruler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read(55,155)POPw_in(kseg),PIPw_in(kseg),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DOPw_in(kseg),DIPw_in(kseg)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POPw_in(kseg)=POPw_in(kseg)*Pin_mod !Pin_mod for sensitiivity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analysis to P loading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PIPw_in(kseg)=PIPw_in(kseg)*Pin_mod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DOPw_in(kseg)=DOPw_in(kseg)*Pin_mod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DIPw_in(kseg)=DIPw_in(kseg)*Pin_mod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if(POPw_in(kseg).ge.0.)POPw_in(kseg)=POPw_in(kseg)/segarea(kseg)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if(PIPw_in(kseg).ge.0.)PIPw_in(kseg)=PIPw_in(kseg)/segarea(kseg)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if(DOPw_in(kseg).ge.0.)DOPw_in(kseg)=DOPw_in(kseg)/segarea(kseg)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if(DIPw_in(kseg).ge.0.)DIPw_in(kseg)=DIPw_in(kseg)/segarea(kseg)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155    format(32x,f15.3,2f12.3,f13.3)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 !input daily P loads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 ! multi-year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-------------------Zero-state and steady-state simulation inputs---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if(kseg.eq.1 .and. izr_test.eq.01)then !uses zero inputs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POPw_in(kseg)=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PIPw_in(kseg)=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DOPw_in(kseg)=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DIPw_in(kseg)=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if(kseg.eq.1 .and. iss_test.eq.01)then !uses mean values for 2005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as inputs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POPw_in(kseg)= 3811./segarea(kseg)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PIPw_in(kseg)=  953./segarea(kseg)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DOPw_in(kseg)= 2837./segarea(kseg)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DIPw_in(kseg)=10250./segarea(kseg)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if(kseg.eq.1 .and. iss_test.eq.01)then !uses zero inputs 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steady-state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POPw_in(kseg)=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PIPw_in(kseg)=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DOPw_in(kseg)=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DIPw_in(kseg)=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if(kseg.eq.1)TPin(kseg)=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POPw_in(kseg)+PIPw_in(kseg)+DOPw_in(kseg)+DIPw_in(kseg)  !total 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daily input g P/m2 to segment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if(kseg.gt.1)TPin(kseg)=0.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xtran=0.     !initialize transport coefficients !1/day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tran_popw=0.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tran_dopw=0.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tran_dipw=0.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tran_pipw=0.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tran_ep=0.   !CASM state variables subject to transport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tran_en=0.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tran_es=0.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tran_phyt=0.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tran_zoop=0.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tran_POCe=0.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tran_DOCe=0.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ep_outfl=0.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phyt_outfl=0.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zoop_outfl=0.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POCe_outfl=0.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DOCe_outfl=0.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popw_outfl=0.!initialize outflow water column P pools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dopw_outfl=0.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dipw_outfl=0.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pipw_outfl=0.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Conversion from gm/2 to mg/L (same as g/m3): used to convert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biomass to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nutrient equivalents, e.g., excretion, respiration, etc.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mg/L = 1/depth(m) * g/m2 * 1000 mg/g * m3/1000 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cnv=1.0/depth(kseg)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initialize P pool derivs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dlta_pflc=0.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dlta_plit=0.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dlta_pops=0.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dlta_dops=0.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dlta_dips=0.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dlta_pips=0.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dlta_deps=0.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dlta_popw=0.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dlta_dopw=0.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dlta_dipw=0.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dlta_pipw=0.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tdp=0.     !daily accumulator for DIP utilization by phyto and peri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tdp_sav=0. !DIPs utilization by SAV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tdp_eav=0. !DIPs utilization by EAV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tdp_m2=0.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tdn=0.     !daily accumulator for DIN utilization by phyto and peri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tds=0.     !daily accumulator for SI  utilization by phyto and peri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spe=0.     !daily accumulator for plant gross production (g C/m2)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xm_phyt=0. !phytoplankton daily 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xm_peri=0. !periphyton daily 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xm_sav =0. !SAV daily 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xm_eav =0. !EAV daily 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phyt_gpp=0.    !phytoplankton gross productivity (g C/m2/d) 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DIPw co-precipitation calculations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peri_gpp=0.    !periphyton    gross productivity (g C/m2/d) 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DIPw co-precipitation calculations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savt_gpp=0.    !SAV           gross productivity (g C/m2/d) 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DIPw co-precipitation calculations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phyt_delp=0.   !phytoplankton net productivity (g C/m2/d) 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exudation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peri_delp=0.   !periphyton    net productivity (g C/m2/d) 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exudation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savt_delp=0.   !SAV           net productivity (g C/m2/d) 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exudation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bmass_shoot=0. !SAV and EAV shoot daily net productivity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bmass_roots=0. !SAV and EAV roots daily net productivity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Consumer populations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 0.    ! 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sre=0.    ! epil. accumulator for  respiration,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sfe=0.    !                        egestion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sue=0.    !                        ecretion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sme=0.    !                        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srh=0.    ! hypol. accumulator for respiration,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sfh=0.    !                        egestion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suh=0.    !                        ecretion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smh=0.    !                        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fbtb=0.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dy_dep=0. !daily deposition to deep sediments, g 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dy_rem=0. !daily sediment remineralization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dy_exc=0. !daily excretion by consumers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dy_btb=0. !daily bioturbation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dy_rsp=0. !daily resuspension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dy_prc=0. !daily DIPw co-precipitation to PIPw</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dy_con=0. !daily total consumption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if(idebug.ne.0 .and. kseg.eq.ksegdb)write(97,2000)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2000  Format(//1x,'Day  i  j  cdp      cdn      cds      tmp',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gi       hsal       hvel     hdep     hmod     ddmod',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xft      ps       fg       bp')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z=depth(kseg)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temperature input data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wte=te(kseg)  ! wte = water temperature for day i, segment 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wth=th(kseg)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solar radiation input data, assume constant over entire segment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rr=ein(kseg)*0.5 ! assume PAI is approx 50% of irradiance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nutrient concentrations from input data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adjust p, n, si, and TIS concentrations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day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Initial oxygen concentration assumed at temperature-dependent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saturation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if(i.eq. i_begin)edo(kseg)=O2sat(te(kseg))  !O2 conc (mg O2/L) in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epilminionn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if(i.eq.1)ep(kseg)=DIPw_init(kseg)*cnv    !initial DIPw on day 1 of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simulation for all segments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if(kseg.eq.1) ep(kseg)=ep(kseg)+(DIPw_in(kseg)*cnv)     !loading 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to segment 1, convert g P/m2 to mg P/L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en(kseg)=en(kseg)+(xne(kseg)*fktrN(kseg)) !mg DIN/L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es(kseg)=es(kseg)+(xse(kseg)*fktrS(kseg)) !mg Si/L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tise(kseg)=tise(kseg)+xtise(kseg)       !g total inorganic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sediments input TIS/m3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inputs of 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om(1,2,kseg)=om(1,2,kseg)+ POCe(kseg)   !g C/m2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Total Inorganic Solids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dlta_tis=0.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dlta_tis=stl*tise(kseg)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tise(kseg)=max(0.,tise(kseg) - dlta_tis)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tish(kseg)=tish(kseg)+dlta_tis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ttxp(kseg)=ttxp(kseg)+ep(kseg) !DIP for day i, segment 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ttxn(kseg)=ttxn(kseg)+en(kseg) !DIN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ttxs(kseg)=ttxs(kseg)+es(kseg) !Si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adjust dissolved oxygen for air:water exchange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d=0.5*z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w=wind(kseg)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call reaer_L(d,w,xkaer) !calculates reaeration coefficient (1/d)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O2se(kseg)=O2sat(wte)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O2sh(kseg)=O2sat(wth)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edo(kseg)=edo(kseg)+xkaer*(O2se(kseg)-edo(kseg))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hdo(kseg)=hdo(kseg)+xkaer*(O2sh(kseg)-hdo(kseg))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if(edo(kseg).gt.O2se(kseg)) edo(kseg)=O2se(kseg)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if(hdo(kseg).gt.O2sh(kseg)) hdo(kseg)=O2sh(kseg)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xkx=0.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y1=0.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y2=0.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y3=0.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y4=0.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light extinction due to daily values of non-bio components of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extinction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y1=exH2O                  !extinction by water color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y2=exDOC*om(1,1,kseg)*cnv !extinction by dissolved organic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carbon, mg C/L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y3=exPOC*om(1,2,kseg)*cnv !extinction by particulate organic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carbon, mg C/L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y4=exTIS*tise(kseg)*cnv   !extinction by inorganic solids,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xkx=y1+y2+y3+y4 !Adapted from Park and Clough 2004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sum different plant biomass for shading effects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phytoplankton, z1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jjj=1,nsp(1)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z1=z1+bp(1,jjj,kseg) !phytoplankton biomass (shades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phytoplankton,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periphyton, z2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jjj=1,nsp(2)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z2=z2+bp(2,jjj,kseg) !periphyton biomass (shades phytoplankton,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macrophytes, z3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jjj=1,nsp(3)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z3=z3+bp(3,jjj,kseg) !macrophyte biomass (shades phytoplankton,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periphyton, macrophytes)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EAV, z4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jjj=1,nsp(4)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z4=z4+bp(4,jjj,kseg) !EAV biomass (shades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xke=0.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50 ii=1,np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nn=nsp(ii)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b/>
        <w:t xml:space="preserve">      if(ii.eq.1)h=depth(kseg)*0.50  !phytoplankton mid-water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column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if(ii.eq.2)h=depth(kseg)       !assumes bottom for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if(ii.eq.3)h=0.                !macrophytes get surface Phar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if(ii.eq.4)h=0.                !emergents get surface Phar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light limitation of photosynthesis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z5=exBIO(ii,z,z1,z2,z3,z4)   !recall: z is depth(i)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xke=xkx+z5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if(ii.eq.1) secchi(kseg)=0.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if(ii.eq.1 .and. xke.gt.0.)secchi(kseg)=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min(depth(kseg),1.65/xke)  !Approximation from Giesen et al.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1990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reff=rr*exp(-xke*h)           !Thomann and Mueller 1987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fg(ii,j,kseg)=0. !initialize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phenology check for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ddmod=0.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if(degdays_aq(kseg).ge.ddi(ii,j))ddmod=1.0 !if accumulated degree-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days &lt; requirement for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for phytoplankton, periphyton, macrophytes and emergents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gi=0.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gi=(reff/si(ii,j))*exp((-reff/si(ii,j)) + 1.0) !Thomann and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Mueller 1987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gi=max(0.,gi)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111   continue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nutrient limitation of phytoplankton and periphyton photosynthesis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condp=ep(kseg)/(ep(kseg)+(xkp(ii,j)))     ! P-limitation: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unitless (0-1)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condn=en(kseg)/(en(kseg)+(xkn(ii,j)))     ! N-limitation: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unitless (0-1)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conds=1.0                                 ! Si-limitiation: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unitless: assume 1 for non-diatoms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if(xks(ii,j).gt.0.)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conds=es(kseg)/(es(kseg)+(xks(ii,j)))  ! Si-limitation: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unitless (0-1)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assume macrophytes and emergents utilize sediment DIPs, but N or Si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limited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if(ii.gt.2)then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condp=dips(kseg)/(dips(kseg)+(xkp(ii,j)))     !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limitationby DIPs: unitless (0-1)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condn=1.0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conds=1.0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cond=min(condp,condn,conds)              ! assume Liebig Law of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Minimum for nutrient limitation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producer gross photosynthesis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temperature effects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te1=pte1(ii,j) !Thornton-Lessem input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te2=pte2(ii,j)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te3=pte3(ii,j)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te4=pte4(ii,j)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xk1=pxk1(ii,j)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xk2=pxk2(ii,j)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xk3=pxk3(ii,j)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xk4=pxk4(ii,j)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wt_ht=wte      !use epilimnetic temperatures for aquatic plants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temp=ht2(te1,xk1,te2,xk2,te3,xk3,te4,xk4,wt_ht)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salinity effects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hsal=1.0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x1=psplt(ii,j)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x2=pspol(ii,j)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x3=pspou(ii,j)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x4=psput(ii,j)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sal=salinity(kseg)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hsal=tz(x1,x2,x3,x4,sal) !salinity 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velocity effects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hvel=1.0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x1=ppvlt(ii,j)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x2=ppvol(ii,j)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x3=ppvou(ii,j)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x4=ppvut(ii,j)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vel=cvel(kseg)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hvel=tz(x1,x2,x3,x4,vel) !velocity 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depth effects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hdep=1.0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hx=1.00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x1=ppdlt(ii,j)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x2=ppdol(ii,j)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x3=ppdou(ii,j)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x4=ppdut(ii,j)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dep=depth(kseg)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hdep=tz(x1,x2,x3,x4,dep) !depth 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include BGC 2024 depth effects on Typha growth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if(ii.eq.4 .and. j.eq.1)then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hx=1.84*(exp(-2.95*dep))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hdep=min(1.00,hx)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define habitat modification as minimum of modifiers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hmod=min(hsal,hvel,hdep)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xft=0.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xft_g=ddmod*(temp*cond*gi*hmod)**0.25  ! use geometric mean of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temp, nutrient, light regulation of growth: unitless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xft_m=ddmod*(temp*cond*gi*hmod)        ! use simple product of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temp, nutrient, light regulation of growth: unitless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xft=(xft_g+xft_m)/2.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fg(ii,j,kseg)=ps(ii,j)*xft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xslf=0.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sluff=0.      !sloughing        (1/d * gC/m2)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if(iyr.eq.1)then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if(idebug.ne.0 .and. kseg.eq.ksegdb .and. bpflag(ii,j,kseg).eq.1)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write(97,2222)i,ii,j,condp,condn,conds,temp,gi,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hsal,hvel,hdep,hmod,ddmod,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xft,ps(ii,j),fg(ii,j,kseg),bp(ii,j,kseg)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2222  format(1x,i5,2(1x,i2),14(1x,e8.3))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50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52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pplus_phy=0. !phytoplankton gross production, g C/m2/d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pplus_per=0.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pplus_sav=0. !SAV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pplus_eav=0.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12344 istep=1,nperday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CASM PRIMARY PRODUCER POPULATION DYNAMICS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56 ii=1,np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nn=nsp(ii)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561 j=1,nn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phenology check for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pp(ii,j,kseg)=0.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if(degdays_aq(kseg).lt.ddi(ii,j))goto 56 !aquatic plant degree day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population net gain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pp(ii,j,kseg)=dt*(bp(ii,j,kseg)*fg(ii,j,kseg)*(1.0-resp(ii,j)))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!gC/m2 * 1/d = gC/m2/d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if(pp(ii,j,kseg).lt.0.) pp(ii,j,kseg)=0.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spe=spe+pp(ii,j,kseg)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population gross production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if(ii.eq.1) pplus_phy=bp(ii,j,kseg)*fg(ii,j,kseg)*dt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if(ii.eq.2) pplus_per=bp(ii,j,kseg)*fg(ii,j,kseg)*dt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if(ii.eq.3) pplus_sav=bp(ii,j,kseg)*fg(ii,j,kseg)*dt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if(ii.eq.4) pplus_eav=bp(ii,j,kseg)*fg(ii,j,kseg)*dt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update total nutrient demands by phytoplankton and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if(ii.eq.1)tdp=tdp+(pplus_phy*fpp*cnv)      ! DIP demand (mg/L)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by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if(ii.eq.2)tdp=tdp+(pplus_per*fpp_per*cnv)  ! DIP demand (mg/L)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by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if(ii.eq.1)tdn=tdn+(pplus_phy*fpn*cnv)      ! DIN demand (mg/L)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by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if(ii.eq.2)tdn=tdn+(pplus_per*fpn*cnv)      ! DIN demand (mg/L)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by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if(xks(ii,j).gt.0.) tds=tds+(pplus*fps*cnv) !  Si demand (mg/L)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by phytoplankton and periphyton diatoms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sediment P demands by SAV and EAV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if(ii.eq.3)tdp_sav=tdp_sav+(pplus_sav*fpp_sav) !DIPs demand by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SAV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if(ii.eq.4)tdp_eav=tdp_eav+(pplus_eav*fpp_eav) !DIPs demand by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SAV (g 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561   continue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56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-------------Version 5.0 revision to include SAV and EAV in 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limiting allocations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mm=1,2  !mm=1: phytoplankton and periphyton; m=2: SAV and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if(mm.eq.1)iguild=12 !guilds 1 and 2: phytoplankton and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if(mm.eq.2)iguild=34 !guilds 3 and 4: SAV and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adjust access to nutrient supply if demand &gt; supply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if(mm.eq.1)ep_lim=ep(kseg)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if(mm.eq.2)ep_lim=dips(kseg)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en_lim=en(kseg)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es_lim=es(kseg)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tdpx=0.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if(mm.eq.1)tdpx=tdp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if(mm.eq.2)tdpx=tdp_sav+tdp_eav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if(tdpx.gt.ep_lim .or.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tdn.gt.en_lim .or.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tds.gt.es_lim) 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if(mm.eq.1)epr=ep(kseg)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if(mm.eq.2)epr=dips(kseg)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enr=en(kseg)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esr=es(kseg)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kguild=iguild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ix=i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xcnv=cnv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tdnr=tdn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tdpr=tdpx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tdsr=tds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call new_ration(kguild,ks,ix,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xcnv,tdnr,tdpr,tdsr,epr,enr,esr)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reset accumulators after nutrient rationing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recalculate production after nutrient rationing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tdp=0     !accumulator for DIP  utilization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tdpsed=0. !accumulator for DIPS utilization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tdn=0.    !accumulator for DIN  utilization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tds=0.    !accumulator for SI   utilization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spe=0.    !accumulator for plant gross production (gC/m2)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pplus_phy=0.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pplus_per=0.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pplus_sav=0.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pplus_eav=0.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57 ii=1,4 !recalculate primary production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nn=nsp(ii)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571 j=1,nn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phenology check for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pp(ii,j,kseg)=0.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if(degdays_aq(kseg).lt.ddi(ii,j))goto 571 !aquatic plant degree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day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population net gain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pp(ii,j,kseg)=dt*(bp(ii,j,kseg)*fg(ii,j,kseg)*(1.0-resp(ii,j)))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!gC/m2 * 1/d = gC/m2/d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if(pp(ii,j,kseg).lt.0.) pp(ii,j,kseg)=0.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if(ii.eq.1)pplus_phy=pplus_phy+(bp(ii,j,kseg)*fg(ii,j,kseg)*dt)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!gross primary production, g C/m2/d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if(ii.eq.2)pplus_per=pplus_per+(bp(ii,j,kseg)*fg(ii,j,kseg)*dt)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if(ii.eq.3)pplus_sav=pplus_sav+(bp(ii,j,kseg)*fg(ii,j,kseg)*dt)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if(ii.eq.4)pplus_eav=pplus_eav+(bp(ii,j,kseg)*fg(ii,j,kseg)*dt)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if(ii.le.3)spe=spe+bp(ii,j,kseg)*fg(ii,j,kseg)*dt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total gross production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if(ii.le.3) pplus=bp(ii,j,kseg)*fg(ii,j,kseg)*dt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if(pplus.lt.0.) pplus=0.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update total nutrient demands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if(ii.eq.1)tdp=tdp+(pplus_phy*fpp*cnv)       ! DIP demand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if(ii.eq.2)tdp=tdp+(pplus_per*fpp_per*cnv)   ! DIP demand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if(ii.le.2)tdp_m2=tdp_m2+(tdp/cnv)           !            (g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P/m2) for CASM STA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if(ii.eq.3)tdpsed=tdpsed+(pplus_sav*fpp_sav) !DIPS demand by SAV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if(ii.eq.4)tdpsed=tdpsed+(pplus_eav*fpp_eav) !DIPS demand by EAV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if(ii.le.2)tdn=tdn+(pplus*fpn*cnv)          ! DIN demand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if(xks(ii,j).gt.0.) tds=tds+(pplus*fps*cnv) !  Si demand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571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57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61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Calculate consumption for all predators and prey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xdt=dt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t1=wte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t2=wth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call cns(ks,t1,t2,xdt)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Note that cns() calculates daily consumption, assimilation,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egestion, and excretion components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for all consumer populations, as well as population losses to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grazing and predation, array cl(): gC/m2/d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if(idebug.ne.0 .and. kseg.eq.ksegdb)write(97,2002)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2002  Format(//1x,'Day  i  j kk   delp       pp         fg         rsp',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sink       pmrt       sluff      cl')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trsp=0. !accumulator for dark plant respiration      (gC/m2)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isp=0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59 ii=1,np  ! Update producer biomass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nn=nsp(ii)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591 j=1,nn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isp=isp+1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kspp=(ii-1)*10+j                             ! species tag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phenology check for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if(degdays_aq(kseg).lt.ddi(ii,j))goto 159 !aquatic plant degree day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kk=j+(ii-1)*10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rsp=dt*resd(ii,j)*bp(ii,j,kseg) !dark respiration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Respiration loss (1/d * gC/m2)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if(ii.le.3)trsp=trsp+rsp        ! Accumulate respiration to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calculate DO uptake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sink=min(1.0,dt*(snk(ii,j)/z))*bp(ii,j,kseg) ! Sinking loss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(m/d *1/m * gC/m2) for phytoplankton only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pmrt=min(1.0,dt*(pm(ii,j)))   *bp(ii,j,kseg) ! Mortality loss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(1/d * gC/m2)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if(ii.eq.1)xm_phyt=xm_phyt+pmrt        !track phytoplankton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if(ii.eq.2)xm_peri=xm_peri+pmrt        !track periphyton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mortality for CASM STA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if(ii.ge.3 .and.  degdays_aq(kseg).gt.dds(ii,j))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pmrt=dt*2.0*pm(ii,j)*bp(ii,j,kseg)  !assume senescence is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double the natural SAV or EAV mortality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if(ii.eq.3)xm_sav=xm_sav+pmrt          !track SAV 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if(ii.eq.4)xm_eav=xm_eav+pmrt          !track EAV mortality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sluff=dt*xslf*bp(ii,j,kseg)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update organic carbon pools, g C/m2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if(ii.eq.4)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om(1,2,kseg)=om(1,2,kseg)+(pmrt) !POCe receives emergent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mortality C loss, which then settles to POCh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if(ii.ne.4)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om(2,2,kseg)=om(2,2,kseg)+(sink+pmrt) !POCh receives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phytoplankton, periphtyon and macrophyte sinking (=0) and mortality 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losses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NOTE: emergent respiration assumed lost to atmosphere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emergent mortality assumed added to POCe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plant population daily growth increment, delp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delp=pp(ii,j,kseg)-(rsp+sink+pmrt+sluff+cl(kk)) ! gC/m2/d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gC/m2/d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if(iss_test.eq.01)then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fpx=0.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if(ii.eq.1)fpx=fpp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if(ii.eq.2)fpx=fpp_per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if(ii.eq.3)fpx=fpp_sav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if(ii.eq.4)fpx=fpp_eav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if(delp.lt.0.)tdelp_P(kseg)=tdelp_P(kseg)+(abs(delp)*fpx)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if(delp.ge.0.)tdelp_P(kseg)=tdelp_P(kseg)-(    delp* fpx)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tdelp_P(kseg)=tdelp_P(kseg)+(pp(ii,j,kseg)*fpx) !gross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photosynthesis P demand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if(isp.le.4)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anetprod(isp,kseg,iyr)=anetprod(isp,kseg,iyr)+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max(0.,delp) ! update producer population net productivity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accumulate photosynthesis for G&amp;S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sum_c(iyr,kseg)=sum_c(iyr,kseg)+max(0.,pp(ii,j,kseg))     !gC/m2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sum_N(iyr,kseg)=sum_N(iyr,kseg)+max(0.,pp(ii,j,kseg)*fpn) !gN/m2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sum_P(iyr,kseg)=sum_P(iyr,kseg)+max(0.,pp(ii,j,kseg)*fpp) !gP/m2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if(idebug.ne.0 .and. kseg.eq.ksegdb .and. bpflag(ii,j,kseg).eq.1)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write(97,2003)i,ii,j,kk,delp,pp(ii,j,kseg),fg(ii,j,kseg),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rsp, sink,pmrt,sluff,cl(kk)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2003  format(1x,i5,3(1x,i2),8(1x,e10.2))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bp(ii,j,kseg)=max(bpinit(ii,j,kseg)*0.010,bp(ii,j,kseg)+delp)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update biomass, NOTE: 1% of initial biomass used as refuge value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if(ii.eq.1)phyt_delp=phyt_delp+max(0.,delp) !phytoplankton net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productivity for exudation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if(ii.eq.2)peri_delp=peri_delp+max(0.,delp) !periphyton    net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productivity for exudation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if(ii.eq.3)savt_delp=savt_delp+max(0.,delp) !SAV           net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productivity for exudation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if(ii.eq.1)phyt_gpp=phyt_gpp+max(0.,pplus_phy) !phytoplankton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gross productivity for co-precipitation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if(ii.eq.2)peri_gpp=peri_gpp+max(0.,pplus_per) !periphyton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if(ii.eq.3)savt_gpp=savt_gpp+max(0.,pplus_sav) !SAV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if(ii.gt.2)bmass_shoot=bmass_shoot+max(0.,delp*frc_shoot)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!SAV and EAV shoot productivity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if(ii.gt.2)bmass_roots=bmass_roots+max(0.,delp*(1.0-frc_shoot))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!SAV and EAV roots productivity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159   if(bpflag(ii,j,kseg).eq.0) bp(ii,j,kseg)=0.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bmass(kspp,kseg)=bp(ii,j,kseg)             ! biomass vs segment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array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ss(ii)=ss(ii)+bp(ii,j,kseg)                ! update trophic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levels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591   continue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59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For aquatic plants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Update nutrients and dissolved oxygen, units =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ttdp(kseg)=ttdp(kseg)+tdp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ttdn(kseg)=ttdn(kseg)+tdn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ttds(kseg)=ttds(kseg)+tds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ep(kseg)=max(0.,ep(kseg)-tdp) ! Update nutrients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en(kseg)=max(0.,en(kseg)-tdn)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es(kseg)=max(0.,es(kseg)-tds)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edo(kseg)=max(0.,edo(kseg)+((spe-trsp)*fpdo*cnv)) ! Aquatic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producer influences on 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if(edo(kseg).gt.O2se(kseg))edo(kseg)=O2Se(kseg)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hdo(kseg)=edo(kseg)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Phytoplankton chlorophyll (converted from mg/L to ug/L)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.(bmass(1,kseg)/z)*0.03*1000. !includes conversion from g C/m2to mg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if(chl(kseg).gt.Chlmx(kseg,iyr))Chlmx(kseg,iyr)=chl(kseg)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Chlav(kseg,iyr)=Chlav(kseg,iyr)+(0.00274*chl(kseg))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Accumulate O2 produced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sum_o2(iyr,kseg)=sum_o2(iyr,kseg)+max(0.,(spe-trsp)*fpdo) !g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oxygen/m2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if(idebug.ne.0 .and. kseg.eq.ksegdb)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write(97,4001)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4001  format(//1x,'Day   ii  j    b(0)     cgn     tx    rsp',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xm        emg       drift       delc')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CASM CONSUMER POPULATION DYNAMICS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isp=nsp(1)+nsp(2)+nsp(3)+nsp(4) !index for consumer populations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ii=1,nc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nn=nsc(ii)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k1=j+(ii-1)*5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k2=k1+(np*10)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isp=isp+1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salinity effects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x1=psclt(ii,j)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x2=pscol(ii,j)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x3=pscou(ii,j)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x4=pscut(ii,j)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sal=salinity(kseg)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hsal=tz(x1,x2,x3,x4,sal) !salinity 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velocity effects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x1=ccvlt(ii,j)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x2=ccvol(ii,j)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x3=ccvou(ii,j)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x4=ccvut(ii,j)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vel=cvel(kseg)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hvel=tz(x1,x2,x3,x4,vel) !velocity 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depth effects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x1=ccdlt(ii,j)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x2=ccdol(ii,j)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x3=ccdou(ii,j)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x4=ccdut(ii,j)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dep=depth(kseg)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hdep=tz(x1,x2,x3,x4,dep) !depth 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dissolved oxygen effects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x1=DOlt(ii,j)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x2=DOol(ii,j)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x3=DOou(ii,j)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x4=DOut(ii,j)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if(ii.le.4) diso2=edo(kseg)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if(ii.gt.4) diso2=hdo(kseg)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hdiso=tz(x1,x2,x3,x4,diso2) !DO 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define habitat modification as minimum of modifiers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hmod=min(hsal,hvel,hdep,hdiso)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b_0=bc(ii,j,kseg)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tm1=tro(ii,j)    !temperature effects on respiration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tm2=trm(ii,j)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wte_ht=wte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wth_ht=wth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if(ii.le.4)tx=ht(wte_ht,tm1,tm2)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if(ii.gt.4)tx=ht(wth_ht,tm1,tm2)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rsp=dt*rs(ii,j)*bc(ii,j,kseg)*tx      ! standard respiration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loss: 1/d * gC/m2 = gC/m2/d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xm= dt*cm(ii,j)*bc(ii,j,kseg)         ! mortality loss: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1/d * gC/m2 = gC/m2/d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cgain=yo(k1)*hmod                     ! consumption gain: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gC/m2/d (from cns subroutine, which includes 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density dependent consumption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xif=0.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bopt=Boptp(ii,j)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bmax=Bmaxp(ii,j)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if(bopt .ne. 0.)then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if(bc(ii,j,kseg).le.bopt)xif=0.0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if(bc(ii,j,kseg).gt.bmax)xif=1.0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if(bc(ii,j,kseg).gt.bopt .and. bc(ii,j,kseg).le.bmax)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xif=(bc(ii,j,kseg)-bopt)/(bmax-bopt)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cgain=cgain*(1.0-xif)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 !density dependence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adjust benthic insects for emergence and drift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emerg=dt*bc(ii,j,kseg)*0.0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drift=dt*bc(ii,j,kseg)*0.0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consumer population daily growth increment, delc (gC/m2/d)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delc=cgain-(cl(k2)+rsp+xm+drift+emerg)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if(iss_test.eq.01)then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if(delc.lt.0.)tdelc_P(kseg)=tdelc_P(kseg)+(abs(delc)*fcp)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if(delc.ge.0.)tdelc_P(kseg)=tdelc_P(kseg)-(    delc* fcp)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dy_con=dy_con+cgain !track total dailly consumption for entire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food web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anetprod(isp,kseg,iyr)=anetprod(isp,kseg,iyr)+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max(0.,delc) !population net productivity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if(iyr.eq.1)then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if(idebug.ne.0 .and. kseg.eq.ksegdb .and. bcflag(ii,j,kseg).eq.1)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write(97,4002)i,ii,j,b_0,cgain,tx,rsp,xm,emerg,drift,delc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4002  format(1x,i5,2(1x,i2),2(1x,e9.3),1x,f5.3,5(1x,e9.3))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bc(ii,j,kseg)=max(bcinit(ii,j,kseg)*0.10,(bc(ii,j,kseg)+delc))!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update biomass, NOTE: 10% of initial biomass used as refuge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if(bcflag(ii,j,kseg).eq.0)bc(ii,j,kseg)=0.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ss(ii+4)=ss(ii+4)+bc(ii,j,kseg)  ! update trophic levels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kspp=(ii-1)*5+j+(np*10)          ! species tag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bmass(k2,kseg)=bc(ii,j,kseg)   ! biomass vs segment array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Bioturbation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Version 5.00 and later versions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if(k2.eq.66)then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fbtb=(0.8263*bmass(kspp,kseg))+37.097 !Jimenez-Montealagre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et al. (2002) regression, g sediment/m2/d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fbtb=fbtb_mod*(fbtb/10000.)                !convert g sediment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to 1/day; assume sed density of 1 g/cm2, plus calibration factor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write(96,7013)k2,kspp,bmass(kspp,kseg),fbtb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7013    format('Bioturb ',i2,1x,i2,2(1x,e10.4))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endif                                   !1 m2 = 10,000 cm2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used to update organic matter state variables, g C/m2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if(k1.le.20)sfe=max(0.,sfe+egn(k1))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if(k1.le.20)sue=max(0.,sue+tux(k1))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if(k1.le.20)sme=max(0.,sme+xm)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sum of epil respiration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if(k1.le.20)sre=max(0.,sre+rsp+trsdax(k1))      !later converted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to O2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if(k1.gt.20)sfh=max(0.,sfh+egn(k1))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if(k1.gt.20)suh=max(0.,suh+tux(k1))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if(k1.gt.20)smh=max(0.,smh+xm)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sum of hypol respiration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if(k1.gt.20)srh=max(0.,srh+rsp+trsdax(k1))      !later converted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to O2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CASM GENERIC DECOMPOSITION of DOC and 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Aggregated non-bacteria mediated decomposition of DOC and POC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(e.g., protozoa, fungi)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Decomposition rate (1/d)- temperature dependent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dcle=0.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dcre=0.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dclh=0.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dcrh=0.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DOCe rate - epil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dcle=dt*rdle*ht(wte,trdle_opt,trdle_max)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POCe rate - epil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dcre=dt*rdre*ht(wte,trdre_opt,trdre_max)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DOCh rate - hypol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dclh=dt*rdlh*ht(wth,trdlh_opt,trdlh_max)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POCh rate - hypol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dcrh=dt*rdrh*ht(wth,trdrh_opt,trdrh_max)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Units: g C/m2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del_om11=0.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del_om12=0.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del_om21=0.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del_om22=0.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Epil DOC, om(1,1)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omxe=0.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omxe=dcle*om(1,1,kseg)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del_om11 = dcre*om(1,2,kseg)-dcle*om(1,1,kseg)-cl(81)+sue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Epil POC, om(1,2)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pmxe=0.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pmxe=dcre*om(1,2,kseg)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del_om12 = sfe+sme-dcre*om(1,2,kseg)-stl*om(1,2,kseg)-cl(82)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Hypol DOC, om(2,1)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omxh=0.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omxh=dclh*om(2,1,kseg)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del_om21 = dcrh*om(2,2,kseg)-dclh*om(2,1,kseg)-cl(83)+suh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Hypol POC, om(2,2)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pmxh=0.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pmxh=dcrh*om(2,2,kseg)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del_om22 = sfh+smh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+stl*om(1,2,kseg)-dcrh*om(2,2,kseg)-cl(84)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Update state variables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om(1,1,kseg)=max(0.0,om(1,1,kseg)+del_om11)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om(1,2,kseg)=max(0.0,om(1,2,kseg)+del_om12)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om(2,1,kseg)=max(0.0,om(2,1,kseg)+del_om21)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om(2,2,kseg)=max(0.0,om(2,2,kseg)+del_om22)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Add decomposed labile carbon nutrient equivalents to nutrient pools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ep(kseg)=ep(kseg)+omxe*fcp*cnv !cnv conversion from g C/m2to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en(kseg)=en(kseg)+omxe*fcn*cnv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es(kseg)=es(kseg)+omxe*fcs*cnv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dipw(kseg)=dipw(kseg)+omxe*fcp_DOC !connect CASM water column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decomposition to STA DIPw ans POPw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popw(kseg)=popw(kseg)+pmxe*fcp_POC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hp(kseg)=hp(kseg)+omxh*fcp*cnv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hn(kseg)=hn(kseg)+omxh*fcn*cnv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hs(kseg)=hs(kseg)+omxh*fcs*cnv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dips(kseg)=dips(kseg)+omxh*fcp_DOC !connect CASM sediment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decomposition to STA DIPs and POPs pool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pops(kseg)=pops(kseg)+pmxh*fcp_POC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Dissolved oxygen cost of decomposition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edo(kseg)=max(0.0,edo(kseg)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-(dcle*om(1,1,kseg)+dcre*om(1,2,kseg))*(fcdo))*cnv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hdo(kseg)=max(0.0,hdo(kseg)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-(dclh*om(2,1,kseg)+dcrh*om(2,2,kseg))*(fcdo))*cnv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if(edo(kseg).gt.O2Se(kseg))edo(kseg)=O2Se(kseg)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if(hdo(kseg).gt.O2Sh(kseg))hdo(kseg)=O2Sh(kseg)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add consumer excretion to nutrients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ep(kseg)=max(0.0,ep(kseg)+(sue*fcp*cnv))      ! eplimnetic   P, 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Si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en(kseg)=max(0.0,en(kseg)+(sue*fcn*cnv))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es(kseg)=max(0.0,es(kseg)+(sue*fcs*cnv))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hp(kseg)=max(0.0,hp(kseg)+(suh*fcp*cnv))      ! hypolimnetic P, 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Si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hn(kseg)=max(0.0,hn(kseg)+(suh*fcn*cnv))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hs(kseg)=max(0.0,hs(kseg)+(suh*fcs*cnv))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edo(kseg)=max(0.0,edo(kseg)-(sre*fcdo*cnv))        ! consumer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respiration (mgO2/L)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hdo(kseg)=max(0.0,hdo(kseg)-(srh*fcdo*cnv))        ! demand 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oxygen     (mgO2/L)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if(edo(kseg).gt.O2Se(kseg))edo(kseg)=O2Se(kseg)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if(hdo(kseg).gt.O2Sh(kseg))hdo(kseg)=O2Sh(kseg)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Additional STA phosphorus pools derivatives (g P/m2/d)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tst01=0.  !settling of POPw to floc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tst02=0.            !phytoplankton sinking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tst03=0.     !peripyton mortality input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tst04=0.         !phytoplankton mortality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tst05=0.  !decomposition of litter to floc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tst06=0  !floc loss to 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tst07=0.       !bioturbation loss to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tst08=0.  !resuspension to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Floc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src_pflc=0.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snk_pflc=0.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rstl_pflc*popw(kseg)  !settling of POPw to floc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(sink*fpp)            !phytoplankton sinking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(xm_peri*fpp_per)     !peripyton mortality input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(xm_phyt*fpp)         !phytoplankton mortality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rlsl_floc*plit(kseg)  !decomposition of litter to floc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rlsf_pops*pflc(kseg)  !floc loss to 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fbtb*pflc(kseg)       !bioturbation loss to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fsuf_popw*pflc(kseg)  !resuspension to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dlta_pflc = dt*(src_pflc - snk_pflc)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tst01=rstl_pflc*popw(kseg)  !settling of POPw to floc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tst02=(sink*fpp)            !phytoplankton sinking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tst03=(xm_peri*fpp_per)     !peripyton mortality input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tst04=(xm_phyt*fpp)         !phytoplankton mortality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tst05=rlsl_floc*plit(kseg)  !decomposition of litter to floc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tst06=rlsf_pops*pflc(kseg)  !floc loss to 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tst07=fbtb*pflc(kseg)       !bioturbation loss to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tst08=fsuf_popw*pflc(kseg)  !resuspension to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Litter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src_plit=0.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snk_plit=0.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src_plit=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(xm_eav*fpp_eav*frc_shoot) !EAV shoot mortality biomass input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+(xm_sav*fpp_sav)           !SAV mortality input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snk_plit=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rlsl_pops*plit(kseg)       !loss to POPs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rlsl_floc*plit(kseg)       !decomposition of litter to floc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fsul_popw*plit(kseg)       !resuspension to POPw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fbtb     *plit(kseg)       !bioturbation loss to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dlta_plit = dt*(src_plit - snk_plit)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src_pops=0.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snk_pops=0.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rlsl_pops*plit(kseg)   !input from litter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rlsf_pops*pflc(kseg)   !input from floc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xm_eav*fpp_eav*(1.0-frc_shoot) !input from EAV root biomass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mortality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rhyd_dops*pops(kseg)   !hydrolysis to DOPs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rdep_pops*pops(kseg)   !deposition to deep storage/sediment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building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fbtb*pops(kseg)        !bioturbation loss to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fsuo_popw*pops(kseg)   !resuspension to POPw  NOTE: pathway not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included in BGC 8.4</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dlta_pops = dt*(src_pops - snk_pops)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src_dops=0.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snk_dops=0.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rhyd_dops*pops(kseg)   !hydrolysis of POPs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rrem_dips*dops(kseg)   !remineralization to DIPs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rpht_dips*dops(kseg)   !photolysis to DIPs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rdif_dopw*dops(kseg)   !diffusion to DOPw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dlta_dops = dt*(src_dops - snk_dops)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src_dips=0.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snk_dips=0.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rrem_dips*dops(kseg)  !remineralization of DOPs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rpht_dips*dops(kseg)  !photolysis of DOPs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rdes_dips*pips(kseg)  !desorption of PIPs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rsor_pips*dips(kseg)  !sorption to PIPs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rdif_dipw*dips(kseg)  !diffusion to 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tdp_eav               !EAV uptake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tdp_sav               !SAV uptake NOTE: pathway not included in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BGC 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dlta_dips = dt*(src_dips - snk_dips)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src_pips=0.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snk_pips=0.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fbtb_pips=fbtb*0.1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rsor_pips*dips(kseg)  !sorption of DIPs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rsnk_pips*pipw(kseg)  !sinking of PIPw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rdes_dips*pips(kseg)  !desorption to DIPs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rdep_pips*pips(kseg)  !loss to deposition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fsup_pipw*pips(kseg)  !resuspension to 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fbtb_pips*pips(kseg)  !bioturbation loss to PIPw</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dlta_pips = dt*(src_pips - snk_pips)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src_deps=0.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snk_deps=0.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rdep_pops*pops(kseg)  !POPs deposition to deep storage/sediment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building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rdep_pips*pips(kseg)  !PIPs loss to deposition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dlta_deps = dt*(src_deps - snk_deps)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snk_dopw=0.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(rxud_phyt*phyt_delp*fpp)     !phytoplankton exudation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(rxud_peri*peri_delp*fpp_per) !periphyton exudation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rhyd_dopw*popw(kseg)          !hydrolysis of POPw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rdif_dopw*dops(kseg)          !diffusion of DOPs to 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rpht_dipw*dopw(kseg)          !photolysis of 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rrem_dipw*dopw(kseg)          !remineralization of DOPw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dlta_dopw = dt*(src_dopw - snk_dopw)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snk_dipw=0.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dip_prc=0. !co-precipitation of 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rpht_dipw*dopw(kseg)    !photolysis of DOPw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rrem_dipw*dopw(kseg)    !remineralization of DOPw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rdif_dipw*dips(kseg)    !diffusion of DIPs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rdes_dipw*pipw(kseg)    !desorption from PIPw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((sue+suh)*fcp)         !exretion inputs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dip_prc = (phyt_gpp+peri_gpp+savt_gpp)*slope_prc !co-precipitation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of DIPw to PIPw function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rsor_pipw*dipw(kseg)    !sorption to PIPw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tdp_m2                  !uptake by phytoplankton and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 + tdp_sav                 !SAV uptake NOTE: pathwayincluded in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BGC 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dip_prc                 !co-precipitation of DIPw to PIPw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dlta_dipw = dt*(src_dipw - snk_dipw)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popw01=0.  !litter resuspension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popw02=0.   !floc resuspension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popw03=0.   !resuspension of POPs</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popw04=0.        !bioturbation of floc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popw05=0.        !bioturbation of litter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popw06=0.        !bioturbation of 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popw07=0.          !egestion inputs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popw08=0.   !settling to floc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popw09=0.   !hydrolysis to DOPw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fsul_popw*plit(kseg)   !litter resuspension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fsuf_popw*pflc(kseg)   !floc resuspension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fsuo_popw*pops(kseg)   !resuspension of POPs</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fbtb*pflc(kseg)        !bioturbation of floc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fbtb*plit(kseg)        !bioturbation of litter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fbtb*pops(kseg)        !bioturbation of 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(sfe+sfh)*fcp          !egestion inputs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rstl_pflc*popw(kseg)   !settling to floc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rhyd_dopw*popw(kseg)   !hydrolysis to DOPw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dlta_popw = dt*(src_popw - snk_popw)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popw01=fsul_popw*plit(kseg)   !litter resuspension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popw02=fsuf_popw*pflc(kseg)   !floc resuspension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popw03=fsuo_popw*pops(kseg)   !resuspension of POPs</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popw04=fbtb*pflc(kseg)        !bioturbation of floc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popw05=fbtb*plit(kseg)        !bioturbation of litter 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popw06=fbtb*pops(kseg)        !bioturbation of 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popw07=(sfe+sfh)*fcp          !egestion inputs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popw08=rstl_pflc*popw(kseg)   !settling to floc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popw09=rhyd_dopw*popw(kseg)   !hydrolysis to DOPw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src_pipw=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rsor_pipw*dipw(kseg)   !sorption of 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fbtb_pips*pips(kseg)   !bioturbation of 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fsup_pipw*pips(kseg) </w:t>
        <w:tab/>
        <w:t xml:space="preserve">!resuspension of PIPs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dip_prc                !co-precipitation of DIPw to PIPw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snk_pipw=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rdes_dipw*pipw(kseg)   !desorption to 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 rsnk_pips*pipw(kseg)   !settling to PIPs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dlta_pipw = dt*(src_pipw - snk_pipw)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daily P flux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dy_dep=dy_dep+dt*(rdep_pips*pips(kseg)+rdep_pops*pops(kseg))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!daily deposition to sediments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dy_rem=dy_rem+dt*(rrem_dips*dops(kseg))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remineralization of 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dy_exc=dy_exc+((sue+suh)*fcp)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excretion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dy_btb=dy_btb+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dt*(fbtb*(pflc(kseg)+plit(kseg)+pops(kseg)+pips(kseg)))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bioturbation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dy_rsp=dy_rsp+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dt*(fsup_pipw*pips(kseg)+fsuf_popw*pflc(kseg)+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resuspension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fsul_popw*plit(kseg)+fsuo_popw*pops(kseg))</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dy_prc=dy_prc+dip_prc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co-precipitation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tan_dep(kseg)=tan_dep(kseg)+dy_dep !total annual deposition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g P/m2/y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tan_rem(kseg)=tan_rem(kseg)+dy_rem !total annual remineralization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update segment internal P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pflc(kseg)=max(0.,pflc(kseg)+dlta_pflc)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plit(kseg)=max(0.,plit(kseg)+dlta_plit)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pops(kseg)=max(0.,pops(kseg)+dlta_pops)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dops(kseg)=max(0.,dops(kseg)+dlta_dops)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dips(kseg)=max(0.,dips(kseg)+dlta_dips)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pips(kseg)=max(0.,pips(kseg)+dlta_pips)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deps(kseg)=max(0.,deps(kseg)+dlta_deps)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popw(kseg)=max(0.,popw(kseg)+dlta_popw)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dopw(kseg)=max(0.,dopw(kseg)+dlta_dopw)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dipw(kseg)=max(0.,dipw(kseg)+dlta_dipw)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pipw(kseg)=max(0.,pipw(kseg)+dlta_pipw)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mass balance check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if(i_doy.eq.1 .and. kseg.eq.1 .and. istep.eq.10)then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check_mb(1,1)=pflc(1)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check_mb(1,2)=plit(1)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check_mb(1,3)=pops(1)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check_mb(1,4)=dops(1)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check_mb(1,5)=dips(1)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check_mb(1,6)=pips(1)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check_mb(1,7)=popw(1)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check_mb(1,8)=dopw(1)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check_mb(1,9)=dipw(1)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check_mb(1,10)=pipw(1)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if(i_doy.eq.2 .and. kseg.eq.1 .and. istep.eq.10)then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check_mb(2,1)=pflc(1)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check_mb(2,2)=plit(1)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check_mb(2,3)=pops(1)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check_mb(2,4)=dops(1)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check_mb(2,5)=dips(1)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check_mb(2,6)=pips(1)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check_mb(2,7)=popw(1)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check_mb(2,8)=dopw(1)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check_mb(2,9)=dipw(1)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check_mb(2,10)=pipw(1)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add source terms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check_mb(3,1)=src_pflc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check_mb(3,2)=src_plit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check_mb(3,3)=src_pops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check_mb(2,4)=src_dops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check_mb(3,5)=src_dips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check_mb(3,6)=src_pips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check_mb(3,7)=src_popw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check_mb(3,8)=src_dopw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check_mb(3,9)=src_dipw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check_mb(3,10)=src_pipw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add sink terms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check_mb(4,1)=snk_pflc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check_mb(4,2)=snk_plit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check_mb(4,3)=snk_pops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check_mb(4,4)=snk_dops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check_mb(4,5)=snk_dips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check_mb(4,6)=snk_pips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check_mb(4,7)=snk_popw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check_mb(4,8)=snk_dopw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check_mb(4,9)=snk_dipw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check_mb(4,10)=snk_pipw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calculate residuals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jjj=1,10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check_mb(5,jjj)=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check_mb(1,jjj)+check_mb(3,jjj)-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check_mb(4,jjj)-check_mb(2,jjj)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print results to file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write(10,67001)iyr,i_doy,kseg,istep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67001    format('Mass balance check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'iyr = ',i2,' i_doy = ',i3,' kseg= ',i2,' istep = ',i2/9x,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'Pflc       ','Plit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'POPs       ','DOPs       ','DIPs       ','PIPs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'POPw       ','DOPw       ','DIPw       ','PIPw')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write(10,67003)(check_mb(2,jjj),jjj=1,10)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write(10,67002)(check_mb(1,jjj),jjj=1,10)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write(10,67004)(check_mb(3,jjj),jjj=1,10)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write(10,67005)(check_mb(4,jjj),jjj=1,10)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write(10,67006)(check_mb(5,jjj),jjj=1,10)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67002     format('P t     ',10(1x,e10.4))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67003     format('P t+1   ',10(1x,e10.4))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67004     format('Sources ',10(1x,e10.4))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67005     format('Sinks   ',10(1x,e10.4))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67006     format('Residual',10(1x,e10.4))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advective transport - x-dimension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xtran=max(0.,dt*trate) !1/day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if(iss_test.eq.01)xtran=0. !assume no transport in steady-state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simulations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tran_ep=xtran*ep(kseg)        !CASM state variables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tran_en=xtran*en(kseg)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tran_es=xtran*es(kseg)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tran_phyt=xtran*bmass(01,kseg)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tran_zoop=xtran*bmass(41,kseg) !zooplankton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tran_POCe=xtran*om(1,2,kseg)   !POCe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tran_DOCe=xtran*om(1,1,kseg)   !DOCe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tran_DOCh=xtran*om(2,1,kseg)   !DOCh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tran_popw=xtran*popw(kseg)    !CASM STA P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tran_dopw=xtran*dopw(kseg)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tran_dipw=xtran*dipw(kseg)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tran_pipw=xtran*pipw(kseg)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if(kseg.eq.1) then                 !assume upstream boundary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condition that balances outputs from segment 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ep(kseg)=ep(kseg)+tran_ep       !NOTE: Version 6.60 removes the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upstream boundary conditions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en(kseg)=en(kseg)+tran_en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es(kseg)=es(kseg)+tran_es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bmass( 1,kseg)=bmass( 1,kseg)+tran_phyt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bmass(41,kseg)=bmass(41,kseg)+tran_zoop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om(1,2,kseg)=om(1,2,kseg)+tran_POCe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om(1,1,kseg)=om(1,1,kseg)+tran_DOCe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om(2,1,kseg)=om(2,1,kseg)+tran_DOCh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boundary conditions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popw(kseg)=popw(kseg)+tran_popw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tab/>
        <w:t xml:space="preserve">    dopw(kseg)=dopw(kseg)+tran_dopw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tab/>
        <w:t xml:space="preserve">    dipw(kseg)=dipw(kseg)+tran_dipw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tab/>
        <w:t xml:space="preserve">    pipw(kseg)=pipw(kseg)+tran_pipw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ep(kseg)=max(0.,ep(kseg)-tran_ep)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en(kseg)=max(0.,en(kseg)-tran_en)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es(kseg)=max(0.,es(kseg)-tran_es)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bmass(01,kseg)=max(0.,bmass(01,kseg)-tran_phyt)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bmass(41,kseg)=max(0.,bmass(41,kseg)-tran_zoop)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om(1,2,kseg)=max(0.,om(1,2,kseg)-tran_POCe)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om(1,1,kseg)=max(0.,om(1,1,kseg)-tran_DOCe)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om(2,1,kseg)=max(0.,om(2,1,kseg)-tran_DOCh)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popw(kseg)=max(0.,popw(kseg)-tran_popw)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dopw(kseg)=max(0.,dopw(kseg)-tran_dopw)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dipw(kseg)=max(0.,dipw(kseg)-tran_dipw)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pipw(kseg)=max(0.,pipw(kseg)-tran_pipw)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ep(kseg+1)=ep(kseg+1)+tran_ep               !advection from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segment 1 to segment 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en(kseg+1)=en(kseg+1)+tran_en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es(kseg+1)=es(kseg+1)+tran_es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bmass( 1,kseg+1)=bmass( 1,kseg+1)+tran_phyt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bmass(41,kseg+1)=bmass(41,kseg+1)+tran_zoop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om(1,2,kseg+1)=om(1,2,kseg+1)+tran_POCe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om(1,1,kseg+1)=om(1,1,kseg+1)+tran_DOCe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om(2,1,kseg+1)=om(2,1,kseg+1)+tran_DOCh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popw(kseg+1)=popw(kseg+1)+tran_popw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dopw(kseg+1)=dopw(kseg+1)+tran_dopw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dipw(kseg+1)=dipw(kseg+1)+tran_dipw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pipw(kseg+1)=pipw(kseg+1)+tran_pipw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totp_outab(kseg)=totp_outab(kseg)+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tran_popw+tran_dopw+tran_dipw+tran_pipw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if(kseg.eq.2) 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ep(kseg)=max(0.,ep(kseg)-tran_ep)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en(kseg)=max(0.,en(kseg)-tran_en)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es(kseg)=max(0.,es(kseg)-tran_es)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bmass(01,kseg)=max(0.,bmass(01,kseg)-tran_phyt)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bmass(41,kseg)=max(0.,bmass(41,kseg)-tran_zoop)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om(1,2,kseg)=max(0.,om(1,2,kseg)-tran_POCe)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om(1,1,kseg)=max(0.,om(1,1,kseg)-tran_DOCe)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om(2,1,kseg)=max(0.,om(2,1,kseg)-tran_DOCh)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popw(kseg)=max(0.,popw(kseg)-tran_popw)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dopw(kseg)=max(0.,dopw(kseg)-tran_dopw)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dipw(kseg)=max(0.,dipw(kseg)-tran_dipw)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pipw(kseg)=max(0.,pipw(kseg)-tran_pipw)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ep(kseg+1)=ep(kseg+1)+tran_ep               !advection from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segment 2 to segment 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en(kseg+1)=en(kseg+1)+tran_en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es(kseg+1)=es(kseg+1)+tran_es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bmass( 1,kseg+1)=bmass( 1,kseg+1)+tran_phyt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bmass(41,kseg+1)=bmass(41,kseg+1)+tran_zoop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om(1,2,kseg+1)=om(1,2,kseg+1)+tran_POCe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om(1,1,kseg+1)=om(1,1,kseg+1)+tran_DOCe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om(2,1,kseg+1)=om(2,1,kseg+1)+tran_DOCh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popw(kseg+1)=popw(kseg+1)+tran_popw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dopw(kseg+1)=dopw(kseg+1)+tran_dopw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dipw(kseg+1)=dipw(kseg+1)+tran_dipw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pipw(kseg+1)=pipw(kseg+1)+tran_pipw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totp_outbc(kseg)=totp_outbc(kseg)+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tran_popw+tran_dopw+tran_dipw+tran_pipw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if(i.eq.365)write(10,9649)i,kseg,totp_outbc(kseg),tran_popw,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tran_dopw,tran_dipw,tran_pipw,xtran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if(i.eq.366)write(10,9649)i,kseg,totp_outbc(kseg),tran_popw,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tran_dopw,tran_dipw,tran_pipw,xtran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9649    format('totp_outbc check: ', i4,i2, 6(1x,e10.4))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if(kseg.eq.3) 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ep(kseg)=max(0.,ep(kseg)-tran_ep)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en(kseg)=max(0.,en(kseg)-tran_en)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es(kseg)=max(0.,es(kseg)-tran_es)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bmass(01,kseg)=max(0.,bmass(01,kseg)-tran_phyt)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bmass(41,kseg)=max(0.,bmass(41,kseg)-tran_zoop)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om(1,2,kseg)=max(0.,om(1,2,kseg)-tran_POCe)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om(1,1,kseg)=max(0.,om(1,1,kseg)-tran_DOCe)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om(2,1,kseg)=max(0.,om(2,1,kseg)-tran_DOCh)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popw(kseg)=max(0.,popw(kseg)-tran_popw)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dopw(kseg)=max(0.,dopw(kseg)-tran_dopw)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dipw(kseg)=max(0.,dipw(kseg)-tran_dipw)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pipw(kseg)=max(0.,pipw(kseg)-tran_pipw)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ep_outfl=ep_outfl+tran_ep               !advection from segment 3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to the outflow segment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en_outfl=en_outfl+tran_en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es_outfl=es_outfl+tran_es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phyt_outfl=phyt_outfl+tran_phyt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zoop_outfl=zoop_outfl+tran_zoop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POCe_outfl=POCe_outfl+tran_POCe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DOCe_outfl=DOCe_outfl+tran_DOCe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popw_outfl=(popw_outfl+tran_popw)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dopw_outfl=(dopw_outfl+tran_dopw)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dipw_outfl=(dipw_outfl+tran_dipw)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pipw_outfl=(pipw_outfl+tran_pipw)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totp_outfl(kseg)=totp_outfl(kseg)+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tran_popw+tran_dopw+tran_dipw+tran_pipw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12344 continue    !end delta-t loop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totp(kseg)=pipw(kseg)+dipw(kseg)+dopw(kseg)+popw(kseg)   !segment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total phosphorus, g 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if(depth(kseg).gt.0.)totp_v(kseg)=totp(kseg)/depth(kseg)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if(depth(kseg).gt.0.)popw_v(kseg)=popw(kseg)/depth(kseg)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if(depth(kseg).gt.0.)dopw_v(kseg)=dopw(kseg)/depth(kseg)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if(depth(kseg).gt.0.)dipw_v(kseg)=dipw(kseg)/depth(kseg)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if(depth(kseg).gt.0.)pipw_v(kseg)=pipw(kseg)/depth(kseg)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dav_pflc(kseg)=dav_pflc(kseg)+(0.00274*pflc(kseg)) !daily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average, g P/m2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dav_plit(kseg)=dav_plit(kseg)+(0.00274*plit(kseg))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dav_pops(kseg)=dav_pops(kseg)+(0.00274*pops(kseg))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dav_dops(kseg)=dav_dops(kseg)+(0.00274*dops(kseg))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dav_dips(kseg)=dav_dips(kseg)+(0.00274*dips(kseg))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dav_pips(kseg)=dav_pips(kseg)+(0.00274*pips(kseg))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dav_deps(kseg)=dav_deps(kseg)+(0.00274*deps(kseg))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dav_popw(kseg)=dav_popw(kseg)+(0.00274*popw(kseg))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dav_dopw(kseg)=dav_dopw(kseg)+(0.00274*dopw(kseg))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dav_dipw(kseg)=dav_dipw(kseg)+(0.00274*dipw(kseg))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dav_pipw(kseg)=dav_pipw(kseg)+(0.00274*pipw(kseg))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dav_totp(kseg)=dav_totp(kseg)+(0.00274*totp(kseg))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dav_popw_v(kseg)=dav_popw_v(kseg)+(0.00274*popw_v(kseg))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dav_dopw_v(kseg)=dav_dopw_v(kseg)+(0.00274*dopw_v(kseg))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dav_dipw_v(kseg)=dav_dipw_v(kseg)+(0.00274*dipw_v(kseg))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dav_pipw_v(kseg)=dav_pipw_v(kseg)+(0.00274*pipw_v(kseg))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 xml:space="preserve"> dav_totp_v(kseg)=dav_totp_v(kseg)+(0.00274*totp_v(kseg)) ! 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dav_totp_outab(kseg)=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dav_totp_outab(kseg)+(0.00274*totp_outab(kseg))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dav_totp_outbc(kseg)=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dav_totp_outbc(kseg)+(0.00274*totp_outbc(kseg))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dav_totp_outfl(kseg)=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dav_totp_outfl(kseg)+(0.00274*totp_outfl(kseg))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dav_TPin(kseg)=dav_TPin(kseg)+(0.00274*TPin(kseg))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if(pflc(kseg).gt.dmx_pflc(kseg))dmx_pflc(kseg)=pflc(kseg) !daily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max value,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if(plit(kseg).gt.dmx_plit(kseg))dmx_plit(kseg)=plit(kseg)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if(pops(kseg).gt.dmx_pops(kseg))dmx_pops(kseg)=pops(kseg)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if(dops(kseg).gt.dmx_dops(kseg))dmx_dops(kseg)=dops(kseg)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if(dips(kseg).gt.dmx_dips(kseg))dmx_dips(kseg)=dips(kseg)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if(pips(kseg).gt.dmx_pips(kseg))dmx_pips(kseg)=pips(kseg)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if(deps(kseg).gt.dmx_deps(kseg))dmx_deps(kseg)=deps(kseg)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if(popw(kseg).gt.dmx_popw(kseg))dmx_popw(kseg)=popw(kseg)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if(dopw(kseg).gt.dmx_dopw(kseg))dmx_dopw(kseg)=dopw(kseg)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if(dipw(kseg).gt.dmx_dipw(kseg))dmx_dipw(kseg)=dipw(kseg)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if(pipw(kseg).gt.dmx_pipw(kseg))dmx_pipw(kseg)=pipw(kseg)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if(totp(kseg).gt.dmx_totp(kseg))dmx_totp(kseg)=totp(kseg)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if(TPin(kseg).gt.dmx_TPin(kseg))dmx_TPin(kseg)=TPin(kseg)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if(totp_outab(kseg).gt.dmx_totp_outab(kseg))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dmx_totp_outab(kseg)=totp_outab(kseg)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if(totp_outbc(kseg).gt.dmx_totp_outbc(kseg))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dmx_totp_outbc(kseg)=totp_outbc(kseg)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if(totp_outfl(kseg).gt.dmx_totp_outfl(kseg))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dmx_totp_outfl(kseg)=totp_outfl(kseg)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if(popw_v(kseg).gt.dmx_popw_v(kseg))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dmx_popw_v(kseg)=popw_v(kseg)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if(dopw_v(kseg).gt.dmx_dopw_v(kseg))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dmx_dopw_v(kseg)=dopw_v(kseg)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if(dipw_v(kseg).gt.dmx_dipw_v(kseg))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dmx_dipw_v(kseg)=dipw_v(kseg)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if(pipw_v(kseg).gt.dmx_pipw_v(kseg))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dmx_pipw_v(kseg)=pipw_v(kseg)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if(totp_v(kseg).gt.dmx_totp_v(kseg))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dmx_totp_v(kseg)=totp_v(kseg)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if(pflc(kseg).lt.dmn_pflc(kseg))dmn_pflc(kseg)=pflc(kseg) !daily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min value, g P/m2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if(plit(kseg).lt.dmn_plit(kseg))dmn_plit(kseg)=plit(kseg)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if(pops(kseg).lt.dmn_pops(kseg))dmn_pops(kseg)=pops(kseg)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if(dops(kseg).lt.dmn_dops(kseg))dmn_dops(kseg)=dops(kseg)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if(dips(kseg).lt.dmn_dips(kseg))dmn_dips(kseg)=dips(kseg)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if(pips(kseg).lt.dmn_pips(kseg))dmn_pips(kseg)=pips(kseg)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if(deps(kseg).lt.dmn_deps(kseg))dmn_deps(kseg)=deps(kseg)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if(popw(kseg).lt.dmn_popw(kseg))dmn_popw(kseg)=popw(kseg)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if(dopw(kseg).lt.dmn_dopw(kseg))dmn_dopw(kseg)=dopw(kseg)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if(dipw(kseg).lt.dmn_dipw(kseg))dmn_dipw(kseg)=dipw(kseg)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if(pipw(kseg).lt.dmn_pipw(kseg))dmn_pipw(kseg)=pipw(kseg)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if(totp(kseg).lt.dmn_totp(kseg))dmn_totp(kseg)=totp(kseg)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if(TPin(kseg).lt.dmn_TPin(kseg))dmn_TPin(kseg)=TPin(kseg)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if(totp_outab(kseg).lt.dmn_totp_outab(kseg))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dmn_totp_outab(kseg)=totp_outab(kseg)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if(totp_outbc(kseg).lt.dmn_totp_outbc(kseg))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dmn_totp_outbc(kseg)=totp_outbc(kseg)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if(totp_outfl(kseg).lt.dmn_totp_outfl(kseg))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dmn_totp_outfl(kseg)=totp_outfl(kseg)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if(popw_v(kseg).lt.dmn_popw_v(kseg))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dmn_popw_v(kseg)=popw_v(kseg)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if(dopw_v(kseg).lt.dmn_dopw_v(kseg))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dmn_dopw_v(kseg)=dopw_v(kseg)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if(dipw_v(kseg).lt.dmn_dipw_v(kseg))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dmn_dipw_v(kseg)=dipw_v(kseg)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if(pipw_v(kseg).lt.dmn_pipw_v(kseg))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dmn_pipw_v(kseg)=pipw_v(kseg) !g P/m3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if(totp_v(kseg).lt.dmn_totp_v(kseg))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dmn_totp_v(kseg)=totp_v(kseg) !mg P/L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mix if wte = wth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if(wte.ne.wth)goto 9119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efrac=0.5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if(efrac.gt.1.0)efrac=1.0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hfrac=1.0-efrac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ep(kseg)=(ep(kseg)*efrac)+(hp(kseg)*hfrac) !typical CASM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ep(kseg)=dipw(kseg)/depth(kseg) !STA modification: DIPw converted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from g P/m2 to mg P/L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hp(kseg)=ep(kseg)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en(kseg)=(en(kseg)*efrac)+(hn(kseg)*hfrac)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hn(kseg)=en(kseg)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es(kseg)=(es(kseg)*efrac)+(hs(kseg)*hfrac)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hs(kseg)=es(kseg)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edo(kseg)=(edo(kseg)*efrac)+(hdo(kseg)*hfrac)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hdo(kseg)=edo(kseg)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if(edo(kseg).gt.O2Se(kseg))edo(kseg)=O2Se(kseg)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if(hdo(kseg).gt.O2Sh(kseg))hdo(kseg)=O2Sh(kseg)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9119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bmass(81,kseg)=om(1,1,kseg)   !g C/m2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bmass(82,kseg)=om(1,2,kseg)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bmass(83,kseg)=om(2,1,kseg)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bmass(84,kseg)=om(2,2,kseg)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water quality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znut( 1,kseg)=en(kseg)         !DINe(mg/L,kseg)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znut( 2,kseg)=ep(kseg)         !DIPe(mg/L,kseg)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znut( 3,kseg)=edo(kseg)        !DOe (mg/L,kseg)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znut( 4,kseg)=(edo(kseg)/O2Se(kseg))*100. !% DO saturation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epilimnion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znut( 5,kseg)=hn(kseg)         !DINh(mg/L,kseg)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znut( 6,kseg)=hp(kseg)         !DIPh(mg/L,kseg)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znut( 7,kseg)=hdo(kseg)        !DOh (mg/L,kseg)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znut( 8,kseg)=(hdo(kseg)/O2Sh(kseg))*100. !% DO saturation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hypolimnion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znut( 9,kseg)=om(1,1,kseg)     !DOCe(gC/m2,kseg)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znut(10,kseg)=om(1,2,kseg)     !POCe(gC/m2,kseg)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znut(11,kseg)=om(2,1,kseg)     !DOCh(gC/m2,kseg)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znut(12,kseg)=om(2,2,kseg)     !POCh(gC/m2,kseg)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znut(13,kseg)=tise(kseg)       !TISe(g/m2,kseg)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znut(14,kseg)=tish(kseg)       !TISh(g/m2,kseg)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znut(15,kseg)=chl(kseg)        !phytoplankton chlorophyll (ug/L)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znut(16,kseg)=secchi(kseg)     !Secchi depth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znut(17,kseg)=depth(kseg)      !segment depth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if(znut(7,kseg).lt.DOmin(kseg,iyr)) DOmin(kseg,iyr)=znut(7,kseg)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DOmean(kseg,iyr)=DOmean(kseg,iyr)+(0.00274*znut(7,kseg))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DOpmn(kseg,iyr)= DOpmn(kseg,iyr) +(0.00274*znut(8,kseg))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if(secchi(kseg).lt.SDmin(kseg,iyr))SDmin(kseg,iyr)=secchi(kseg)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if(secchi(kseg).gt.SDmax(kseg,iyr))SDmax(kseg,iyr)=secchi(kseg)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SDmean(kseg,iyr)=SDmean(kseg,iyr)+(0.00274*secchi(kseg))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!0.00274 =1/365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producers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pltref( 1,kseg)=bmass( 1,kseg)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pltref( 2,kseg)=bmass(11,kseg)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pltref( 3,kseg)=bmass(21,kseg) !SAV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pltref( 4,kseg)=bmass(31,kseg)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Plant P, g/m2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P_phy(kseg)=bmass( 1,kseg)*fpp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P_per(kseg)=bmass(11,kseg)*fpp_per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P_sav(kseg)=bmass(21,kseg)*fpp_sav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P_eav(kseg)=bmass(31,kseg)*fpp_eav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dav_phyP(kseg)=dav_phyP(kseg)+0.00274*P_phy(kseg) !daily average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dav_perP(kseg)=dav_perP(kseg)+0.00274*P_per(kseg)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dav_savP(kseg)=dav_savP(kseg)+0.00274*P_sav(kseg)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dav_eavP(kseg)=dav_eavP(kseg)+0.00274*P_eav(kseg)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if(P_phy(kseg).gt.dmx_phyP(kseg))dmx_phyP(kseg)=P_phy(kseg) !daily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max values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if(P_per(kseg).gt.dmx_perP(kseg))dmx_perP(kseg)=P_per(kseg)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if(P_sav(kseg).gt.dmx_savP(kseg))dmx_savP(kseg)=P_sav(kseg)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if(P_eav(kseg).gt.dmx_eavP(kseg))dmx_eavP(kseg)=P_eav(kseg)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if(P_phy(kseg).lt.dmn_phyP(kseg))dmn_phyP(kseg)=P_phy(kseg) !daily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min values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if(P_per(kseg).lt.dmn_perP(kseg))dmn_perP(kseg)=P_per(kseg)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if(P_sav(kseg).lt.dmn_savP(kseg))dmn_savP(kseg)=P_sav(kseg)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if(P_eav(kseg).lt.dmn_eavP(kseg))dmn_eavP(kseg)=P_eav(kseg)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consumers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pltref( 5,kseg)=bmass(41,kseg) !zooplankton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pltref( 6,kseg)=bmass(46,kseg) !mosquitofish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pltref( 7,kseg)=bmass(51,kseg) !largemouth bass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pltref( 8,kseg)=bmass(56,kseg) !bacterioplankton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pltref( 9,kseg)=bmass(61,kseg) !infauna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pltref(10,kseg)=bmass(62,kseg) !grass shrimp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pltref(11,kseg)=bmass(66,kseg) !tilapia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pltref(12,kseg)=bmass(76,kseg) !sed bacteria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totcon_P(kseg)=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(bmass(41,kseg)*fcp) + !zooplankton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(bmass(46,kseg)*fcp) + !mosquitofish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(bmass(51,kseg)*fcp) + !largemouth bass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(bmass(56,kseg)*fcp) + !bacterioplankton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(bmass(61,kseg)*fcp) + !infauna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(bmass(62,kseg)*fcp) + !grass shrimp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(bmass(66,kseg)*fcp) + !tilapia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(bmass(76,kseg)*fcp)   !sed bacteria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dav_totc_P(kseg)=dav_totc_P(kseg)+0.00274*totcon_P(kseg) !daily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average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if(totcon_P(kseg).gt.dmx_totc_P(kseg))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dmx_totc_P(kseg)=totcon_P(kseg) !daily max values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if(totcon_P(kseg).lt.dmn_totc_P(kseg))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dmn_totc_P(kseg)=totcon_P(kseg) !daily max values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save end-of-year values for selected species, use to initialize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next year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if(i_doy.eq.365)then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eoy_pflc(kseg)=pflc(kseg)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eoy_plit(kseg)=plit(kseg)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eoy_pops(kseg)=pops(kseg)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eoy_dops(kseg)=dops(kseg)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eoy_dips(kseg)=dips(kseg)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eoy_pips(kseg)=pips(kseg)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eoy_deps(kseg)=deps(kseg)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eoy_popw(kseg)=popw(kseg)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eoy_dopw(kseg)=dopw(kseg)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eoy_dipw(kseg)=dipw(kseg)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eoy_pipw(kseg)=pipw(kseg)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eoy_phy(kseg)=bmass(01,kseg)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eoy_per(kseg)=bmass(11,kseg)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eoy_sav(kseg)=bmass(21,kseg) !SAV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eoy_eav(kseg)=bmass(31,kseg)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eoy_zoo(kseg)=bmass(41,kseg) !zooplankton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eoy_mos(kseg)=bmass(46,kseg) !mosquitofish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eoy_lmb(kseg)=bmass(51,kseg) !largemouth bass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eoy_bce(kseg)=bmass(56,kseg) !bacteria - water column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eoy_inf(kseg)=bmass(61,kseg) !infauna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eoy_grs(kseg)=bmass(62,kseg) !grass shrimp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eoy_til(kseg)=bmass(66,kseg) !Tilapia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eoy_bcs(kseg)=bmass(76,kseg) !bacteria - sediment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eoy_en(kseg)=en(kseg)      !DIN, DIP, Si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eoy_ep(kseg)=ep(kseg)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eoy_es(kseg)=es(kseg)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eoy_hn(kseg)=hn(kseg)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eoy_hp(kseg)=hp(kseg)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eoy_hs(kseg)=hs(kseg)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eoy_DOCe(kseg)=om(1,1,kseg) !DOCe(gC/m2,kseg)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eoy_POCe(kseg)=om(1,2,kseg) !POCe(gC/m2,kseg)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eoy_DOCh(kseg)=om(2,1,kseg) !DOCh(gC/m2,kseg)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eoy_POCh(kseg)=om(2,2,kseg) !POCh(gC/m2,kseg)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eoy_TISe(kseg)=tise(kseg)   !TISe(g/m2,kseg)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eoy_TISh(kseg)=tish(kseg)   !TISh(g/m2,kseg)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write(10,7000)iyr,i_doy,kseg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7000    format('EOY Check Year: ',i3,' Day: ',i4,' Segment: ',i2)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write(10,7001) eoy_pflc(kseg),eoy_plit(kseg),eoy_pops(kseg),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eoy_dops(kseg),eoy_dips(kseg),eoy_pips(kseg),eoy_deps(kseg),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eoy_popw(kseg),eoy_dopw(kseg),eoy_dipw(kseg),eoy_pipw(kseg)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write(10,7001)eoy_phy(kseg),eoy_per(kseg),eoy_sav(kseg),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eoy_eav(kseg),eoy_zoo(kseg),eoy_mos(kseg),eoy_lmb(kseg),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eoy_bce(kseg),eoy_inf(kseg),eoy_grs(kseg),eoy_til(kseg),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eoy_bcs(kseg)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write(10,7001) eoy_en(kseg),eoy_ep(kseg),eoy_es(kseg),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eoy_hn(kseg),eoy_hp(kseg),eoy_hs(kseg)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write(10,7001) eoy_DOCe(kseg),eoy_POCe(kseg),eoy_DOCh(kseg),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eoy_POCh(kseg),eoy_TISe(kseg),eoy_TISh(kseg)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7001    format(12(e10.4,1x))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Output values for all nodes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lunit=kseg+200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if(i.eq.1)write(lunit,1211)st_nam(kseg)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1211  format(a12)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if(i.eq.1)write(lunit,1212)(popnam(ipop),ipop=1,npops),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(znam(inut),inut=1,17),(pnam(ip),ip=1,35)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1212  format('Day   ',64(a16,1x))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kout=mod(i,incr_out)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if(kout.eq.0)write(lunit,1213)i,(pltref(ipop,kseg),ipop=1,npops),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(znut(inut,kseg),inut=1,17),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pflc(kseg),plit(kseg),pops(kseg),dops(kseg),dips(kseg),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pips(kseg),deps(kseg),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popw(kseg),dopw(kseg),dipw(kseg),pipw(kseg),totp(kseg),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popw_v(kseg),dopw_v(kseg),dipw_v(kseg),pipw_v(kseg),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totp_v(kseg),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popw_outfl,dopw_outfl,dipw_outfl,pipw_outfl,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totp_outab(kseg),totp_outbc(kseg),totp_outfl(kseg),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dy_dep,dy_rem,dy_exc,dy_btb,dy_rsp,dy_prc,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P_phy(kseg),P_per(kseg),P_sav(kseg),P_eav(kseg),totcon_P(kseg)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1213  format(i5,1x,64(e10.4,7x))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xm6=0.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xm7=0.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xm8=0.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xm9=0.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mass-balance outputs by segment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TSegP(kseg)=0.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TSegP(kseg)=pflc(kseg)+plit(kseg)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+dops(kseg)+pops(kseg)+dips(kseg)+pips(kseg)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+deps(kseg)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+dopw(kseg)+popw(kseg)+dipw(kseg)+pipw(kseg)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+P_phy(kseg)+P_per(kseg)+P_sav(kseg)+P_eav(kseg)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+totcon_P(kseg)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           +rdep_pips*pips(kseg)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           +rdep_pops*pops(kseg)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           +(trsp*fpp)               !producer respiration 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equivalent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           +(sre*fcp) + (srh*fcp)    !consumer respiration 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equivalent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           +dy_con*fcp               !food web consumption 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equivalent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           +bmass(81,kseg)*fcp       !DOCe P equivalent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           +bmass(82,kseg)*fcp       !POCe P equivalent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           +bmass(83,kseg)*fcp       !DOCh P equivalent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           +bmass(84,kseg)*fcp       !POCh P equivalent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           +tdelp_P(kseg) + tdelc_P(kseg) !derivatives P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equivalent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mass balance residual by segment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if(i.eq.1)TSegP_init(kseg)=TSegP(kseg)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Pmass_res(kseg)=TSegP(kseg)-TSegP_init(kseg)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Prcnt_res(kseg)=(Pmass_res(kseg)/TSegP(kseg))*100.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TSegP(kseg)=TSegP(kseg)+Pmass_res(kseg)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xm1=totcon_P(kseg)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xm2=rdep_pips*pips(kseg)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xm3=rdep_pops*pops(kseg)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xm4=trsp*fpp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xm5=sre*fcp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xm6=srh*fcp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xm7=dy_con*fcp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xm8=tdelp_P(kseg)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xm9=tdelc_P(kseg)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res_pflc=0. !residual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res_plit=0.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res_pops=0.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res_dops=0.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res_dips=0.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res_pips=0.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res_deps=0.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res_popw=0.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res_pipw=0.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res_pflc=src_pflc-snk_pflc !residual values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res_plit=src_plit-snk_plit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res_pops=src_pops-snk_pops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res_dops=src_dops-snk_dops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res_dips=src_dips-snk_dips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res_pips=src_pips-snk_pips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res_deps=src_deps-snk_deps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res_dopw=src_dopw-snk_dopw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res_dipw=src_dipw-snk_dipw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res_popw=src_popw-snk_popw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res_pipw=src_pipw-snk_pipw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munit=kseg+400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if(i.eq.1)write(munit,1211)st_nam(kseg)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if(i.eq.1)write(munit,1412)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1412  format('Day   ','pflc       src_pflc   snk_pflc   res_pflc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'plit       src_plit   snk_plit   res_plit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'pops       src_pops   snk_pops   res_pops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'dops       src_dops   snk_dops   res_dops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'dips       src_dips   snk_dips   res_dips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'pips       src_pips   snk_pips   res_pips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'deps       src_deps   snk_deps   res_deps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'dopw       src_dopw   snk_dopw   res_dopw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'dipw       src_dipw   snk_dipw   res_dipw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'popw       src_popw   snk_popw   res_popw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'pipw       src_pipw   snk_pipw   res_pipw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'TSegP      P_res      P_res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if(kout.eq.0)write(munit,1413)i,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pflc(kseg),src_pflc,snk_pflc,res_pflc,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plit(kseg),src_plit,snk_plit,res_plit,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pops(kseg),src_pops,snk_pops,res_pops,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dops(kseg),src_dops,snk_dops,res_dops,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dips(kseg),src_dips,snk_dips,res_dips,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pips(kseg),src_pips,snk_pips,res_pips,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deps(kseg),src_deps,snk_deps,res_deps,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dopw(kseg),src_dopw,snk_dopw,res_dopw,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dipw(kseg),src_dipw,snk_dipw,res_dipw,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popw(kseg),src_popw,snk_popw,res_popw,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pipw(kseg),src_pipw,snk_pipw,res_pipw,TSegP(kseg),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Pmass_res(kseg),Prcnt_res(kseg),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xm1,xm2,xm3,xm4,xm5,xm6,xm7,xm8,xm9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1413  format(i4,1x,11(1x,e10.4,1x,e10.4,1x,e10.4,1x,e10.4,1x),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3(1x,e10.4),9(1x,e10.4))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write(*,3444)iyr,kseg,i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3444  format('Year ',i2,1x,'Segment ',i2,'  Completed day: ',i5)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1010  continue !end segment loop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    continue  !end daily loop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output annual daily mean, min and max values for STA P pools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if(iyear.eq.1)write(302,1918)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1918  format('Year  Node  PFlc',32x,'PLit',32x,'POPs',32x,'DOPs',32x,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'DIPs',32x,'PIPs',32x,'DEPs',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32x,'POPw',32x,'DOPw',32x,'DIPw',32x,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'PIPw',32x,'TotP',32x,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'POPw-v',30x,'DOPw-v',30x,'DIPw-v',30x,'PIPw-v',30x,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'TotP-v',30x,'PhyP',32x,'PerP',32x,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'SAVP',32x,'EAVP',32x,'ConP',32x,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'TPin',32x,'totp_outab',26x,'totp_outbc',26x,'totp_outfl',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26x,'Tot Dep   '2x,'Tot Rem'/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10x,26(2x,'Mean        Min         Max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2x,'g P/m2/y')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if(iyear.gt.1)write(302,*)'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mm=1,nsegs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write(302,1919)iyear,mm,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dav_pflc(mm),dmn_pflc(mm),dmx_pflc(mm),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dav_plit(mm),dmn_plit(mm),dmx_plit(mm),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dav_pops(mm),dmn_pops(mm),dmx_pops(mm),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dav_dops(mm),dmn_dops(mm),dmx_dops(mm),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dav_dips(mm),dmn_dips(mm),dmx_dips(mm),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dav_pips(mm),dmn_pips(mm),dmx_pips(mm),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dav_deps(mm),dmn_deps(mm),dmx_deps(mm),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dav_popw(mm),dmn_popw(mm),dmx_popw(mm),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dav_dopw(mm),dmn_dopw(mm),dmx_dopw(mm),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dav_dipw(mm),dmn_dipw(mm),dmx_dipw(mm),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dav_pipw(mm),dmn_pipw(mm),dmx_pipw(mm),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dav_totp(mm),dmn_totp(mm),dmx_totp(mm),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dav_popw_v(mm),dmn_popw_v(mm),dmx_popw_v(mm),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dav_dopw_v(mm),dmn_dopw_v(mm),dmx_dopw_v(mm),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dav_dipw_v(mm),dmn_dipw_v(mm),dmx_dipw_v(mm),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dav_pipw_v(mm),dmn_pipw_v(mm),dmx_pipw_v(mm),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dav_totp_v(mm),dmn_totp_v(mm),dmx_totp_v(mm),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dav_phyP(mm),dmn_phyP(mm),dmx_phyP(mm),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dav_perP(mm),dmn_perP(mm),dmx_perP(mm),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dav_savP(mm),dmn_savP(mm),dmx_savP(mm),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dav_eavP(mm),dmn_eavP(mm),dmx_eavP(mm),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dav_totc_p(mm),dmn_totc_p(mm),dmx_totc_p(mm),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dav_TPin(mm),dmn_TPin(mm),dmx_TPin(mm),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dav_totp_outab(mm),dmn_totp_outab(mm),dmx_totp_outab(mm),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dav_totp_outbc(mm),dmn_totp_outbc(mm),dmx_totp_outbc(mm),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dav_totp_outfl(mm),dmn_totp_outfl(mm),dmx_totp_outfl(mm),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tan_dep(mm),tan_rem(mm)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enddo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1919  format(i4,2x,i4,80(2x,e10.4))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if(iyr.eq.nyrs)then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Target Values for STA_2 FW1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t_inp_phyto_d = 0.0010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t_inp_phyto_w = 0.0025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t_mid_phyto_d = 0.0005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t_mid_phyto_w = 0.0020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t_out_phyto_d = 0.0005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t_out_phyto_w = 0.0010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t_avg_phyto   = 0.002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t_std_phyto   = 0.001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t_inp_peri = 0.12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t_mid_peri = 0.08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t_out_peri = 0.07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t_avg_peri = 0.050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t_std_peri = 0.030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t_inp_shoot = 1.8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t_mid_shoot = 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t_out_shoot = 2.2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t_avg_shoot = 1.95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t_std_shoot = 0.87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t_inp_root = 0.34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t_mid_root = 0.34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t_out_root = 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t_avg_root = 0.83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t_std_root = 0.62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t_inp_sav = 0.20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t_mid_sav = 0.20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t_out_sav = 0.15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t_avg_sav = 0.16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t_std_sav = 0.04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t_inp_flc = 1.90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t_mid_flc = 1.91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t_out_flc = 1.12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t_avg_flc = 1.64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t_std_flc = 0.65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t_inp_ltr = 3.00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t_mid_ltr = 2.30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t_out_ltr = 1.70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t_avg_ltr = 0.70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t_std_ltr = 0.32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t_inp_pops = 2.80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t_mid_pops = 2.40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t_out_pops = 2.50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t_avg_pops = 2.57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t_std_pops = 2.16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t_inp_dops = 0.007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t_mid_dops = 0.008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t_out_dops = 0.004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t_avg_dops = 0.15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t_std_dops = 0.12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t_inp_dips = 0.190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t_mid_dips = 0.240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t_out_dips = 0.006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t_avg_dips = 0.10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t_std_dips = 0.08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t_inp_pips = 0.560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t_mid_pips = 0.420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t_out_pips = 0.340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t_avg_pips = 0.44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t_std_pips = 0.27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t_inp_deps = 9.999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t_mid_deps = 9.999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t_out_deps = 9.999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t_avg_deps = 9.999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t_std_deps = 9.999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t_inp_popw_d = 0.012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t_inp_popw_w = 0.024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t_out_popw_d = 0.007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t_out_popw_w = 0.008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t_avg_popw   = 0.0100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t_std_popw   = 0.0100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t_inp_dopw_d = 0.007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t_inp_dopw_w = 0.009</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t_out_dopw_d = 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t_out_dopw_w = 0.006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t_avg_dopw   = 0.0140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t_std_dopw   = 0.0074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t_inp_dipw_d = 0.014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t_inp_dipw_w = 0.023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t_out_dipw_d = 0.007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t_out_dipw_w = 0.008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t_avg_dipw   = 0.0260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t_std_dipw   = 0.0282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t_inp_pipw_d = 0.003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t_inp_pipw_w = 0.005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t_out_pipw_d = 0.0014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t_out_pipw_w = 0.002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t_avg_pipw   = 0.0060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t_std_pipw   = 0.0025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t_inp_tp_d = 0.036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t_inp_tp_w = 0.060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t_out_tp_d = 0.002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t_out_tp_w = 0.020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t_avg_tp   = 0.0560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t_std_tp   = 0.0120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write(302,1920)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1920  format('Targets:    PFlc',32x,'PLit',32x,'POPs',32x,'DOPs',32x,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'DIPs',32x,'PIPs',32x,'DEPs',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32x,'POPw',32x,'DOPw',32x,'DIPw',32x,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'PIPw',32x,'TotP',176x,'TotP_v',30x,'PhyP',32x,'PerP',32x,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'SAVP',32x,'EAVP')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write(302,1922)t_inp_flc,t_inp_ltr,t_inp_pops,t_inp_dops,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t_inp_dips,t_inp_pips,t_inp_deps,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t_inp_popw_d,t_inp_dopw_d,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t_inp_dipw_d,t_inp_pipw_d,t_inp_tp_d,t_inp_phyto_d,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t_inp_peri,t_inp_sav,t_inp_shoot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1922  format(7x,'Inp  ',12(e10.4,26x),180x,4(e10.4,26x))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write(302,1923)t_mid_flc,t_mid_ltr,t_mid_pops,t_mid_dops,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t_mid_dips,t_mid_pips,t_mid_deps,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t_mid_phyto_d,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t_mid_peri,t_mid_sav,t_mid_shoot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1923  format(7x,'Mid  ',7(e10.4,26x),360x,4(e10.4,26x))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write(302,1924)t_out_flc,t_out_ltr,t_out_pops,t_out_dops,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t_out_dips,t_out_pips,t_out_deps,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t_out_popw_d,t_out_dopw_d,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t_out_dipw_d,t_out_pipw_d,t_out_tp_d,t_out_phyto_d,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t_out_peri,t_out_sav,t_out_shoot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1924  format(7x,'Out  ',12(e10.4,26x),180x,4(e10.4,26x))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write(302,1925)t_avg_flc,t_avg_ltr,t_avg_pops,t_avg_dops,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t_avg_dips,t_avg_pips,t_avg_deps,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t_avg_popw,t_avg_dopw,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t_avg_dipw,t_avg_pipw,t_avg_tp,t_avg_phyto,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t_avg_peri,t_avg_sav,t_avg_shoot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1925  format(7x,'Ave  ',12(e10.4,26x),180x,4(e10.4,26x))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write(302,1926)t_std_flc,t_std_ltr,t_std_pops,t_std_dops,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t_std_dips,t_std_pips,t_std_deps,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t_std_popw,t_std_dopw,</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t_std_dipw,t_std_pipw,t_std_tp,t_std_phyto,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t_std_peri,t_std_sav,t_std_shoot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1926  format(7x,'Std  ',12(e10.4,26x),180x,4(e10.4,26x))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This subroutine calculates the feeding rates of all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consumer populations in the casm_px model using the second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order feeding equation derived by DeAngelis et al. 1975.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Subroutine cns(kseg,te,th,dt)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(maxsegs=3) !maximum number of spatial segments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(np=4,nc=8)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initial biomass values and bioenergetics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  bp(4,10,maxsegs),   !initial biomass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ps(4,10),   !max photosyhnethetic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pte1(4,10),pxk1(4,10),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pte2(4,10),pxk2(4,10),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pte3(4,10),pxk3(4,10),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pte4(4,10),pxk4(4,10),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si(4,10),  !Light saturation intensity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snk(4,10),  !Sinking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xkp(4,10),xkn(4,10),xks(4,10), !Michaelis-Menten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constants for P, N, and Si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pm(4,10),   !Mortality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resp(4,10),   !Photorespiration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resd(4,10),   !Dark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factors for salinity, current 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psplt(4,10),pspol(4,10),pspou(4,10),psput(4,10),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ppvlt(4,10),ppvol(4,10),ppvou(4,10),ppvut(4,10),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ppdlt(4,10),ppdol(4,10),ppdou(4,10),ppdut(4,10),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Phenology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ddi(4,10),   !Degree-days required for growth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dds(4,10),   !Degree-days for onset of senescence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xlk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common/c/  bc(8,5,maxsegs),  !Initial biomass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cmx(8,5),  !max consumption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cte1(8,5),cxk1(8,5),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cte2(8,5),cxk2(8,5),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cte3(8,5),cxk3(8,5),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cte4(8,5),cxk4(8,5),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rsda(8,5),    rs(8,5),           !specific dynamic action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rate,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tro(8,5),   trm(8,5),           !temperature dependence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of respiration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f(8,5),     u(8,5),  cm(8,5), !egestion, excretion,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mortality rates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Habitat factors for dissolved oxygen, salinity, current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DOlt(8,5), DOol(8,5), DOou(8,5), DOut(8,5),  !dissolved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oxygen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psclt(8,5),pscol(8,5),pscou(8,5),pscut(8,5),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ccvlt(8,5),ccvol(8,5),ccvou(8,5),ccvut(8,5),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ccdlt(8,5),ccdol(8,5),ccdou(8,5),ccdut(8,5),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bxkn,      bxkp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common/cl/ w(84,40), a(84,40),he(84,40)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common/p_init/ fpp,fpn,fps,fpdo,fpp_per,fpp_sav,fpp_eav,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eni,  epi,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esi,    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om1,  om2,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om3,  om4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common/c_init/ fcp, fcn,fcs,fcdo,fcp_DOC,fcp_POC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common/adv/  segarea(maxsegs)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common/rsk/  fktrN(maxsegs),fktrP(maxsegs), fktrS(maxsegs)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common/arg1/om(2,2,maxsegs),yo(40),egn(40),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cl(84),tux(40),trsdax(40)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common/env2/degdays_aq(maxsegs)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pry(84),prd(40),c(84,40),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tyo(40),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trsda(40),tf(40),tu(40),sm(84),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tempc(40)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pry(i)=0.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cl(i)=0.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sm(i)=0.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c(i,j)=0.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prd(j)=0.        ! initialize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tyo(j)=0.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trsda(j)=0.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tf(j)=0.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tu(j)=0.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yo(j)=0.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egn(j)=0.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tux(j)=0.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trsdax(j)=0.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prey array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nn=nn+1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phenology check: if plant growth not yet initiated, it is not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available for grazing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phen=1.0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if(degdays_aq(kseg).lt.ddi(i,j))phen=0. !aquatic plants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pry(nn)=bp(i,j,kseg)*phen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consumer prey and predator arrays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nn=nn+1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nnn=nn+40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pry(nnn)=bc(i,j,kseg)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prd(nn)= bc(i,j,kseg)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if(bc(i,j,kseg).le.0.)goto 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tyo(nn)=cmx(i,j)*dt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trsda(nn)=rsda(i,j)*dt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tu(nn)=u(i,j)*dt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tf(nn)=f(i,j)*dt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temperature effects on consumption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te1=cte1(i,j) !Thornton-Lessem input parameters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te2=cte2(i,j)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te3=cte3(i,j)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te4=cte4(i,j)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xk1=cxk1(i,j)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xk2=cxk2(i,j)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xk3=cxk3(i,j)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xk4=cxk4(i,j)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if(i.le.4)T=te   ! epil. temperature function (unitless)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if(i.gt.4)T=th   ! hypol.temperature function (unitless)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tempc(nn)=ht2(te1,xk1,te2,xk2,te3,xk3,te4,xk4,T)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modifier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pry(81)=om(1,1,kseg)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pry(82)=om(2,1,kseg)   ! POC epi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pry(83)=om(1,2,kseg)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pry(84)=om(2,2,kseg)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loop over all consumers and decomposers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d=d+w(i,j)*(pry(i)-0.02*pry(i))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d=d+prd(j)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ci=tempc(j)*tyo(j)*prd(j)*w(i,j)*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he(i,j)*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(pry(i)-0.020*pry(i))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if(d.gt.0.) c(i,j)=ci/d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i=1,84              ! check for prey conservation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sm(i)=0.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sm(i)=sm(i)+c(i,j)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33 i=1,84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if(sm(i).eq.0.)     goto 33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if(sm(i).le.pry(i)) goto 28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c(i,j)=c(i,j)/sm(i)*(pry(i)-0.020*pry(i))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28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sm(i)=0.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sm(i)=sm(i)+c(i,j)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if(sm(i).gt.pry(i)) print*,'warning conservation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kseg,sm(i),pry(i),i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j=1,40                                       ! pathways: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cl(i)=cl(i)+c(i,j)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egn(j)=egn(j)+(tf(j)*c(i,j))                   ! egestion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tux(j)=tux(j)+(tu(j)         *(c(i,j)-egn(j))) ! excretion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trsdax(j)=trsdax(j)+(trsda(j)*(c(i,j)-egn(j)-tux(j))) ! specific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dynamic action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c(i,j)=max(0.,c(i,j)-(egn(j)+trsdax(j)+tux(j)))     ! adjust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consumption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yo(j)=yo(j)+c(i,j)*a(i,j)                      ! assimilation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33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This subroutine allocates nutrient supplies according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to the relative demand of the plant populations when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total potential production exceeds nutrient availability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Subroutine new_ration(iguild,kseg,i_doy,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cnv,tdn,tdp,tds,ep,en,es)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(maxsegs=3)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integer Plim,Nlim,Slim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rd(4,10)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  bp(4,10,maxsegs),   !initial biomass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ps(4,10),   !max photosyhnethetic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pte1(4,10),pxk1(4,10),   !Thornton-Lessem temperature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parameters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pte2(4,10),pxk2(4,10),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pte3(4,10),pxk3(4,10),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pte4(4,10),pxk4(4,10),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si(4,10),  !Light saturation intensity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snk(4,10),  !Sinking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xkp(4,10),xkn(4,10),xks(4,10), !Michaelis-Menten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constants for P, N, and Si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pm(4,10),   !Mortality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resp(4,10),   !Photorespiration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resd(4,10),   !Dark respiration rate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factors for salinity, current velocity, and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psplt(4,10),pspol(4,10),pspou(4,10),psput(4,10),  !salinity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ppvlt(4,10),ppvol(4,10),ppvou(4,10),ppvut(4,10),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ppdlt(4,10),ppdol(4,10),ppdou(4,10),ppdut(4,10),  !depth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Phenology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ddi(4,10),   !Degree-days required for growth initiation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dds(4,10),   !Degree-days for onset of senescence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xlk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common/t/nsp(4),nsc(8)</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common/p_init/ fpp,fpn,fps,fpdo,fpp_per,fpp_sav,fpp_eav,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eni,  epi,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esi,    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om1,  om2,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om3,  om4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common/rat1/fg(4,10,maxsegs)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common/rat2/ncalls(365,3,maxsegs)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write(96,2)kseg,i_doy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     format('For segment ',i2,' Ration called on day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guild check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 (iguild.eq.12)then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n1=1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n2=2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 (iguild.eq.34)then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n1=3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n2=4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enut=0.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Plim=0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Nlim=0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Slim=0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LimSum=0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i=1,4 !initialize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rd(i,j)=0.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identify most limiting nutrient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dlimP=(tdp-ep)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dlimN=(tdn-en)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dlimS=(tds-es)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zz=amax1(dlimP,dlimN,dlimS)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if(dlimP.eq.zz) Plim=1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if(dlimN.eq.zz) Nlim=1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if(dlimS.eq.zz) Slim=1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if(i_doy.le.365)then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if(Plim.eq.1 .and. iguild.eq.12)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write(96,*)'P limitation - WC'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if(Plim.eq.1 .and. iguild.eq.34)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write(96,*)'P limitation - Sed'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if(Nlim.eq.1)write(96,*)'N limitation'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if(Slim.eq.1)write(96,*)'Si limitation'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if(Plim.eq.1)ncalls(i_doy,1,kseg)=1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if(Nlim.eq.1)ncalls(i_doy,2,kseg)=1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if(Slim.eq.1)ncalls(i_doy,3,kseg)=1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endif</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LimSum=Plim+Nlim+Slim  ! check for multiple equally limiting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nutrients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if(LimSum.ne.1) write(96,10)Plim,Nlim,Slim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    format('WARNING: Plim = ', i1,' Nlim = ',i1,' Slim = ',i1)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calculate, prod_max the maximum carbon/m2 equivalent of the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exceeded nutrient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if(Plim.ne.1)goto 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enut=ep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prod_max=ep*(1.0/fpp)*(1.0/cnv)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goto 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20    if(Nlim.ne.1)goto 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enut=en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prod_max=en*(1.0/fpn)*(1.0/cnv)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goto 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40    if(Slim.ne.1)goto 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enut=es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prod_max=es*(1.0/fps)*(1.0/cnv)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goto 150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w:t>
        <w:tab/>
        <w:t xml:space="preserve">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calculate combined gross production of phytplankton and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Note: if population growth has not yet initiated (i.e., degree-day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hypothesis),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its corresponding fg(i,j) will have been set to zero by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subroutine casm()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and the population will not enter into the ration of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nutrients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write(96,*)'Unadjusted values of bp , fg, tgp'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tgp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i=n1,n2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j=1,nsp(i)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tgp=tgp+(bp(i,j,kseg)*fg(i,j,kseg))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write(96,*)kseg,i,j,bp(i,j,kseg),fg(i,j,kseg),tgp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pause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write(96,*)tgp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calculate relative contribution of bp(i,j) and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ration available nutrients according to relative demand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i=n1,n2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j=1,nsp(i)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rd(i,j)=1.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if(tgp.gt.0.)rd(i,j)=(bp(i,j,kseg)*fg(i,j,kseg))/tgp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enddo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adjust fg(i,j) values according to nutrient demand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write(96,*)'Adjusted values of bp, fg, rd, prod_max'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i=n1,n2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j=1,nsp(i)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fg(i,j,kseg)=(rd(i,j)*prod_max)/(bp(i,j,kseg))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write(96,*)kseg,i,j,bp(i,j,kseg),fg(i,j,kseg),rd(i,j),prod_max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pause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goto 200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150   continue  !Si limitation is a special case (only adjust diatoms)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tgp =0.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i=n1,n2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j=1,nsp(i)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ab/>
        <w:t>if(xks(i,j).gt.0.)tgp=tgp+(bp(i,j,kseg)*fg(i,j,kseg))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write(96,*)kseg,i,j,bp(i,j,kseg),fg(i,j,kseg),tgp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write(*,*)tgp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calculate relative contribution of bp(i,j) and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ration available nutrients according to relative demand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i=n1,n2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j=1,nsp(i)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rd(i,j)=1.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if(tgp.gt.0. .and. xks(i,j).gt.0.)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rd(i,j)=(bp(i,j,kseg)*fg(i,j,kseg))/tgp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enddo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i=n1,n2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j=1,nsp(i)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if(tgp.gt.0. .and. xks(i,j).gt.0.)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fg(i,j,kseg)=(rd(i,j)*prod_max)/(bp(i,j,kseg))</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write(96,*)kseg,i,j,bp(i,j,kseg),fg(i,j,kseg),rd(i,j)</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200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Subroutine ratsum summarizes calls to new_ration for reference and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treatment simulations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Subroutine ratsum(nsegs)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(maxsegs=3)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common/rat2/ncalls(365,3,maxsegs) ! tracks calls to nutrient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rationing for N, P, Si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1000 mm=1,nsegs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write(96,8)mm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8</w:t>
        <w:tab/>
        <w:t>format('Ration summary for segment: ',i2)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isum=0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i=1,365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jsum=0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if(ncalls(i,1,mm).eq.1)write(96,11)mm,i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if(ncalls(i,2,mm).eq.1)write(96,12)mm,i</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if(ncalls(i,3,mm).eq.1)write(96,13)mm,i</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jsum=ncalls(i,1,mm)+ncalls(i,2,mm)+ncalls(i,3,mm)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if(jsum.ne.0)isum=isum+1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11    format('Segment ',i2,' Day: ',i3,2x,'P limitation')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12    format('Segment ',i2,' Day: ',i3,2x,'N limitation')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13    format('Segment ',i2,' Day: ',i3,2x,'Si limitation')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write(*,14)isum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write(96,14)isum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14    format('Total days of rationing: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1000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This function modifies physiological maximum rates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of photosynthesis, consumption, and respiration in relation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to temperature deviations from the optimal and maximum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temperature defined for each CASM population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adapted from O'Neill et al. 1972 and Park et al. 1974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Function ht(t,topt,tmax)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data Q10/2.0/  ! assumes same Q10 for all populations and processes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v=(tmax-t)/(tmax-topt)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if(v.gt.0.) goto 31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ht=0.001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31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w=log(Q10)*(tmax-topt)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y=log(Q10)*((tmax-topt)+2.0)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z=(1.0+sqrt(1.0+(40/y)))**2.0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x=(w**2.0)*z/400.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ht=(v**x)*exp(x *(1.0-v))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Thornton-Lessem (1978) temperature function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Function ht2(te1,xk1,te2,xk2,te3,xk3,te4,xk4,T)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ht2=0.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if(T.lt.te1)return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if(T.gt.te4)return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tt7=1.0/(te4-te3)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tt5=1.0/(te2-te1)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t5=tt5*log(xk2*(1.0-xk1)/(0.02*xk1))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t7=tt7*log(xk3*(1.0-xk4)/(0.02*xk4))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t4=exp(t5*(T-te1))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t6=exp(t7*(te4-T))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gcta=(xk1*t4)/(1.0+xk1*(t4-1.0))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gctb=(xk4*t6)/(1.0+xk4*(t6-1.0))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ht2=gcta*gctb</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This trapezoidal function modifies growth in relation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to habitat parameters: depth, velocity, salinity, dissolved oxygen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Function tz(x1,x2,x3,x4,x)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tz=1.0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if(x4.eq.0.)return !check to see if factor is applicable (x4=0 in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data implies x1=x2=x3=x4=0)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parameter lies outside feasible range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tz=0.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if(x.le.x1)return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if(x.ge.x4)return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parameter lies within optimal range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tz=1.0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if(x.ge.x2 .and. x.le.x3)return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parameter is less than optimal, but feasible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if(x.gt.x1 .and. x.lt.x2)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tz=(x-x1)/(x2-x1)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habitat parameter is greater than optimal, but feasible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if(x.gt.x3 .and. x.lt.x4)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tz=1.0 - ((x-x3)/(x4-x3))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Function for calculating plant biomass component of light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extinction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Function exBIO(ii,z,z1,z2,z3,z4)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common/exb1/exPHYT,exPERI,exMACR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if(ii.eq.1)exBIO=(exPHYT*z1)/z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if(ii.eq.2)exBIO=(exPHYT*z1 + exPERI*z2)/z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if(ii.eq.3)exBIO=(exPHYT*z1 + exMACR*z3)/z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if(ii.eq.1)exBIO=(exPHYT*z1)/z !revision for CASMz-STA V5.50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if(ii.eq.2)exBIO=(exPERI*z2)/z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if(ii.eq.3)exBIO=(exMACR*z3)/z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if(ii.eq.4)exBIO=0.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Function to calculate the saturation concentration (mg/L) for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dissolved oxygen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as a function of temperature adapted from Park and Clough 2004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Function O2sat(t)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tK=273.15+t !Kelvin temperature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a1=-173.4927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a2=24963.39/tK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a3=143.3482*log(tK/100.)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a4=-0.21849*tK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O2sat=1.4277*exp(a1+a2+a3+a4)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Subroutine to calculate reaeration coefficient for streams as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f(temp,depth,velocity)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Adapted from Park and Clough 2004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Subroutine reaer_S(t,d,v,xkrT) !reaer_Streams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 temp (C)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d=mean depth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v=current velocity (m/s)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xkr=reaeration coefficient (1/d)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if(v.lt. 0.518)  td=0.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if(v.ge. 0.518)  td=4.411*(v**2.9135)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if(d.le.td)      xkr=5.049*(v**0.97)*(d**(-1.67))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if(d.gt.td)      xkr=3.930*(v**0.50)*(d**(-1.50))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if(d.lt.0.61)    xkr=5.349*(v**0.67)*(d**(-1.85))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if(t.lt.3.0)     xkr=0. !zero value under ice cover</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xkrT=xkr*1.024**(t-20.) !temperature-dependence of reaeration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Subroutine to calculate reaeration coefficient for lentic systems as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f(mixed layer depth,wind velocity)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Adapted from Park and Clough 2004; based on Schwarzenbach et al.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1993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Subroutine reaer_L(d,w,xkrT) !rear_Lakes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d=mixed layer depth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w=wind  velocity (m/s)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xkr=reaeration coefficient (1/d)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xkrT= (0.0004 +(0.00004*w**2))*864./d! reaeration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Subroutine SystemSummary(nsegs)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parameter (maxsegs=3, nrows=maxsegs+1) !maximum number of spatial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segments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(maxyears=20)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parameter (npops=12,naggs=11)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implicit real*4(a-h,o-z)</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character*12 st_nam(maxsegs)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common/hstry/bmass(84,maxsegs), znut(17,maxsegs),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O2se(maxsegs),O2sh(maxsegs)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common/adv/segarea(maxsegs)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common/gs4/P_owat(maxsegs),P_inter(maxsegs),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P_wetl(maxsegs),P_mrsh(maxsegs)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common/ntprd1/anetprod(npops,maxsegs,maxyears) !population annual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net productivity (gC/m2/y)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common/blksta/st_nam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common/csm2/nyrs,ndays,incr_out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common/sys1/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Chlmx(maxsegs,maxyears),   !maximum phytoplankton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chlorophyll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Chlav(maxsegs,maxyears),   !average phytoplankton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chlorophyll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SDmean(maxsegs,maxyears),  !Secchi depth - average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SDmax(maxsegs,maxyears),   !Secchi depth - maximum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SDmin(maxsegs,maxyears),   !Secchi depth - minimum (m)</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DOmean(maxsegs,maxyears),  !dissolved oxygen conc. - mean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DOmin(maxsegs,maxyears),   !dissolved oxygen conc. -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minimum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          DOpmn(maxsegs,maxyears)    !dissolved oxygen sat   - mean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saturation)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Pprod(nrows,8)  !production by modeled populations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bl_prod(10,maxyears)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dimension area(maxsegs)   !area (m2) of each hydrologic segment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data c1/1000000./ !convert gC to metric tons 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1000 iy=1,nyrs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 111)iy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111    format(//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'STA System Summary for Year: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'Primary producer net annual productivity (gC/m2/y):'/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'Node          Phytoplank  Periphyton  SAV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Node Total')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totprod=anetprod(1,k,iy)+anetprod(2,k,iy)+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anetprod(3,k,iy)+anetprod(4,k,iy)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write(300,33)st_nam(k),anetprod(1,k,iy),anetprod(2,k,iy),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anetprod(3,k,iy),anetprod(4,k,iy),totprod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33    format(a12,8(2x,e10.4))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 121)iy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121    format(//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'STA System Summary for Year: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'Consumer net annual productivity (gC/m2/y):'/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'Node          Zooplanktn  Mosquitfsh  LrgmthBass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'Infauna     GrassShrmp  Tilapia   Node Total')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totprod=anetprod(5,k,iy)+anetprod(6,k,iy)+anetprod(7,k,iy)+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anetprod(9,k,iy)+anetprod(10,k,iy)+anetprod(11,k,iy)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 xml:space="preserve">  write(300,33)st_nam(k),anetprod(5,k,iy),anetprod(6,k,iy),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anetprod(7,k,iy),anetprod(9,k,iy),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anetprod(10,k,iy),anetprod(11,k,iy),totprod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Calculate segment area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area(k)=segarea(k)*10000. !segment area in m2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Aquatic plant productivity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anetprod(1,k,iy)*area(k)/c1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anetprod(2,k,iy)*area(k)/c1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anetprod(3,k,iy)*area(k)/c1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anetprod(4,k,iy)*area(k)/c1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tab/>
        <w:t xml:space="preserve">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Total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Pprod(k,6)=Pprod(k,1)+Pprod(k,2)+Pprod(k,3)+Pprod(k,4)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 11)iy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11    format(//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'STA System Summary for Year: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'Total Segment Plant Productivity (metric tons 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'Node          Phytoplank  Periphyton  SAV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         Node Total')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write(300,13)st_nam(k),Pprod(k,1),Pprod(k,2),Pprod(k,3),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Pprod(k,4),Pprod(k,6)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13    format(a12,2x,7(e10.4,2x))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System totals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sys6=0.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do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sys1=sys1+Pprod(k,1)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sys2=sys2+Pprod(k,2)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sys3=sys3+Pprod(k,3)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sys4=sys4+Pprod(k,4)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sys6=sys6+Pprod(k,6)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write(300,15)sys1,sys2,sys3,sys4,sys6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15    format(/'Total         ',6(e10.4,2x))</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bl_prod(1,iy)=sys1 !phytoplankton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bl_prod(2,iy)=sys2 !periphyton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bl_prod(3,iy)=sys3 !SAV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bl_prod(4,iy)=sys4 !EAV</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Consumer populations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20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c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Zooplankton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anetprod(5,k,iy)*area(k)/c1*(0.01*(P_wetl(k)))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Mosquitofish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anetprod(6,k,iy)*area(k)/c1*(0.01*(P_wetl(k)))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Largemouth bass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anetprod(7,k,iy)*area(k)/c1*(0.01*(P_wetl(k)+P_inter(k)))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Infauna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anetprod(9,k,iy)*area(k)/c1*(0.01*(P_wetl(k)+P_inter(k)))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Grass shrimp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anetprod(10,k,iy)*area(k)/c1*(0.01*(P_wetl(k)+P_inter(k)))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Tilapia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anetprod(11,k,iy)*area(k)/c1*(0.01*(P_wetl(k)+P_inter(k)))</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Total zooplankton, zoobenthos, juvenile benthic inverts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Pprod(k,7)=Pprod(k,1)+Pprod(k,2)+Pprod(k,3)+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Pprod(k,4)+Pprod(k,5)+Pprod(k,6)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20    continue</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 21)iy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21    format(//</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'STA System Summary for Year: ',i3/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'Total Segment Productivity (metric tons 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'Node          Zooplanktn  MosquitFsh  LrgmthBass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'Infauna   Girasshrmp  Tilapia   Node Total')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write(300,13)st_nam(k),Pprod(k,1),Pprod(k,2),Pprod(k,3),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Pprod(k,4),Pprod(k,5),Pprod(k,6),Pprod(k,7)</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    System totals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sys1=0.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sys2=0.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sys3=0.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sys4=0.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sys5=0.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sys6=0.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sys7=0.</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ab/>
        <w:t>do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sys1=sys1+Pprod(k,1)</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sys2=sys2+Pprod(k,2)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sys3=sys3+Pprod(k,3)</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sys4=sys4+Pprod(k,4)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sys5=sys5+Pprod(k,5)</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sys6=sys6+Pprod(k,6)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write(300,15)sys1,sys2,sys3,sys4,sys5,sys6</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bl_prod(5,iy) = sys1 !total system zooplankton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bl_prod(6,iy) = sys2 !total system mosquitofish</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bl_prod(7,iy) = sys3 !total system largemouth bass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bl_prod(8,iy) = sys4 !total system infauna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bl_prod(9,iy) = sys5 !total system grass shrimp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bl_prod(10,iy)= sys6 !total system Tilapia</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 261)iy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261   format(//'CASM STA Water Quality Parameters for Year: ',i2/</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Chlorophyll (ug/L)      Dissolved Oxygen (mg/L)',</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Secchi depth (m)'/'Node          Maximum     Mean',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Mean        Mean %sat   Minimum     Mean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xml:space="preserve">.'Maximum     Minimum')   </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do k=1,nsegs</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write(300,63)st_nam(k),Chlmx(k,iy),Chlav(k,iy),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DOmean(k,iy),DOpmn(k,iy),DOmin(k,iy),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               SDmean(k,iy),SDmax(k,iy),SDmin(k,iy)</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enddo</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63    format(a12,2x,e10.4,8(2x,e10.4))</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1000  continue !end year loop</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return</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 xml:space="preserve">      </w:t>
      </w:r>
      <w:r>
        <w:rPr>
          <w:rFonts w:cs="Courier New" w:ascii="Courier New" w:hAnsi="Courier New"/>
          <w:color w:themeColor="text1" w:val="000000"/>
          <w:sz w:val="18"/>
          <w:szCs w:val="18"/>
        </w:rPr>
        <w:t>end</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t>c</w:t>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p>
      <w:pPr>
        <w:pStyle w:val="Normal"/>
        <w:spacing w:lineRule="auto" w:line="240" w:before="0" w:after="0"/>
        <w:rPr>
          <w:rFonts w:ascii="Courier New" w:hAnsi="Courier New" w:cs="Courier New"/>
          <w:color w:themeColor="text1" w:val="000000"/>
          <w:sz w:val="18"/>
          <w:szCs w:val="18"/>
        </w:rPr>
      </w:pPr>
      <w:r>
        <w:rPr>
          <w:rFonts w:cs="Courier New" w:ascii="Courier New" w:hAnsi="Courier New"/>
          <w:color w:themeColor="text1" w:val="000000"/>
          <w:sz w:val="18"/>
          <w:szCs w:val="18"/>
        </w:rPr>
      </w:r>
    </w:p>
    <w:sectPr>
      <w:headerReference w:type="default" r:id="rId208"/>
      <w:headerReference w:type="first" r:id="rId209"/>
      <w:footerReference w:type="default" r:id="rId210"/>
      <w:footerReference w:type="first" r:id="rId211"/>
      <w:type w:val="nextPage"/>
      <w:pgSz w:w="12240" w:h="15840"/>
      <w:pgMar w:left="720" w:right="720" w:gutter="0" w:header="576" w:top="720" w:footer="576" w:bottom="720"/>
      <w:pgNumType w:start="1" w:fmt="decimal"/>
      <w:formProt w:val="false"/>
      <w:vAlign w:val="center"/>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egoe UI">
    <w:charset w:val="01"/>
    <w:family w:val="roman"/>
    <w:pitch w:val="variable"/>
  </w:font>
  <w:font w:name="Arial">
    <w:charset w:val="01"/>
    <w:family w:val="roman"/>
    <w:pitch w:val="variable"/>
  </w:font>
  <w:font w:name="CG Times">
    <w:charset w:val="01"/>
    <w:family w:val="roman"/>
    <w:pitch w:val="variable"/>
  </w:font>
  <w:font w:name="Garamond">
    <w:charset w:val="01"/>
    <w:family w:val="roman"/>
    <w:pitch w:val="variable"/>
  </w:font>
  <w:font w:name="Univers">
    <w:charset w:val="01"/>
    <w:family w:val="roman"/>
    <w:pitch w:val="variable"/>
  </w:font>
  <w:font w:name="Tahoma">
    <w:charset w:val="01"/>
    <w:family w:val="roman"/>
    <w:pitch w:val="variable"/>
  </w:font>
  <w:font w:name="Calibri">
    <w:charset w:val="01"/>
    <w:family w:val="roman"/>
    <w:pitch w:val="variable"/>
  </w:font>
  <w:font w:name="Arial Narrow">
    <w:charset w:val="01"/>
    <w:family w:val="roman"/>
    <w:pitch w:val="variable"/>
  </w:font>
  <w:font w:name="Liberation Sans">
    <w:altName w:val="Arial"/>
    <w:charset w:val="01"/>
    <w:family w:val="swiss"/>
    <w:pitch w:val="variable"/>
  </w:font>
  <w:font w:name="Baskerville Old Face">
    <w:charset w:val="01"/>
    <w:family w:val="roman"/>
    <w:pitch w:val="variable"/>
  </w:font>
  <w:font w:name="Courier New">
    <w:charset w:val="01"/>
    <w:family w:val="roman"/>
    <w:pitch w:val="variable"/>
  </w:font>
  <w:font w:name="Book Antiqu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Segoe UI">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0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color w:themeColor="text1" w:val="000000"/>
        <w:sz w:val="20"/>
      </w:rPr>
      <w:t>i-</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0</w:t>
    </w:r>
    <w:r>
      <w:rPr>
        <w:rStyle w:val="PageNumber"/>
        <w:sz w:val="20"/>
        <w:rFonts w:cs="Segoe U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color w:themeColor="text1" w:val="000000"/>
        <w:sz w:val="20"/>
      </w:rPr>
      <w:t>i-</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9</w:t>
    </w:r>
    <w:r>
      <w:rPr>
        <w:rStyle w:val="PageNumber"/>
        <w:sz w:val="20"/>
        <w:rFonts w:cs="Segoe UI"/>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8</w:t>
    </w:r>
    <w:r>
      <w:rPr>
        <w:rStyle w:val="PageNumber"/>
        <w:sz w:val="20"/>
        <w:rFonts w:cs="Segoe UI"/>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color w:themeColor="text1" w:val="000000"/>
        <w:sz w:val="20"/>
      </w:rPr>
      <w:t>i-</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w:t>
    </w:r>
    <w:r>
      <w:rPr>
        <w:rStyle w:val="PageNumber"/>
        <w:sz w:val="20"/>
        <w:rFonts w:cs="Segoe UI"/>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16</w:t>
    </w:r>
    <w:r>
      <w:rPr>
        <w:rStyle w:val="PageNumber"/>
        <w:sz w:val="20"/>
        <w:rFonts w:cs="Segoe UI"/>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w:t>
    </w:r>
    <w:r>
      <w:rPr>
        <w:rStyle w:val="PageNumber"/>
        <w:sz w:val="20"/>
        <w:rFonts w:cs="Segoe UI"/>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3950" w:leader="none"/>
      </w:tabs>
      <w:spacing w:before="0" w:after="0"/>
      <w:rPr>
        <w:rFonts w:cs="Segoe UI"/>
        <w:sz w:val="20"/>
      </w:rPr>
    </w:pPr>
    <w:r>
      <w:rPr/>
      <mc:AlternateContent>
        <mc:Choice Requires="wps">
          <w:drawing>
            <wp:inline distT="0" distB="0" distL="0" distR="0">
              <wp:extent cx="5029200" cy="1270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20</w:t>
    </w:r>
    <w:r>
      <w:rPr>
        <w:rStyle w:val="PageNumber"/>
        <w:sz w:val="20"/>
        <w:rFonts w:cs="Segoe UI"/>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4130" w:leader="none"/>
      </w:tabs>
      <w:spacing w:before="0" w:after="0"/>
      <w:rPr>
        <w:rFonts w:cs="Segoe UI"/>
        <w:sz w:val="20"/>
      </w:rPr>
    </w:pPr>
    <w:r>
      <w:rPr/>
      <mc:AlternateContent>
        <mc:Choice Requires="wps">
          <w:drawing>
            <wp:inline distT="0" distB="0" distL="0" distR="0">
              <wp:extent cx="5029200" cy="1270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17</w:t>
    </w:r>
    <w:r>
      <w:rPr>
        <w:rStyle w:val="PageNumber"/>
        <w:sz w:val="20"/>
        <w:rFonts w:cs="Segoe UI"/>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29</w:t>
    </w:r>
    <w:r>
      <w:rPr>
        <w:rStyle w:val="PageNumber"/>
        <w:sz w:val="20"/>
        <w:rFonts w:cs="Segoe UI"/>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2690" w:leader="none"/>
      </w:tabs>
      <w:spacing w:before="0" w:after="0"/>
      <w:rPr>
        <w:rFonts w:cs="Segoe UI"/>
        <w:sz w:val="20"/>
      </w:rPr>
    </w:pPr>
    <w:r>
      <w:rPr/>
      <mc:AlternateContent>
        <mc:Choice Requires="wps">
          <w:drawing>
            <wp:inline distT="0" distB="0" distL="0" distR="0">
              <wp:extent cx="5029200" cy="1270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21</w:t>
    </w:r>
    <w:r>
      <w:rPr>
        <w:rStyle w:val="PageNumber"/>
        <w:sz w:val="20"/>
        <w:rFonts w:cs="Segoe UI"/>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0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0</w:t>
    </w:r>
    <w:r>
      <w:rPr>
        <w:rStyle w:val="PageNumber"/>
        <w:sz w:val="20"/>
        <w:rFonts w:cs="Segoe UI"/>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2690" w:leader="none"/>
      </w:tabs>
      <w:spacing w:before="0" w:after="0"/>
      <w:rPr>
        <w:rFonts w:cs="Segoe UI"/>
        <w:sz w:val="20"/>
      </w:rPr>
    </w:pPr>
    <w:r>
      <w:rPr/>
      <mc:AlternateContent>
        <mc:Choice Requires="wps">
          <w:drawing>
            <wp:inline distT="0" distB="0" distL="0" distR="0">
              <wp:extent cx="5029200" cy="1270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35</w:t>
    </w:r>
    <w:r>
      <w:rPr>
        <w:rStyle w:val="PageNumber"/>
        <w:sz w:val="20"/>
        <w:rFonts w:cs="Segoe UI"/>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0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0</w:t>
    </w:r>
    <w:r>
      <w:rPr>
        <w:rStyle w:val="PageNumber"/>
        <w:sz w:val="20"/>
        <w:rFonts w:cs="Segoe UI"/>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2690" w:leader="none"/>
      </w:tabs>
      <w:spacing w:before="0" w:after="0"/>
      <w:rPr>
        <w:rFonts w:cs="Segoe UI"/>
        <w:sz w:val="20"/>
      </w:rPr>
    </w:pPr>
    <w:r>
      <w:rPr/>
      <mc:AlternateContent>
        <mc:Choice Requires="wps">
          <w:drawing>
            <wp:inline distT="0" distB="0" distL="0" distR="0">
              <wp:extent cx="5029200" cy="1270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36</w:t>
    </w:r>
    <w:r>
      <w:rPr>
        <w:rStyle w:val="PageNumber"/>
        <w:sz w:val="20"/>
        <w:rFonts w:cs="Segoe UI"/>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40</w:t>
    </w:r>
    <w:r>
      <w:rPr>
        <w:rStyle w:val="PageNumber"/>
        <w:sz w:val="20"/>
        <w:rFonts w:cs="Segoe UI"/>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2690" w:leader="none"/>
      </w:tabs>
      <w:spacing w:before="0" w:after="0"/>
      <w:rPr>
        <w:rFonts w:cs="Segoe UI"/>
        <w:sz w:val="20"/>
      </w:rPr>
    </w:pPr>
    <w:r>
      <w:rPr/>
      <mc:AlternateContent>
        <mc:Choice Requires="wps">
          <w:drawing>
            <wp:inline distT="0" distB="0" distL="0" distR="0">
              <wp:extent cx="5029200" cy="1270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37</w:t>
    </w:r>
    <w:r>
      <w:rPr>
        <w:rStyle w:val="PageNumber"/>
        <w:sz w:val="20"/>
        <w:rFonts w:cs="Segoe UI"/>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44</w:t>
    </w:r>
    <w:r>
      <w:rPr>
        <w:rStyle w:val="PageNumber"/>
        <w:sz w:val="20"/>
        <w:rFonts w:cs="Segoe UI"/>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2690" w:leader="none"/>
      </w:tabs>
      <w:spacing w:before="0" w:after="0"/>
      <w:rPr>
        <w:rFonts w:cs="Segoe UI"/>
        <w:sz w:val="20"/>
      </w:rPr>
    </w:pPr>
    <w:r>
      <w:rPr/>
      <mc:AlternateContent>
        <mc:Choice Requires="wps">
          <w:drawing>
            <wp:inline distT="0" distB="0" distL="0" distR="0">
              <wp:extent cx="5029200" cy="1270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43</w:t>
    </w:r>
    <w:r>
      <w:rPr>
        <w:rStyle w:val="PageNumber"/>
        <w:sz w:val="20"/>
        <w:rFonts w:cs="Segoe UI"/>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48</w:t>
    </w:r>
    <w:r>
      <w:rPr>
        <w:rStyle w:val="PageNumber"/>
        <w:sz w:val="20"/>
        <w:rFonts w:cs="Segoe UI"/>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46</w:t>
    </w:r>
    <w:r>
      <w:rPr>
        <w:rStyle w:val="PageNumber"/>
        <w:sz w:val="20"/>
        <w:rFonts w:cs="Segoe UI"/>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60</w:t>
    </w:r>
    <w:r>
      <w:rPr>
        <w:rStyle w:val="PageNumber"/>
        <w:sz w:val="20"/>
        <w:rFonts w:cs="Segoe UI"/>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4130" w:leader="none"/>
      </w:tabs>
      <w:spacing w:before="0" w:after="0"/>
      <w:rPr>
        <w:rFonts w:cs="Segoe UI"/>
        <w:sz w:val="20"/>
      </w:rPr>
    </w:pPr>
    <w:r>
      <w:rPr/>
      <mc:AlternateContent>
        <mc:Choice Requires="wps">
          <w:drawing>
            <wp:inline distT="0" distB="0" distL="0" distR="0">
              <wp:extent cx="5029200" cy="1270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57</w:t>
    </w:r>
    <w:r>
      <w:rPr>
        <w:rStyle w:val="PageNumber"/>
        <w:sz w:val="20"/>
        <w:rFonts w:cs="Segoe UI"/>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64</w:t>
    </w:r>
    <w:r>
      <w:rPr>
        <w:rStyle w:val="PageNumber"/>
        <w:sz w:val="20"/>
        <w:rFonts w:cs="Segoe UI"/>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4130" w:leader="none"/>
      </w:tabs>
      <w:spacing w:before="0" w:after="0"/>
      <w:rPr>
        <w:rFonts w:cs="Segoe UI"/>
        <w:sz w:val="20"/>
      </w:rPr>
    </w:pPr>
    <w:r>
      <w:rPr/>
      <mc:AlternateContent>
        <mc:Choice Requires="wps">
          <w:drawing>
            <wp:inline distT="0" distB="0" distL="0" distR="0">
              <wp:extent cx="5029200" cy="1270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61</w:t>
    </w:r>
    <w:r>
      <w:rPr>
        <w:rStyle w:val="PageNumber"/>
        <w:sz w:val="20"/>
        <w:rFonts w:cs="Segoe UI"/>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3</w:t>
    </w:r>
    <w:r>
      <w:rPr>
        <w:rStyle w:val="PageNumber"/>
        <w:sz w:val="20"/>
        <w:rFonts w:cs="Segoe UI"/>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14130" w:leader="none"/>
      </w:tabs>
      <w:spacing w:before="0" w:after="0"/>
      <w:rPr>
        <w:rFonts w:cs="Segoe UI"/>
        <w:sz w:val="20"/>
      </w:rPr>
    </w:pPr>
    <w:r>
      <w:rPr/>
      <mc:AlternateContent>
        <mc:Choice Requires="wps">
          <w:drawing>
            <wp:inline distT="0" distB="0" distL="0" distR="0">
              <wp:extent cx="5029200" cy="1270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w:t>
    </w:r>
    <w:r>
      <w:rPr>
        <w:rStyle w:val="PageNumber"/>
        <w:sz w:val="20"/>
        <w:rFonts w:cs="Segoe UI"/>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4</w:t>
    </w:r>
    <w:r>
      <w:rPr>
        <w:rStyle w:val="PageNumber"/>
        <w:sz w:val="20"/>
        <w:rFonts w:cs="Segoe UI"/>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w:t>
    </w:r>
    <w:r>
      <w:rPr>
        <w:rStyle w:val="PageNumber"/>
        <w:sz w:val="20"/>
        <w:rFonts w:cs="Segoe UI"/>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13</w:t>
    </w:r>
    <w:r>
      <w:rPr>
        <w:rStyle w:val="PageNumber"/>
        <w:sz w:val="20"/>
        <w:rFonts w:cs="Segoe UI"/>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5</w:t>
    </w:r>
    <w:r>
      <w:rPr>
        <w:rStyle w:val="PageNumber"/>
        <w:sz w:val="20"/>
        <w:rFonts w:cs="Segoe UI"/>
      </w:rPr>
      <w:fldChar w:fldCharType="end"/>
    </w:r>
  </w:p>
  <w:p>
    <w:pPr>
      <w:pStyle w:val="Normal"/>
      <w:widowControl/>
      <w:suppressAutoHyphens w:val="true"/>
      <w:bidi w:val="0"/>
      <w:spacing w:lineRule="auto" w:line="276" w:before="0" w:after="120"/>
      <w:jc w:val="both"/>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 xml:space="preserve">Page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10</w:t>
    </w:r>
    <w:r>
      <w:rPr>
        <w:rStyle w:val="PageNumber"/>
        <w:sz w:val="20"/>
        <w:rFonts w:cs="Segoe UI"/>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02920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xml:space="preserve">– Final Report </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w:t>
    </w:r>
    <w:r>
      <w:rPr>
        <w:rStyle w:val="PageNumber"/>
        <w:sz w:val="20"/>
        <w:rFonts w:cs="Segoe UI"/>
      </w:rPr>
      <w:fldChar w:fldCharType="end"/>
    </w:r>
  </w:p>
  <w:p>
    <w:pPr>
      <w:pStyle w:val="Normal"/>
      <w:widowControl/>
      <w:suppressAutoHyphens w:val="true"/>
      <w:bidi w:val="0"/>
      <w:spacing w:lineRule="auto" w:line="276" w:before="0" w:after="120"/>
      <w:jc w:val="both"/>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Page</w:t>
    </w:r>
    <w:r>
      <w:rPr>
        <w:rStyle w:val="PageNumber"/>
        <w:rFonts w:cs="Segoe UI"/>
        <w:sz w:val="20"/>
      </w:rPr>
      <w:t xml:space="preserve"> </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6</w:t>
    </w:r>
    <w:r>
      <w:rPr>
        <w:rStyle w:val="PageNumber"/>
        <w:sz w:val="20"/>
        <w:rFonts w:cs="Segoe UI"/>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9360" w:leader="none"/>
      </w:tabs>
      <w:spacing w:before="0" w:after="0"/>
      <w:rPr>
        <w:rFonts w:cs="Segoe UI"/>
        <w:sz w:val="20"/>
      </w:rPr>
    </w:pPr>
    <w:r>
      <w:rPr/>
      <mc:AlternateContent>
        <mc:Choice Requires="wps">
          <w:drawing>
            <wp:inline distT="0" distB="0" distL="0" distR="0">
              <wp:extent cx="5029200" cy="1270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02920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395.95pt;height:0.95pt;mso-wrap-style:none;v-text-anchor:middle;mso-position-horizontal:center;mso-position-vertical:top">
              <v:fill o:detectmouseclick="t" type="solid" color2="#7f7f7f"/>
              <v:stroke color="#3465a4" joinstyle="round" endcap="flat"/>
              <w10:wrap type="topAndBottom"/>
            </v:rect>
          </w:pict>
        </mc:Fallback>
      </mc:AlternateContent>
    </w:r>
    <w:r>
      <w:rPr>
        <w:rStyle w:val="PageNumber"/>
        <w:rFonts w:cs="Segoe UI"/>
        <w:b/>
        <w:color w:themeColor="accent1" w:themeShade="bf" w:val="2E74B5"/>
        <w:sz w:val="20"/>
      </w:rPr>
      <w:t xml:space="preserve"> </w:t>
    </w:r>
    <w:r>
      <w:rPr>
        <w:rStyle w:val="PageNumber"/>
        <w:rFonts w:cs="Segoe UI"/>
        <w:b/>
        <w:color w:themeColor="accent1" w:themeShade="bf" w:val="2E74B5"/>
        <w:sz w:val="20"/>
      </w:rPr>
      <w:t xml:space="preserve">Simulation Models for STAs </w:t>
    </w:r>
    <w:r>
      <w:rPr>
        <w:rStyle w:val="PageNumber"/>
        <w:rFonts w:cs="Segoe UI"/>
        <w:sz w:val="20"/>
      </w:rPr>
      <w:t>– Final Report</w:t>
    </w:r>
    <w:r>
      <w:rPr>
        <w:rStyle w:val="PageNumber"/>
        <w:rFonts w:cs="Segoe UI"/>
        <w:i/>
        <w:sz w:val="20"/>
      </w:rPr>
      <w:tab/>
    </w:r>
    <w:r>
      <w:rPr>
        <w:rStyle w:val="PageNumber"/>
        <w:rFonts w:cs="Segoe UI"/>
        <w:color w:val="808080"/>
        <w:sz w:val="20"/>
      </w:rPr>
      <w:t>Page A-</w:t>
    </w:r>
    <w:r>
      <w:rPr>
        <w:rStyle w:val="PageNumber"/>
        <w:rFonts w:cs="Segoe UI"/>
        <w:sz w:val="20"/>
      </w:rPr>
      <w:fldChar w:fldCharType="begin"/>
    </w:r>
    <w:r>
      <w:rPr>
        <w:rStyle w:val="PageNumber"/>
        <w:sz w:val="20"/>
        <w:rFonts w:cs="Segoe UI"/>
      </w:rPr>
      <w:instrText xml:space="preserve"> PAGE </w:instrText>
    </w:r>
    <w:r>
      <w:rPr>
        <w:rStyle w:val="PageNumber"/>
        <w:sz w:val="20"/>
        <w:rFonts w:cs="Segoe UI"/>
      </w:rPr>
      <w:fldChar w:fldCharType="separate"/>
    </w:r>
    <w:r>
      <w:rPr>
        <w:rStyle w:val="PageNumber"/>
        <w:sz w:val="20"/>
        <w:rFonts w:cs="Segoe UI"/>
      </w:rPr>
      <w:t>17</w:t>
    </w:r>
    <w:r>
      <w:rPr>
        <w:rStyle w:val="PageNumber"/>
        <w:sz w:val="20"/>
        <w:rFonts w:cs="Segoe UI"/>
      </w:rPr>
      <w:fldChar w:fldCharType="end"/>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1 – Introduction</w:t>
    </w:r>
  </w:p>
  <w:p>
    <w:pPr>
      <w:pStyle w:val="Header"/>
      <w:rPr/>
    </w:pPr>
    <w:r>
      <w:rPr/>
      <mc:AlternateContent>
        <mc:Choice Requires="wps">
          <w:drawing>
            <wp:inline distT="0" distB="0" distL="0" distR="0">
              <wp:extent cx="908685" cy="1270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1 – Introduction</w:t>
    </w:r>
  </w:p>
  <w:p>
    <w:pPr>
      <w:pStyle w:val="Header"/>
      <w:rPr/>
    </w:pPr>
    <w:r>
      <w:rPr/>
      <mc:AlternateContent>
        <mc:Choice Requires="wps">
          <w:drawing>
            <wp:inline distT="0" distB="0" distL="0" distR="0">
              <wp:extent cx="908685" cy="1270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0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0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2 – MODELING PHOSPHORUS BIOGEOCHEMISTRY IN STA WETLANDS</w:t>
    </w:r>
  </w:p>
  <w:p>
    <w:pPr>
      <w:pStyle w:val="Header"/>
      <w:rPr/>
    </w:pPr>
    <w:r>
      <w:rPr/>
      <mc:AlternateContent>
        <mc:Choice Requires="wps">
          <w:drawing>
            <wp:inline distT="0" distB="0" distL="0" distR="0">
              <wp:extent cx="908685" cy="1270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bookmarkStart w:id="112" w:name="_Hlk181367174"/>
    <w:r>
      <w:rPr/>
      <w:t>SECTION 2 – MODELING PHOSPHORUS BIOGEOCHEMISTRY IN STA WETLANDS</w:t>
    </w:r>
    <w:bookmarkEnd w:id="112"/>
  </w:p>
  <w:p>
    <w:pPr>
      <w:pStyle w:val="Header"/>
      <w:rPr/>
    </w:pPr>
    <w:r>
      <w:rPr/>
      <mc:AlternateContent>
        <mc:Choice Requires="wps">
          <w:drawing>
            <wp:inline distT="0" distB="0" distL="0" distR="0">
              <wp:extent cx="908685" cy="1270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3 – CASM-STA Model Development</w:t>
    </w:r>
  </w:p>
  <w:p>
    <w:pPr>
      <w:pStyle w:val="Header"/>
      <w:rPr/>
    </w:pPr>
    <w:r>
      <w:rPr/>
      <mc:AlternateContent>
        <mc:Choice Requires="wps">
          <w:drawing>
            <wp:inline distT="0" distB="0" distL="0" distR="0">
              <wp:extent cx="908685" cy="1270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3 – CASM-STA MODEL DEVELOPMENT</w:t>
    </w:r>
  </w:p>
  <w:p>
    <w:pPr>
      <w:pStyle w:val="Header"/>
      <w:rPr/>
    </w:pPr>
    <w:r>
      <w:rPr/>
      <mc:AlternateContent>
        <mc:Choice Requires="wps">
          <w:drawing>
            <wp:inline distT="0" distB="0" distL="0" distR="0">
              <wp:extent cx="908685" cy="1270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3 – CASM-STA Model Development</w:t>
    </w:r>
  </w:p>
  <w:p>
    <w:pPr>
      <w:pStyle w:val="Header"/>
      <w:rPr/>
    </w:pPr>
    <w:r>
      <w:rPr/>
      <mc:AlternateContent>
        <mc:Choice Requires="wps">
          <w:drawing>
            <wp:inline distT="0" distB="0" distL="0" distR="0">
              <wp:extent cx="908685" cy="1270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3 – CASM-STA MODEL DEVELOPMENT</w:t>
    </w:r>
  </w:p>
  <w:p>
    <w:pPr>
      <w:pStyle w:val="Header"/>
      <w:rPr/>
    </w:pPr>
    <w:r>
      <w:rPr/>
      <mc:AlternateContent>
        <mc:Choice Requires="wps">
          <w:drawing>
            <wp:inline distT="0" distB="0" distL="0" distR="0">
              <wp:extent cx="908685" cy="1270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3 – CASM-STA Model Development</w:t>
    </w:r>
  </w:p>
  <w:p>
    <w:pPr>
      <w:pStyle w:val="Header"/>
      <w:rPr/>
    </w:pPr>
    <w:r>
      <w:rPr/>
      <mc:AlternateContent>
        <mc:Choice Requires="wps">
          <w:drawing>
            <wp:inline distT="0" distB="0" distL="0" distR="0">
              <wp:extent cx="908685" cy="1270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3 – CASM-STA MODEL DEVELOPMENT</w:t>
    </w:r>
  </w:p>
  <w:p>
    <w:pPr>
      <w:pStyle w:val="Header"/>
      <w:rPr/>
    </w:pPr>
    <w:r>
      <w:rPr/>
      <mc:AlternateContent>
        <mc:Choice Requires="wps">
          <w:drawing>
            <wp:inline distT="0" distB="0" distL="0" distR="0">
              <wp:extent cx="908685" cy="1270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p>
    <w:pPr>
      <w:pStyle w:val="Normal"/>
      <w:widowControl/>
      <w:suppressAutoHyphens w:val="true"/>
      <w:bidi w:val="0"/>
      <w:spacing w:lineRule="auto" w:line="276" w:before="0" w:after="120"/>
      <w:jc w:val="both"/>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4 – CONCLUSIONS &amp; MANAGEMENT IMPLICATIONS</w:t>
    </w:r>
  </w:p>
  <w:p>
    <w:pPr>
      <w:pStyle w:val="Header"/>
      <w:rPr/>
    </w:pPr>
    <w:r>
      <w:rPr/>
      <mc:AlternateContent>
        <mc:Choice Requires="wps">
          <w:drawing>
            <wp:inline distT="0" distB="0" distL="0" distR="0">
              <wp:extent cx="908685" cy="1270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3 – CASM-STA MODEL DEVELOPMENT</w:t>
    </w:r>
  </w:p>
  <w:p>
    <w:pPr>
      <w:pStyle w:val="Header"/>
      <w:rPr/>
    </w:pPr>
    <w:r>
      <w:rPr/>
      <mc:AlternateContent>
        <mc:Choice Requires="wps">
          <w:drawing>
            <wp:inline distT="0" distB="0" distL="0" distR="0">
              <wp:extent cx="908685" cy="1270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908640" cy="12600"/>
                      </a:xfrm>
                      <a:prstGeom prst="rect">
                        <a:avLst/>
                      </a:prstGeom>
                      <a:solidFill>
                        <a:srgbClr val="808080"/>
                      </a:solidFill>
                      <a:ln w="0">
                        <a:noFill/>
                      </a:ln>
                    </wps:spPr>
                    <wps:bodyPr/>
                  </wps:wsp>
                </a:graphicData>
              </a:graphic>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p>
    <w:pPr>
      <w:pStyle w:val="Normal"/>
      <w:widowControl/>
      <w:suppressAutoHyphens w:val="true"/>
      <w:bidi w:val="0"/>
      <w:spacing w:lineRule="auto" w:line="276" w:before="0" w:after="120"/>
      <w:jc w:val="both"/>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SECTION 5 – References</w:t>
    </w:r>
  </w:p>
  <w:p>
    <w:pPr>
      <w:pStyle w:val="Header"/>
      <w:rPr/>
    </w:pPr>
    <w:r>
      <w:rPr/>
      <mc:AlternateContent>
        <mc:Choice Requires="wps">
          <w:drawing>
            <wp:inline distT="0" distB="0" distL="0" distR="0">
              <wp:extent cx="908685" cy="1270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Appendices</w:t>
    </w:r>
  </w:p>
  <w:p>
    <w:pPr>
      <w:pStyle w:val="Header"/>
      <w:rPr/>
    </w:pPr>
    <w:r>
      <w:rPr/>
      <mc:AlternateContent>
        <mc:Choice Requires="wps">
          <w:drawing>
            <wp:inline distT="0" distB="0" distL="0" distR="0">
              <wp:extent cx="908685" cy="1270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908640" cy="12600"/>
                      </a:xfrm>
                      <a:prstGeom prst="rect">
                        <a:avLst/>
                      </a:prstGeom>
                      <a:solidFill>
                        <a:srgbClr val="808080"/>
                      </a:solidFill>
                      <a:ln w="0">
                        <a:noFill/>
                      </a:ln>
                    </wps:spPr>
                    <wps:bodyPr/>
                  </wps:wsp>
                </a:graphicData>
              </a:graphic>
              <wp14:sizeRelH relativeFrom="page">
                <wp14:pctWidth>100000</wp14:pctWidth>
              </wp14:sizeRelH>
            </wp:inline>
          </w:drawing>
        </mc:Choice>
        <mc:Fallback>
          <w:pict>
            <v:rect id="shape_0" fillcolor="gray" stroked="f" o:allowincell="f" style="position:absolute;margin-left:0pt;margin-top:-1.05pt;width:71.5pt;height:0.95pt;mso-wrap-style:none;v-text-anchor:middle;mso-position-horizontal:center;mso-position-vertical:top">
              <v:fill o:detectmouseclick="t" type="solid" color2="#7f7f7f"/>
              <v:stroke color="#3465a4" joinstyle="round" endcap="flat"/>
              <w10:wrap type="topAndBottom"/>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0"/>
      <w:lvlJc w:val="left"/>
      <w:pPr>
        <w:tabs>
          <w:tab w:val="num" w:pos="0"/>
        </w:tabs>
        <w:ind w:left="990" w:hanging="360"/>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1_"/>
      <w:lvlJc w:val="left"/>
      <w:pPr>
        <w:tabs>
          <w:tab w:val="num" w:pos="1440"/>
        </w:tabs>
        <w:ind w:left="1440" w:hanging="720"/>
      </w:pPr>
      <w:rPr/>
    </w:lvl>
    <w:lvl w:ilvl="1">
      <w:start w:val="1"/>
      <w:numFmt w:val="decimal"/>
      <w:lvlText w:val="%2"/>
      <w:lvlJc w:val="left"/>
      <w:pPr>
        <w:tabs>
          <w:tab w:val="num" w:pos="0"/>
        </w:tabs>
        <w:ind w:left="0" w:hanging="0"/>
      </w:pPr>
      <w:rPr/>
    </w:lvl>
    <w:lvl w:ilvl="2">
      <w:start w:val="1"/>
      <w:numFmt w:val="decimal"/>
      <w:lvlText w:val="%3"/>
      <w:lvlJc w:val="left"/>
      <w:pPr>
        <w:tabs>
          <w:tab w:val="num" w:pos="0"/>
        </w:tabs>
        <w:ind w:left="0" w:hanging="0"/>
      </w:pPr>
      <w:rPr/>
    </w:lvl>
    <w:lvl w:ilvl="3">
      <w:start w:val="1"/>
      <w:numFmt w:val="decimal"/>
      <w:lvlText w:val="%4"/>
      <w:lvlJc w:val="left"/>
      <w:pPr>
        <w:tabs>
          <w:tab w:val="num" w:pos="0"/>
        </w:tabs>
        <w:ind w:left="0" w:hanging="0"/>
      </w:pPr>
      <w:rPr/>
    </w:lvl>
    <w:lvl w:ilvl="4">
      <w:start w:val="1"/>
      <w:numFmt w:val="decimal"/>
      <w:lvlText w:val="%5"/>
      <w:lvlJc w:val="left"/>
      <w:pPr>
        <w:tabs>
          <w:tab w:val="num" w:pos="0"/>
        </w:tabs>
        <w:ind w:left="0" w:hanging="0"/>
      </w:pPr>
      <w:rPr/>
    </w:lvl>
    <w:lvl w:ilvl="5">
      <w:start w:val="1"/>
      <w:numFmt w:val="decimal"/>
      <w:lvlText w:val="%6"/>
      <w:lvlJc w:val="left"/>
      <w:pPr>
        <w:tabs>
          <w:tab w:val="num" w:pos="0"/>
        </w:tabs>
        <w:ind w:left="0" w:hanging="0"/>
      </w:pPr>
      <w:rPr/>
    </w:lvl>
    <w:lvl w:ilvl="6">
      <w:start w:val="1"/>
      <w:numFmt w:val="decimal"/>
      <w:lvlText w:val="%7"/>
      <w:lvlJc w:val="left"/>
      <w:pPr>
        <w:tabs>
          <w:tab w:val="num" w:pos="0"/>
        </w:tabs>
        <w:ind w:left="0" w:hanging="0"/>
      </w:pPr>
      <w:rPr/>
    </w:lvl>
    <w:lvl w:ilvl="7">
      <w:start w:val="1"/>
      <w:numFmt w:val="decimal"/>
      <w:lvlText w:val="%8"/>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decimal"/>
      <w:lvlText w:val="%1.0"/>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1440" w:hanging="720"/>
      </w:pPr>
      <w:rPr>
        <w:rFonts w:ascii="Segoe UI" w:hAnsi="Segoe UI" w:cs="Segoe UI"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docVars>
    <w:docVar w:name="__Grammarly_42____i" w:val="H4sIAAAAAAAEAKtWckksSQxILCpxzi/NK1GyMqwFAAEhoTITAAAA"/>
    <w:docVar w:name="__Grammarly_42___1" w:val="H4sIAAAAAAAEAKtWcslP9kxRslIyNDY0NzcwNjE0MzAyNzMzMDNQ0lEKTi0uzszPAykwtKwFAKQX/1AtAAAA"/>
    <w:docVar w:name="EN.InstantFormat" w:val="&lt;ENInstantFormat&gt;&lt;Enabled&gt;1&lt;/Enabled&gt;&lt;ScanUnformatted&gt;1&lt;/ScanUnformatted&gt;&lt;ScanChanges&gt;1&lt;/ScanChanges&gt;&lt;Suspended&gt;1&lt;/Suspended&gt;&lt;/ENInstantFormat&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0" w:semiHidden="1" w:qFormat="1"/>
    <w:lsdException w:name="toc 6" w:uiPriority="0" w:semiHidden="1" w:qFormat="1"/>
    <w:lsdException w:name="toc 7" w:uiPriority="0" w:semiHidden="1" w:qFormat="1"/>
    <w:lsdException w:name="toc 8" w:uiPriority="0" w:semiHidden="1" w:qFormat="1"/>
    <w:lsdException w:name="toc 9" w:uiPriority="0" w:semiHidden="1" w:qFormat="1"/>
    <w:lsdException w:name="Normal Indent" w:semiHidden="1" w:unhideWhenUsed="1"/>
    <w:lsdException w:name="footnote text" w:semiHidden="1" w:unhideWhenUsed="1"/>
    <w:lsdException w:name="annotation text" w:unhideWhenUsed="1" w:qFormat="1"/>
    <w:lsdException w:name="header" w:uiPriority="0" w:qFormat="1"/>
    <w:lsdException w:name="footer" w:qFormat="1"/>
    <w:lsdException w:name="index heading" w:semiHidden="1" w:unhideWhenUsed="1"/>
    <w:lsdException w:name="caption" w:uiPriority="0" w:qFormat="1"/>
    <w:lsdException w:name="table of figures" w:qFormat="1"/>
    <w:lsdException w:name="envelope address" w:semiHidden="1" w:unhideWhenUsed="1"/>
    <w:lsdException w:name="envelope return" w:semiHidden="1" w:unhideWhenUsed="1"/>
    <w:lsdException w:name="footnote reference" w:uiPriority="0" w:semiHidden="1"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uiPriority="0"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20"/>
      <w:jc w:val="both"/>
    </w:pPr>
    <w:rPr>
      <w:rFonts w:ascii="Segoe UI" w:hAnsi="Segoe UI" w:eastAsia="Times New Roman" w:cs="Times New Roman"/>
      <w:color w:val="auto"/>
      <w:kern w:val="0"/>
      <w:sz w:val="22"/>
      <w:szCs w:val="20"/>
      <w:lang w:val="en-US" w:eastAsia="en-US" w:bidi="ar-SA"/>
    </w:rPr>
  </w:style>
  <w:style w:type="paragraph" w:styleId="Heading1">
    <w:name w:val="Heading 1"/>
    <w:next w:val="Normal"/>
    <w:qFormat/>
    <w:pPr>
      <w:keepNext w:val="true"/>
      <w:widowControl/>
      <w:numPr>
        <w:ilvl w:val="0"/>
        <w:numId w:val="1"/>
      </w:numPr>
      <w:bidi w:val="0"/>
      <w:spacing w:lineRule="auto" w:line="276" w:before="120" w:after="240"/>
      <w:jc w:val="center"/>
      <w:outlineLvl w:val="0"/>
    </w:pPr>
    <w:rPr>
      <w:rFonts w:ascii="Arial" w:hAnsi="Arial" w:eastAsia="Times New Roman" w:cs="Times New Roman"/>
      <w:b/>
      <w:caps/>
      <w:color w:themeColor="text1" w:val="000000"/>
      <w:kern w:val="0"/>
      <w:sz w:val="32"/>
      <w:szCs w:val="20"/>
      <w:lang w:val="en-US" w:eastAsia="en-US" w:bidi="ar-SA"/>
    </w:rPr>
  </w:style>
  <w:style w:type="paragraph" w:styleId="Heading2">
    <w:name w:val="Heading 2"/>
    <w:next w:val="Normal"/>
    <w:link w:val="Heading2Char"/>
    <w:qFormat/>
    <w:pPr>
      <w:keepNext w:val="true"/>
      <w:widowControl/>
      <w:numPr>
        <w:ilvl w:val="1"/>
        <w:numId w:val="1"/>
      </w:numPr>
      <w:bidi w:val="0"/>
      <w:spacing w:lineRule="auto" w:line="276" w:before="180" w:after="60"/>
      <w:jc w:val="left"/>
      <w:outlineLvl w:val="1"/>
    </w:pPr>
    <w:rPr>
      <w:rFonts w:ascii="Arial" w:hAnsi="Arial" w:eastAsia="Times New Roman" w:cs="Times New Roman"/>
      <w:b/>
      <w:color w:themeColor="text1" w:val="000000"/>
      <w:kern w:val="0"/>
      <w:sz w:val="24"/>
      <w:szCs w:val="20"/>
      <w:lang w:val="en-US" w:eastAsia="en-US" w:bidi="ar-SA"/>
    </w:rPr>
  </w:style>
  <w:style w:type="paragraph" w:styleId="Heading3">
    <w:name w:val="Heading 3"/>
    <w:next w:val="Normal"/>
    <w:link w:val="Heading3Char"/>
    <w:qFormat/>
    <w:pPr>
      <w:keepNext w:val="true"/>
      <w:widowControl/>
      <w:numPr>
        <w:ilvl w:val="2"/>
        <w:numId w:val="1"/>
      </w:numPr>
      <w:bidi w:val="0"/>
      <w:spacing w:lineRule="auto" w:line="276" w:before="120" w:after="120"/>
      <w:jc w:val="left"/>
      <w:outlineLvl w:val="2"/>
    </w:pPr>
    <w:rPr>
      <w:rFonts w:ascii="Segoe UI" w:hAnsi="Segoe UI" w:eastAsia="Times New Roman" w:cs="Times New Roman"/>
      <w:bCs/>
      <w:i/>
      <w:color w:themeColor="accent1" w:themeShade="bf" w:val="2E74B5"/>
      <w:kern w:val="0"/>
      <w:sz w:val="22"/>
      <w:szCs w:val="22"/>
      <w:lang w:val="en-US" w:eastAsia="en-US" w:bidi="ar-SA"/>
    </w:rPr>
  </w:style>
  <w:style w:type="paragraph" w:styleId="Heading4">
    <w:name w:val="Heading 4"/>
    <w:next w:val="Normal"/>
    <w:qFormat/>
    <w:pPr>
      <w:keepNext w:val="true"/>
      <w:widowControl/>
      <w:numPr>
        <w:ilvl w:val="3"/>
        <w:numId w:val="1"/>
      </w:numPr>
      <w:tabs>
        <w:tab w:val="clear" w:pos="720"/>
        <w:tab w:val="left" w:pos="1800" w:leader="none"/>
      </w:tabs>
      <w:bidi w:val="0"/>
      <w:spacing w:lineRule="auto" w:line="276" w:before="0" w:after="120"/>
      <w:jc w:val="left"/>
      <w:outlineLvl w:val="3"/>
    </w:pPr>
    <w:rPr>
      <w:rFonts w:ascii="Segoe UI" w:hAnsi="Segoe UI" w:eastAsia="Times New Roman" w:cs="Times New Roman"/>
      <w:bCs/>
      <w:color w:val="auto"/>
      <w:kern w:val="0"/>
      <w:sz w:val="22"/>
      <w:szCs w:val="22"/>
      <w:u w:val="single"/>
      <w:lang w:val="en-US" w:eastAsia="en-US" w:bidi="ar-SA"/>
    </w:rPr>
  </w:style>
  <w:style w:type="paragraph" w:styleId="Heading5">
    <w:name w:val="Heading 5"/>
    <w:basedOn w:val="Normal"/>
    <w:next w:val="Normal"/>
    <w:qFormat/>
    <w:pPr>
      <w:keepNext w:val="true"/>
      <w:numPr>
        <w:ilvl w:val="4"/>
        <w:numId w:val="1"/>
      </w:numPr>
      <w:tabs>
        <w:tab w:val="clear" w:pos="720"/>
        <w:tab w:val="center" w:pos="4680" w:leader="none"/>
      </w:tabs>
      <w:outlineLvl w:val="4"/>
    </w:pPr>
    <w:rPr>
      <w:rFonts w:ascii="CG Times" w:hAnsi="CG Times"/>
      <w:b/>
      <w:bCs/>
      <w:sz w:val="48"/>
      <w:szCs w:val="48"/>
    </w:rPr>
  </w:style>
  <w:style w:type="paragraph" w:styleId="Heading6">
    <w:name w:val="Heading 6"/>
    <w:basedOn w:val="Normal"/>
    <w:next w:val="Normal"/>
    <w:qFormat/>
    <w:pPr>
      <w:keepNext w:val="true"/>
      <w:numPr>
        <w:ilvl w:val="5"/>
        <w:numId w:val="1"/>
      </w:numPr>
      <w:jc w:val="center"/>
      <w:outlineLvl w:val="5"/>
    </w:pPr>
    <w:rPr>
      <w:rFonts w:ascii="Garamond" w:hAnsi="Garamond"/>
      <w:b/>
      <w:bCs/>
      <w:sz w:val="48"/>
    </w:rPr>
  </w:style>
  <w:style w:type="paragraph" w:styleId="Heading7">
    <w:name w:val="Heading 7"/>
    <w:basedOn w:val="Normal"/>
    <w:next w:val="Normal"/>
    <w:qFormat/>
    <w:pPr>
      <w:keepNext w:val="true"/>
      <w:numPr>
        <w:ilvl w:val="6"/>
        <w:numId w:val="1"/>
      </w:numPr>
      <w:tabs>
        <w:tab w:val="clear" w:pos="720"/>
        <w:tab w:val="center" w:pos="4680" w:leader="none"/>
      </w:tabs>
      <w:jc w:val="center"/>
      <w:outlineLvl w:val="6"/>
    </w:pPr>
    <w:rPr>
      <w:rFonts w:ascii="Univers" w:hAnsi="Univers"/>
      <w:b/>
      <w:bCs/>
    </w:rPr>
  </w:style>
  <w:style w:type="paragraph" w:styleId="Heading8">
    <w:name w:val="Heading 8"/>
    <w:basedOn w:val="Normal"/>
    <w:next w:val="Normal"/>
    <w:qFormat/>
    <w:pPr>
      <w:keepNext w:val="true"/>
      <w:numPr>
        <w:ilvl w:val="7"/>
        <w:numId w:val="1"/>
      </w:numPr>
      <w:tabs>
        <w:tab w:val="clear" w:pos="720"/>
        <w:tab w:val="center" w:pos="4680" w:leader="none"/>
      </w:tabs>
      <w:jc w:val="center"/>
      <w:outlineLvl w:val="7"/>
    </w:pPr>
    <w:rPr>
      <w:rFonts w:ascii="Univers" w:hAnsi="Univers"/>
      <w:b/>
      <w:bCs/>
    </w:rPr>
  </w:style>
  <w:style w:type="paragraph" w:styleId="Heading9">
    <w:name w:val="Heading 9"/>
    <w:basedOn w:val="Normal"/>
    <w:next w:val="Normal"/>
    <w:qFormat/>
    <w:pPr>
      <w:keepNext w:val="true"/>
      <w:numPr>
        <w:ilvl w:val="8"/>
        <w:numId w:val="1"/>
      </w:numPr>
      <w:outlineLvl w:val="8"/>
    </w:pPr>
    <w:rPr>
      <w:rFonts w:ascii="Univers" w:hAnsi="Univers"/>
      <w:b/>
      <w:bCs/>
    </w:rPr>
  </w:style>
  <w:style w:type="character" w:styleId="DefaultParagraphFont" w:default="1">
    <w:name w:val="Default Paragraph Font"/>
    <w:uiPriority w:val="1"/>
    <w:semiHidden/>
    <w:unhideWhenUsed/>
    <w:qFormat/>
    <w:rPr/>
  </w:style>
  <w:style w:type="character" w:styleId="annotationreference">
    <w:name w:val="annotation reference"/>
    <w:unhideWhenUsed/>
    <w:qFormat/>
    <w:rPr>
      <w:sz w:val="16"/>
      <w:szCs w:val="16"/>
    </w:rPr>
  </w:style>
  <w:style w:type="character" w:styleId="Emphasis">
    <w:name w:val="Emphasis"/>
    <w:uiPriority w:val="20"/>
    <w:qFormat/>
    <w:rPr>
      <w:i/>
      <w:iCs/>
    </w:rPr>
  </w:style>
  <w:style w:type="character" w:styleId="FollowedHyperlink">
    <w:name w:val="FollowedHyperlink"/>
    <w:qFormat/>
    <w:rPr>
      <w:color w:val="800080"/>
      <w:u w:val="single"/>
    </w:rPr>
  </w:style>
  <w:style w:type="character" w:styleId="FootnoteCharacters">
    <w:name w:val="Footnote Characters"/>
    <w:semiHidden/>
    <w:qFormat/>
    <w:rPr/>
  </w:style>
  <w:style w:type="character" w:styleId="Hyperlink">
    <w:name w:val="Hyperlink"/>
    <w:uiPriority w:val="99"/>
    <w:qFormat/>
    <w:rPr>
      <w:color w:val="0000FF"/>
      <w:u w:val="single"/>
    </w:rPr>
  </w:style>
  <w:style w:type="character" w:styleId="PageNumber">
    <w:name w:val="Page Number"/>
    <w:basedOn w:val="DefaultParagraphFont"/>
    <w:qFormat/>
    <w:rPr/>
  </w:style>
  <w:style w:type="character" w:styleId="BalloonTextChar" w:customStyle="1">
    <w:name w:val="Balloon Text Char"/>
    <w:link w:val="BalloonText"/>
    <w:uiPriority w:val="99"/>
    <w:semiHidden/>
    <w:qFormat/>
    <w:rPr>
      <w:rFonts w:ascii="Tahoma" w:hAnsi="Tahoma" w:cs="Tahoma"/>
      <w:sz w:val="16"/>
      <w:szCs w:val="16"/>
    </w:rPr>
  </w:style>
  <w:style w:type="character" w:styleId="NoSpacingChar" w:customStyle="1">
    <w:name w:val="No Spacing Char"/>
    <w:link w:val="NoSpacing"/>
    <w:uiPriority w:val="1"/>
    <w:qFormat/>
    <w:rPr>
      <w:rFonts w:ascii="Calibri" w:hAnsi="Calibri" w:eastAsia="MS Mincho" w:cs="Arial"/>
      <w:sz w:val="22"/>
      <w:szCs w:val="22"/>
      <w:lang w:eastAsia="ja-JP"/>
    </w:rPr>
  </w:style>
  <w:style w:type="character" w:styleId="Caption-tableChar" w:customStyle="1">
    <w:name w:val="Caption-table Char"/>
    <w:link w:val="Caption-table"/>
    <w:qFormat/>
    <w:locked/>
    <w:rPr>
      <w:rFonts w:ascii="Arial Narrow" w:hAnsi="Arial Narrow"/>
      <w:sz w:val="22"/>
    </w:rPr>
  </w:style>
  <w:style w:type="character" w:styleId="FooterChar" w:customStyle="1">
    <w:name w:val="Footer Char"/>
    <w:link w:val="Footer"/>
    <w:uiPriority w:val="99"/>
    <w:qFormat/>
    <w:rPr>
      <w:rFonts w:ascii="Segoe UI" w:hAnsi="Segoe UI"/>
      <w:sz w:val="22"/>
    </w:rPr>
  </w:style>
  <w:style w:type="character" w:styleId="Heading3Char" w:customStyle="1">
    <w:name w:val="Heading 3 Char"/>
    <w:link w:val="Heading3"/>
    <w:qFormat/>
    <w:rPr>
      <w:rFonts w:ascii="Segoe UI" w:hAnsi="Segoe UI"/>
      <w:bCs/>
      <w:i/>
      <w:color w:themeColor="accent1" w:themeShade="bf" w:val="2E74B5"/>
      <w:sz w:val="22"/>
      <w:szCs w:val="22"/>
    </w:rPr>
  </w:style>
  <w:style w:type="character" w:styleId="QuoteChar" w:customStyle="1">
    <w:name w:val="Quote Char"/>
    <w:link w:val="Quote"/>
    <w:uiPriority w:val="29"/>
    <w:qFormat/>
    <w:rPr>
      <w:rFonts w:ascii="Segoe UI" w:hAnsi="Segoe UI"/>
      <w:i/>
      <w:iCs/>
      <w:color w:val="000000"/>
      <w:sz w:val="22"/>
    </w:rPr>
  </w:style>
  <w:style w:type="character" w:styleId="BookTitle1" w:customStyle="1">
    <w:name w:val="Book Title1"/>
    <w:uiPriority w:val="33"/>
    <w:qFormat/>
    <w:rPr>
      <w:rFonts w:ascii="Arial" w:hAnsi="Arial"/>
      <w:bCs/>
      <w:color w:val="000000"/>
      <w:spacing w:val="0"/>
      <w:position w:val="0"/>
      <w:sz w:val="22"/>
      <w:sz w:val="22"/>
      <w:vertAlign w:val="baseline"/>
      <w14:shadow w14:blurRad="0" w14:dist="0" w14:dir="0" w14:sx="0" w14:sy="0" w14:kx="0" w14:ky="0" w14:algn="none">
        <w14:srgbClr w14:val="000000"/>
      </w14:shadow>
    </w:rPr>
  </w:style>
  <w:style w:type="character" w:styleId="CommentTextChar" w:customStyle="1">
    <w:name w:val="Comment Text Char"/>
    <w:basedOn w:val="DefaultParagraphFont"/>
    <w:link w:val="AnnotationText"/>
    <w:uiPriority w:val="99"/>
    <w:qFormat/>
    <w:rPr>
      <w:rFonts w:ascii="Segoe UI" w:hAnsi="Segoe UI"/>
    </w:rPr>
  </w:style>
  <w:style w:type="character" w:styleId="CommentSubjectChar" w:customStyle="1">
    <w:name w:val="Comment Subject Char"/>
    <w:link w:val="annotationsubject"/>
    <w:uiPriority w:val="99"/>
    <w:semiHidden/>
    <w:qFormat/>
    <w:rPr>
      <w:rFonts w:ascii="Segoe UI" w:hAnsi="Segoe UI"/>
      <w:b/>
      <w:bCs/>
    </w:rPr>
  </w:style>
  <w:style w:type="character" w:styleId="Heading2Char" w:customStyle="1">
    <w:name w:val="Heading 2 Char"/>
    <w:link w:val="Heading2"/>
    <w:qFormat/>
    <w:rPr>
      <w:rFonts w:ascii="Arial" w:hAnsi="Arial"/>
      <w:b/>
      <w:color w:themeColor="text1" w:val="000000"/>
      <w:sz w:val="24"/>
    </w:rPr>
  </w:style>
  <w:style w:type="character" w:styleId="UnresolvedMention1" w:customStyle="1">
    <w:name w:val="Unresolved Mention1"/>
    <w:basedOn w:val="DefaultParagraphFont"/>
    <w:uiPriority w:val="99"/>
    <w:qFormat/>
    <w:rPr>
      <w:color w:val="808080"/>
      <w:shd w:fill="E6E6E6" w:val="clear"/>
    </w:rPr>
  </w:style>
  <w:style w:type="character" w:styleId="CaptionChar" w:customStyle="1">
    <w:name w:val="Caption Char"/>
    <w:basedOn w:val="DefaultParagraphFont"/>
    <w:link w:val="Caption"/>
    <w:qFormat/>
    <w:rPr>
      <w:rFonts w:ascii="Segoe UI" w:hAnsi="Segoe UI"/>
      <w:b/>
    </w:rPr>
  </w:style>
  <w:style w:type="character" w:styleId="Mention1" w:customStyle="1">
    <w:name w:val="Mention1"/>
    <w:basedOn w:val="DefaultParagraphFont"/>
    <w:uiPriority w:val="99"/>
    <w:semiHidden/>
    <w:unhideWhenUsed/>
    <w:qFormat/>
    <w:rPr>
      <w:color w:val="2B579A"/>
      <w:shd w:fill="E6E6E6" w:val="clear"/>
    </w:rPr>
  </w:style>
  <w:style w:type="character" w:styleId="UnresolvedMention2" w:customStyle="1">
    <w:name w:val="Unresolved Mention2"/>
    <w:basedOn w:val="DefaultParagraphFont"/>
    <w:uiPriority w:val="99"/>
    <w:unhideWhenUsed/>
    <w:qFormat/>
    <w:rPr>
      <w:color w:val="808080"/>
      <w:shd w:fill="E6E6E6" w:val="clear"/>
    </w:rPr>
  </w:style>
  <w:style w:type="character" w:styleId="BodyTextIndentChar" w:customStyle="1">
    <w:name w:val="Body Text Indent Char"/>
    <w:basedOn w:val="DefaultParagraphFont"/>
    <w:uiPriority w:val="99"/>
    <w:qFormat/>
    <w:rPr>
      <w:rFonts w:ascii="Calibri" w:hAnsi="Calibri" w:eastAsia="MS PGothic"/>
      <w:color w:val="000000"/>
    </w:rPr>
  </w:style>
  <w:style w:type="character" w:styleId="E2BodyTextCharChar" w:customStyle="1">
    <w:name w:val="E2 Body Text Char Char"/>
    <w:link w:val="E2BodyText"/>
    <w:qFormat/>
    <w:rPr>
      <w:rFonts w:ascii="Calibri" w:hAnsi="Calibri"/>
      <w:sz w:val="22"/>
      <w:szCs w:val="22"/>
    </w:rPr>
  </w:style>
  <w:style w:type="character" w:styleId="E2Source-NotesChar" w:customStyle="1">
    <w:name w:val="E2 Source-Notes Char"/>
    <w:link w:val="E2Source-Notes"/>
    <w:qFormat/>
    <w:rPr>
      <w:rFonts w:ascii="Calibri" w:hAnsi="Calibri"/>
      <w:sz w:val="16"/>
      <w:szCs w:val="16"/>
    </w:rPr>
  </w:style>
  <w:style w:type="character" w:styleId="BodyTextChar" w:customStyle="1">
    <w:name w:val="Body Text Char"/>
    <w:basedOn w:val="DefaultParagraphFont"/>
    <w:qFormat/>
    <w:rPr>
      <w:rFonts w:ascii="Calibri" w:hAnsi="Calibri"/>
      <w:sz w:val="22"/>
    </w:rPr>
  </w:style>
  <w:style w:type="character" w:styleId="CaptionChar1" w:customStyle="1">
    <w:name w:val="Caption Char1"/>
    <w:basedOn w:val="DefaultParagraphFont"/>
    <w:qFormat/>
    <w:rPr>
      <w:rFonts w:ascii="Segoe UI" w:hAnsi="Segoe UI" w:eastAsia="Times New Roman" w:cs="Times New Roman"/>
      <w:b/>
      <w:sz w:val="18"/>
      <w:szCs w:val="20"/>
    </w:rPr>
  </w:style>
  <w:style w:type="character" w:styleId="BookTitle2" w:customStyle="1">
    <w:name w:val="Book Title2"/>
    <w:uiPriority w:val="33"/>
    <w:qFormat/>
    <w:rPr>
      <w:rFonts w:ascii="Arial" w:hAnsi="Arial"/>
      <w:bCs/>
      <w:color w:val="000000"/>
      <w:spacing w:val="0"/>
      <w:position w:val="0"/>
      <w:sz w:val="22"/>
      <w:sz w:val="22"/>
      <w:vertAlign w:val="baseline"/>
      <w14:shadow w14:blurRad="0" w14:dist="0" w14:dir="0" w14:sx="0" w14:sy="0" w14:kx="0" w14:ky="0" w14:algn="none">
        <w14:srgbClr w14:val="000000"/>
      </w14:shadow>
    </w:rPr>
  </w:style>
  <w:style w:type="character" w:styleId="UnresolvedMention3" w:customStyle="1">
    <w:name w:val="Unresolved Mention3"/>
    <w:basedOn w:val="DefaultParagraphFont"/>
    <w:uiPriority w:val="99"/>
    <w:semiHidden/>
    <w:unhideWhenUsed/>
    <w:qFormat/>
    <w:rPr>
      <w:color w:val="605E5C"/>
      <w:shd w:fill="E1DFDD" w:val="clear"/>
    </w:rPr>
  </w:style>
  <w:style w:type="character" w:styleId="UnresolvedMention4" w:customStyle="1">
    <w:name w:val="Unresolved Mention4"/>
    <w:basedOn w:val="DefaultParagraphFont"/>
    <w:uiPriority w:val="99"/>
    <w:semiHidden/>
    <w:unhideWhenUsed/>
    <w:qFormat/>
    <w:rPr>
      <w:color w:val="605E5C"/>
      <w:shd w:fill="E1DFDD" w:val="clear"/>
    </w:rPr>
  </w:style>
  <w:style w:type="character" w:styleId="UnresolvedMention">
    <w:name w:val="Unresolved Mention"/>
    <w:basedOn w:val="DefaultParagraphFont"/>
    <w:uiPriority w:val="99"/>
    <w:semiHidden/>
    <w:unhideWhenUsed/>
    <w:qFormat/>
    <w:rsid w:val="005c75ae"/>
    <w:rPr>
      <w:color w:val="605E5C"/>
      <w:shd w:fill="E1DFDD" w:val="clear"/>
    </w:rPr>
  </w:style>
  <w:style w:type="character" w:styleId="EndnoteCharacters">
    <w:name w:val="Endnote Characters"/>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lineRule="auto" w:line="240"/>
      <w:jc w:val="left"/>
    </w:pPr>
    <w:rPr>
      <w:rFonts w:ascii="Calibri" w:hAnsi="Calibri"/>
    </w:rPr>
  </w:style>
  <w:style w:type="paragraph" w:styleId="List">
    <w:name w:val="List"/>
    <w:basedOn w:val="BodyText"/>
    <w:pPr/>
    <w:rPr>
      <w:rFonts w:cs="Noto Sans Devanagari"/>
    </w:rPr>
  </w:style>
  <w:style w:type="paragraph" w:styleId="Caption">
    <w:name w:val="Caption"/>
    <w:next w:val="Normal"/>
    <w:link w:val="CaptionChar"/>
    <w:qFormat/>
    <w:pPr>
      <w:widowControl/>
      <w:bidi w:val="0"/>
      <w:spacing w:lineRule="auto" w:line="276" w:before="0" w:after="60"/>
      <w:jc w:val="center"/>
    </w:pPr>
    <w:rPr>
      <w:rFonts w:ascii="Segoe UI" w:hAnsi="Segoe UI" w:eastAsia="Times New Roman" w:cs="Times New Roman"/>
      <w:b/>
      <w:color w:val="auto"/>
      <w:kern w:val="0"/>
      <w:sz w:val="20"/>
      <w:szCs w:val="20"/>
      <w:lang w:val="en-US" w:eastAsia="en-US" w:bidi="ar-SA"/>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pPr/>
    <w:rPr>
      <w:rFonts w:ascii="Tahoma" w:hAnsi="Tahoma" w:cs="Tahoma"/>
      <w:sz w:val="16"/>
      <w:szCs w:val="16"/>
    </w:rPr>
  </w:style>
  <w:style w:type="paragraph" w:styleId="BodyText2">
    <w:name w:val="Body Text 2"/>
    <w:basedOn w:val="Normal"/>
    <w:qFormat/>
    <w:pPr/>
    <w:rPr>
      <w:sz w:val="24"/>
    </w:rPr>
  </w:style>
  <w:style w:type="paragraph" w:styleId="BodyText3">
    <w:name w:val="Body Text 3"/>
    <w:basedOn w:val="Normal"/>
    <w:qFormat/>
    <w:pPr>
      <w:spacing w:lineRule="exact" w:line="279"/>
    </w:pPr>
    <w:rPr>
      <w:rFonts w:ascii="Baskerville Old Face" w:hAnsi="Baskerville Old Face"/>
    </w:rPr>
  </w:style>
  <w:style w:type="paragraph" w:styleId="BodyTextIndent">
    <w:name w:val="Body Text Indent"/>
    <w:basedOn w:val="Normal"/>
    <w:link w:val="BodyTextIndentChar"/>
    <w:uiPriority w:val="99"/>
    <w:unhideWhenUsed/>
    <w:qFormat/>
    <w:pPr>
      <w:ind w:left="360"/>
      <w:jc w:val="left"/>
    </w:pPr>
    <w:rPr>
      <w:rFonts w:ascii="Calibri" w:hAnsi="Calibri" w:eastAsia="MS PGothic"/>
      <w:color w:val="000000"/>
      <w:sz w:val="20"/>
    </w:rPr>
  </w:style>
  <w:style w:type="paragraph" w:styleId="AnnotationText">
    <w:name w:val="Annotation Text"/>
    <w:basedOn w:val="Normal"/>
    <w:link w:val="CommentTextChar"/>
    <w:uiPriority w:val="99"/>
    <w:unhideWhenUsed/>
    <w:qFormat/>
    <w:pPr/>
    <w:rPr>
      <w:sz w:val="20"/>
    </w:rPr>
  </w:style>
  <w:style w:type="paragraph" w:styleId="annotationsubject">
    <w:name w:val="annotation subject"/>
    <w:basedOn w:val="AnnotationText"/>
    <w:next w:val="AnnotationText"/>
    <w:link w:val="CommentSubjectChar"/>
    <w:uiPriority w:val="99"/>
    <w:semiHidden/>
    <w:unhideWhenUsed/>
    <w:qFormat/>
    <w:pPr/>
    <w:rPr>
      <w:b/>
      <w:bCs/>
    </w:rPr>
  </w:style>
  <w:style w:type="paragraph" w:styleId="HeaderandFooter">
    <w:name w:val="Header and Footer"/>
    <w:basedOn w:val="Normal"/>
    <w:qFormat/>
    <w:pPr/>
    <w:rPr/>
  </w:style>
  <w:style w:type="paragraph" w:styleId="Footer">
    <w:name w:val="Footer"/>
    <w:basedOn w:val="Normal"/>
    <w:link w:val="FooterChar"/>
    <w:uiPriority w:val="99"/>
    <w:qFormat/>
    <w:pPr>
      <w:tabs>
        <w:tab w:val="clear" w:pos="720"/>
        <w:tab w:val="center" w:pos="4320" w:leader="none"/>
        <w:tab w:val="right" w:pos="8640" w:leader="none"/>
      </w:tabs>
    </w:pPr>
    <w:rPr/>
  </w:style>
  <w:style w:type="paragraph" w:styleId="Header">
    <w:name w:val="Header"/>
    <w:qFormat/>
    <w:pPr>
      <w:widowControl/>
      <w:tabs>
        <w:tab w:val="clear" w:pos="720"/>
        <w:tab w:val="center" w:pos="4320" w:leader="none"/>
        <w:tab w:val="right" w:pos="8640" w:leader="none"/>
      </w:tabs>
      <w:bidi w:val="0"/>
      <w:spacing w:before="0" w:after="0"/>
      <w:jc w:val="left"/>
    </w:pPr>
    <w:rPr>
      <w:rFonts w:ascii="Arial" w:hAnsi="Arial" w:cs="Arial" w:eastAsia="Times New Roman"/>
      <w:b/>
      <w:caps/>
      <w:color w:val="auto"/>
      <w:kern w:val="0"/>
      <w:sz w:val="18"/>
      <w:szCs w:val="18"/>
      <w:lang w:val="en-US" w:eastAsia="en-US" w:bidi="ar-SA"/>
    </w:rPr>
  </w:style>
  <w:style w:type="paragraph" w:styleId="NormalWeb">
    <w:name w:val="Normal (Web)"/>
    <w:basedOn w:val="Normal"/>
    <w:uiPriority w:val="99"/>
    <w:unhideWhenUsed/>
    <w:qFormat/>
    <w:pPr/>
    <w:rPr>
      <w:sz w:val="24"/>
    </w:rPr>
  </w:style>
  <w:style w:type="paragraph" w:styleId="TableofFigures">
    <w:name w:val="Table of Figures"/>
    <w:next w:val="Normal"/>
    <w:uiPriority w:val="99"/>
    <w:qFormat/>
    <w:pPr>
      <w:widowControl/>
      <w:bidi w:val="0"/>
      <w:spacing w:lineRule="auto" w:line="360" w:before="0" w:after="0"/>
      <w:ind w:hanging="403" w:left="403"/>
      <w:jc w:val="left"/>
    </w:pPr>
    <w:rPr>
      <w:rFonts w:ascii="Segoe UI" w:hAnsi="Segoe UI" w:eastAsia="Times New Roman" w:cs="Times New Roman"/>
      <w:color w:val="auto"/>
      <w:kern w:val="0"/>
      <w:sz w:val="22"/>
      <w:szCs w:val="20"/>
      <w:lang w:val="en-US" w:eastAsia="en-US" w:bidi="ar-SA"/>
    </w:rPr>
  </w:style>
  <w:style w:type="paragraph" w:styleId="Title">
    <w:name w:val="Title"/>
    <w:basedOn w:val="Normal"/>
    <w:qFormat/>
    <w:pPr>
      <w:jc w:val="center"/>
    </w:pPr>
    <w:rPr>
      <w:b/>
      <w:bCs/>
      <w:sz w:val="24"/>
    </w:rPr>
  </w:style>
  <w:style w:type="paragraph" w:styleId="TOC1">
    <w:name w:val="TOC 1"/>
    <w:next w:val="Normal"/>
    <w:uiPriority w:val="39"/>
    <w:qFormat/>
    <w:pPr>
      <w:widowControl/>
      <w:tabs>
        <w:tab w:val="left" w:pos="720" w:leader="none"/>
        <w:tab w:val="right" w:pos="9360" w:leader="dot"/>
      </w:tabs>
      <w:bidi w:val="0"/>
      <w:spacing w:before="180" w:after="0"/>
      <w:jc w:val="left"/>
    </w:pPr>
    <w:rPr>
      <w:rFonts w:ascii="Segoe UI" w:hAnsi="Segoe UI" w:eastAsia="Times New Roman" w:cs="Times New Roman"/>
      <w:b/>
      <w:bCs/>
      <w:caps/>
      <w:color w:val="auto"/>
      <w:kern w:val="0"/>
      <w:sz w:val="22"/>
      <w:szCs w:val="20"/>
      <w:lang w:val="en-US" w:eastAsia="en-US" w:bidi="ar-SA"/>
    </w:rPr>
  </w:style>
  <w:style w:type="paragraph" w:styleId="TOC2">
    <w:name w:val="TOC 2"/>
    <w:next w:val="Normal"/>
    <w:uiPriority w:val="39"/>
    <w:qFormat/>
    <w:pPr>
      <w:widowControl/>
      <w:tabs>
        <w:tab w:val="clear" w:pos="720"/>
        <w:tab w:val="left" w:pos="1440" w:leader="none"/>
        <w:tab w:val="right" w:pos="9360" w:leader="dot"/>
      </w:tabs>
      <w:bidi w:val="0"/>
      <w:spacing w:before="60" w:after="60"/>
      <w:ind w:left="720"/>
      <w:jc w:val="left"/>
    </w:pPr>
    <w:rPr>
      <w:rFonts w:ascii="Segoe UI" w:hAnsi="Segoe UI" w:eastAsia="Times New Roman" w:cs="Times New Roman"/>
      <w:smallCaps/>
      <w:color w:val="auto"/>
      <w:kern w:val="0"/>
      <w:sz w:val="22"/>
      <w:szCs w:val="20"/>
      <w:lang w:val="en-US" w:eastAsia="en-US" w:bidi="ar-SA"/>
    </w:rPr>
  </w:style>
  <w:style w:type="paragraph" w:styleId="TOC3">
    <w:name w:val="TOC 3"/>
    <w:basedOn w:val="Normal"/>
    <w:next w:val="Normal"/>
    <w:uiPriority w:val="39"/>
    <w:qFormat/>
    <w:pPr>
      <w:tabs>
        <w:tab w:val="clear" w:pos="720"/>
        <w:tab w:val="left" w:pos="1872" w:leader="none"/>
        <w:tab w:val="right" w:pos="9360" w:leader="dot"/>
      </w:tabs>
      <w:spacing w:before="60" w:after="60"/>
      <w:ind w:left="1440"/>
      <w:jc w:val="left"/>
    </w:pPr>
    <w:rPr>
      <w:iCs/>
    </w:rPr>
  </w:style>
  <w:style w:type="paragraph" w:styleId="TOC4">
    <w:name w:val="TOC 4"/>
    <w:basedOn w:val="Normal"/>
    <w:next w:val="Normal"/>
    <w:uiPriority w:val="39"/>
    <w:qFormat/>
    <w:pPr>
      <w:tabs>
        <w:tab w:val="clear" w:pos="720"/>
        <w:tab w:val="left" w:pos="2160" w:leader="none"/>
        <w:tab w:val="right" w:pos="9360" w:leader="dot"/>
      </w:tabs>
      <w:spacing w:before="60" w:after="60"/>
      <w:ind w:left="1440"/>
    </w:pPr>
    <w:rPr>
      <w:szCs w:val="18"/>
    </w:rPr>
  </w:style>
  <w:style w:type="paragraph" w:styleId="TOC5">
    <w:name w:val="TOC 5"/>
    <w:basedOn w:val="Normal"/>
    <w:next w:val="Normal"/>
    <w:semiHidden/>
    <w:qFormat/>
    <w:pPr>
      <w:ind w:left="800"/>
    </w:pPr>
    <w:rPr>
      <w:sz w:val="18"/>
      <w:szCs w:val="18"/>
    </w:rPr>
  </w:style>
  <w:style w:type="paragraph" w:styleId="TOC6">
    <w:name w:val="TOC 6"/>
    <w:basedOn w:val="Normal"/>
    <w:next w:val="Normal"/>
    <w:semiHidden/>
    <w:qFormat/>
    <w:pPr>
      <w:ind w:left="1000"/>
    </w:pPr>
    <w:rPr>
      <w:sz w:val="18"/>
      <w:szCs w:val="18"/>
    </w:rPr>
  </w:style>
  <w:style w:type="paragraph" w:styleId="TOC7">
    <w:name w:val="TOC 7"/>
    <w:basedOn w:val="Normal"/>
    <w:next w:val="Normal"/>
    <w:semiHidden/>
    <w:qFormat/>
    <w:pPr>
      <w:ind w:left="1200"/>
    </w:pPr>
    <w:rPr>
      <w:sz w:val="18"/>
      <w:szCs w:val="18"/>
    </w:rPr>
  </w:style>
  <w:style w:type="paragraph" w:styleId="TOC8">
    <w:name w:val="TOC 8"/>
    <w:basedOn w:val="Normal"/>
    <w:next w:val="Normal"/>
    <w:semiHidden/>
    <w:qFormat/>
    <w:pPr>
      <w:ind w:left="1400"/>
    </w:pPr>
    <w:rPr>
      <w:sz w:val="18"/>
      <w:szCs w:val="18"/>
    </w:rPr>
  </w:style>
  <w:style w:type="paragraph" w:styleId="TOC9">
    <w:name w:val="TOC 9"/>
    <w:basedOn w:val="Normal"/>
    <w:next w:val="Normal"/>
    <w:semiHidden/>
    <w:qFormat/>
    <w:pPr>
      <w:ind w:left="1600"/>
    </w:pPr>
    <w:rPr>
      <w:sz w:val="18"/>
      <w:szCs w:val="18"/>
    </w:rPr>
  </w:style>
  <w:style w:type="paragraph" w:styleId="Level1" w:customStyle="1">
    <w:name w:val="Level 1"/>
    <w:basedOn w:val="Normal"/>
    <w:qFormat/>
    <w:pPr>
      <w:numPr>
        <w:ilvl w:val="0"/>
        <w:numId w:val="2"/>
      </w:numPr>
      <w:outlineLvl w:val="0"/>
    </w:pPr>
    <w:rPr/>
  </w:style>
  <w:style w:type="paragraph" w:styleId="xl24" w:customStyle="1">
    <w:name w:val="xl24"/>
    <w:basedOn w:val="Normal"/>
    <w:qFormat/>
    <w:pPr>
      <w:spacing w:beforeAutospacing="1" w:afterAutospacing="1"/>
    </w:pPr>
    <w:rPr>
      <w:rFonts w:ascii="Courier New" w:hAnsi="Courier New" w:eastAsia="Arial Unicode MS" w:cs="Courier New"/>
      <w:sz w:val="24"/>
    </w:rPr>
  </w:style>
  <w:style w:type="paragraph" w:styleId="xl25" w:customStyle="1">
    <w:name w:val="xl25"/>
    <w:basedOn w:val="Normal"/>
    <w:qFormat/>
    <w:pPr>
      <w:spacing w:beforeAutospacing="1" w:afterAutospacing="1"/>
    </w:pPr>
    <w:rPr>
      <w:rFonts w:ascii="Courier New" w:hAnsi="Courier New" w:eastAsia="Arial Unicode MS" w:cs="Courier New"/>
      <w:sz w:val="24"/>
    </w:rPr>
  </w:style>
  <w:style w:type="paragraph" w:styleId="xl26" w:customStyle="1">
    <w:name w:val="xl26"/>
    <w:basedOn w:val="Normal"/>
    <w:qFormat/>
    <w:pPr>
      <w:pBdr>
        <w:bottom w:val="single" w:sz="8" w:space="0" w:color="000000"/>
      </w:pBdr>
      <w:spacing w:beforeAutospacing="1" w:afterAutospacing="1"/>
    </w:pPr>
    <w:rPr>
      <w:rFonts w:ascii="Courier New" w:hAnsi="Courier New" w:eastAsia="Arial Unicode MS" w:cs="Courier New"/>
      <w:sz w:val="24"/>
    </w:rPr>
  </w:style>
  <w:style w:type="paragraph" w:styleId="xl27" w:customStyle="1">
    <w:name w:val="xl27"/>
    <w:basedOn w:val="Normal"/>
    <w:qFormat/>
    <w:pPr>
      <w:spacing w:beforeAutospacing="1" w:afterAutospacing="1"/>
      <w:jc w:val="right"/>
    </w:pPr>
    <w:rPr>
      <w:rFonts w:ascii="Courier New" w:hAnsi="Courier New" w:eastAsia="Arial Unicode MS" w:cs="Courier New"/>
      <w:sz w:val="24"/>
    </w:rPr>
  </w:style>
  <w:style w:type="paragraph" w:styleId="xl28" w:customStyle="1">
    <w:name w:val="xl28"/>
    <w:basedOn w:val="Normal"/>
    <w:qFormat/>
    <w:pPr>
      <w:spacing w:beforeAutospacing="1" w:afterAutospacing="1"/>
    </w:pPr>
    <w:rPr>
      <w:rFonts w:ascii="Courier New" w:hAnsi="Courier New" w:eastAsia="Arial Unicode MS" w:cs="Courier New"/>
      <w:sz w:val="24"/>
    </w:rPr>
  </w:style>
  <w:style w:type="paragraph" w:styleId="xl29" w:customStyle="1">
    <w:name w:val="xl29"/>
    <w:basedOn w:val="Normal"/>
    <w:qFormat/>
    <w:pPr>
      <w:spacing w:beforeAutospacing="1" w:afterAutospacing="1"/>
      <w:jc w:val="center"/>
    </w:pPr>
    <w:rPr>
      <w:rFonts w:ascii="Courier New" w:hAnsi="Courier New" w:eastAsia="Arial Unicode MS" w:cs="Courier New"/>
      <w:sz w:val="24"/>
    </w:rPr>
  </w:style>
  <w:style w:type="paragraph" w:styleId="xl30" w:customStyle="1">
    <w:name w:val="xl30"/>
    <w:basedOn w:val="Normal"/>
    <w:qFormat/>
    <w:pPr>
      <w:pBdr>
        <w:bottom w:val="single" w:sz="8" w:space="0" w:color="000000"/>
      </w:pBdr>
      <w:spacing w:beforeAutospacing="1" w:afterAutospacing="1"/>
    </w:pPr>
    <w:rPr>
      <w:rFonts w:ascii="Courier New" w:hAnsi="Courier New" w:eastAsia="Arial Unicode MS" w:cs="Courier New"/>
      <w:sz w:val="24"/>
    </w:rPr>
  </w:style>
  <w:style w:type="paragraph" w:styleId="xl31" w:customStyle="1">
    <w:name w:val="xl31"/>
    <w:basedOn w:val="Normal"/>
    <w:qFormat/>
    <w:pPr>
      <w:pBdr>
        <w:bottom w:val="single" w:sz="8" w:space="0" w:color="000000"/>
      </w:pBdr>
      <w:spacing w:beforeAutospacing="1" w:afterAutospacing="1"/>
      <w:jc w:val="right"/>
    </w:pPr>
    <w:rPr>
      <w:rFonts w:ascii="Courier New" w:hAnsi="Courier New" w:eastAsia="Arial Unicode MS" w:cs="Courier New"/>
      <w:sz w:val="24"/>
    </w:rPr>
  </w:style>
  <w:style w:type="paragraph" w:styleId="xl32" w:customStyle="1">
    <w:name w:val="xl32"/>
    <w:basedOn w:val="Normal"/>
    <w:qFormat/>
    <w:pPr>
      <w:pBdr>
        <w:bottom w:val="single" w:sz="8" w:space="0" w:color="000000"/>
      </w:pBdr>
      <w:spacing w:beforeAutospacing="1" w:afterAutospacing="1"/>
    </w:pPr>
    <w:rPr>
      <w:rFonts w:ascii="Courier New" w:hAnsi="Courier New" w:eastAsia="Arial Unicode MS" w:cs="Courier New"/>
      <w:sz w:val="24"/>
    </w:rPr>
  </w:style>
  <w:style w:type="paragraph" w:styleId="tableoftables" w:customStyle="1">
    <w:name w:val="table of tables"/>
    <w:basedOn w:val="TableofFigures"/>
    <w:qFormat/>
    <w:pPr>
      <w:ind w:hanging="0" w:left="0"/>
    </w:pPr>
    <w:rPr>
      <w:lang w:eastAsia="zh-CN"/>
    </w:rPr>
  </w:style>
  <w:style w:type="paragraph" w:styleId="Style11" w:customStyle="1">
    <w:name w:val="Style1"/>
    <w:basedOn w:val="Heading4"/>
    <w:qFormat/>
    <w:pPr>
      <w:numPr>
        <w:ilvl w:val="3"/>
        <w:numId w:val="3"/>
      </w:numPr>
    </w:pPr>
    <w:rPr>
      <w:b/>
      <w:bCs w:val="false"/>
      <w:i/>
      <w:iCs/>
    </w:rPr>
  </w:style>
  <w:style w:type="paragraph" w:styleId="Style21" w:customStyle="1">
    <w:name w:val="Style2"/>
    <w:basedOn w:val="Normal"/>
    <w:qFormat/>
    <w:pPr/>
    <w:rPr>
      <w:sz w:val="24"/>
    </w:rPr>
  </w:style>
  <w:style w:type="paragraph" w:styleId="StyleHeading3ItalicLeft0Firstline0" w:customStyle="1">
    <w:name w:val="Style Heading 3 + Italic Left:  0&quot; First line:  0&quot;"/>
    <w:basedOn w:val="Normal"/>
    <w:next w:val="Heading3"/>
    <w:qFormat/>
    <w:pPr/>
    <w:rPr>
      <w:iCs/>
    </w:rPr>
  </w:style>
  <w:style w:type="paragraph" w:styleId="StyleHeading2Left0Firstline0" w:customStyle="1">
    <w:name w:val="Style Heading 2 + Left:  0&quot; First line:  0&quot;"/>
    <w:basedOn w:val="Heading2"/>
    <w:next w:val="Heading2"/>
    <w:qFormat/>
    <w:pPr>
      <w:numPr>
        <w:ilvl w:val="0"/>
        <w:numId w:val="0"/>
      </w:numPr>
    </w:pPr>
    <w:rPr>
      <w:bCs/>
    </w:rPr>
  </w:style>
  <w:style w:type="paragraph" w:styleId="NoSpacing">
    <w:name w:val="No Spacing"/>
    <w:link w:val="NoSpacingChar"/>
    <w:uiPriority w:val="1"/>
    <w:qFormat/>
    <w:pPr>
      <w:widowControl/>
      <w:bidi w:val="0"/>
      <w:spacing w:before="0" w:after="0"/>
      <w:jc w:val="left"/>
    </w:pPr>
    <w:rPr>
      <w:rFonts w:ascii="Calibri" w:hAnsi="Calibri" w:eastAsia="MS Mincho" w:cs="Arial"/>
      <w:color w:val="auto"/>
      <w:kern w:val="0"/>
      <w:sz w:val="22"/>
      <w:szCs w:val="22"/>
      <w:lang w:eastAsia="ja-JP" w:val="en-US" w:bidi="ar-SA"/>
    </w:rPr>
  </w:style>
  <w:style w:type="paragraph" w:styleId="TableHead" w:customStyle="1">
    <w:name w:val="Table Head"/>
    <w:basedOn w:val="Normal"/>
    <w:next w:val="Normal"/>
    <w:qFormat/>
    <w:pPr>
      <w:spacing w:before="80" w:after="80"/>
      <w:jc w:val="center"/>
    </w:pPr>
    <w:rPr>
      <w:rFonts w:ascii="Arial" w:hAnsi="Arial"/>
      <w:b/>
      <w:sz w:val="18"/>
    </w:rPr>
  </w:style>
  <w:style w:type="paragraph" w:styleId="TableBody" w:customStyle="1">
    <w:name w:val="Table Body"/>
    <w:basedOn w:val="Normal"/>
    <w:qFormat/>
    <w:pPr>
      <w:spacing w:before="80" w:after="80"/>
      <w:jc w:val="left"/>
    </w:pPr>
    <w:rPr>
      <w:rFonts w:ascii="Arial" w:hAnsi="Arial"/>
      <w:sz w:val="18"/>
    </w:rPr>
  </w:style>
  <w:style w:type="paragraph" w:styleId="Caption-table" w:customStyle="1">
    <w:name w:val="Caption-table"/>
    <w:basedOn w:val="Caption"/>
    <w:link w:val="Caption-tableChar"/>
    <w:qFormat/>
    <w:pPr>
      <w:keepNext w:val="true"/>
      <w:snapToGrid w:val="false"/>
      <w:spacing w:before="120" w:after="120"/>
    </w:pPr>
    <w:rPr>
      <w:rFonts w:ascii="Arial Narrow" w:hAnsi="Arial Narrow"/>
      <w:b w:val="false"/>
    </w:rPr>
  </w:style>
  <w:style w:type="paragraph" w:styleId="Bullet" w:customStyle="1">
    <w:name w:val="Bullet"/>
    <w:basedOn w:val="Normal"/>
    <w:qFormat/>
    <w:pPr>
      <w:numPr>
        <w:ilvl w:val="0"/>
        <w:numId w:val="4"/>
      </w:numPr>
      <w:spacing w:before="0" w:after="160"/>
    </w:pPr>
    <w:rPr>
      <w:rFonts w:ascii="Book Antiqua" w:hAnsi="Book Antiqua"/>
    </w:rPr>
  </w:style>
  <w:style w:type="paragraph" w:styleId="ListParagraph">
    <w:name w:val="List Paragraph"/>
    <w:basedOn w:val="Normal"/>
    <w:uiPriority w:val="34"/>
    <w:qFormat/>
    <w:pPr>
      <w:spacing w:before="0" w:after="120"/>
      <w:ind w:left="720"/>
      <w:contextualSpacing/>
    </w:pPr>
    <w:rPr/>
  </w:style>
  <w:style w:type="paragraph" w:styleId="Revision1" w:customStyle="1">
    <w:name w:val="Revision1"/>
    <w:uiPriority w:val="99"/>
    <w:semiHidden/>
    <w:qFormat/>
    <w:pPr>
      <w:widowControl/>
      <w:bidi w:val="0"/>
      <w:spacing w:before="0" w:after="0"/>
      <w:jc w:val="left"/>
    </w:pPr>
    <w:rPr>
      <w:rFonts w:ascii="Times New Roman" w:hAnsi="Times New Roman" w:eastAsia="Times New Roman" w:cs="Times New Roman"/>
      <w:color w:val="auto"/>
      <w:kern w:val="0"/>
      <w:sz w:val="20"/>
      <w:szCs w:val="24"/>
      <w:lang w:val="en-US" w:eastAsia="en-US" w:bidi="ar-SA"/>
    </w:rPr>
  </w:style>
  <w:style w:type="paragraph" w:styleId="Quote">
    <w:name w:val="Quote"/>
    <w:basedOn w:val="Normal"/>
    <w:next w:val="Normal"/>
    <w:link w:val="QuoteChar"/>
    <w:uiPriority w:val="29"/>
    <w:qFormat/>
    <w:pPr/>
    <w:rPr>
      <w:i/>
      <w:iCs/>
      <w:color w:val="000000"/>
    </w:rPr>
  </w:style>
  <w:style w:type="paragraph" w:styleId="BodyText12ptSingle" w:customStyle="1">
    <w:name w:val="Body Text 12pt Single"/>
    <w:basedOn w:val="Normal"/>
    <w:qFormat/>
    <w:pPr/>
    <w:rPr>
      <w:szCs w:val="22"/>
    </w:rPr>
  </w:style>
  <w:style w:type="paragraph" w:styleId="Default" w:customStyle="1">
    <w:name w:val="Default"/>
    <w:qFormat/>
    <w:pPr>
      <w:widowControl/>
      <w:bidi w:val="0"/>
      <w:spacing w:before="0" w:after="0"/>
      <w:jc w:val="left"/>
    </w:pPr>
    <w:rPr>
      <w:rFonts w:ascii="Arial" w:hAnsi="Arial" w:cs="Arial" w:eastAsia="Times New Roman"/>
      <w:color w:val="000000"/>
      <w:kern w:val="0"/>
      <w:sz w:val="24"/>
      <w:szCs w:val="24"/>
      <w:lang w:val="en-US" w:eastAsia="en-US" w:bidi="ar-SA"/>
    </w:rPr>
  </w:style>
  <w:style w:type="paragraph" w:styleId="IndentText" w:customStyle="1">
    <w:name w:val="Indent Text"/>
    <w:basedOn w:val="ListParagraph"/>
    <w:qFormat/>
    <w:pPr>
      <w:spacing w:lineRule="auto" w:line="259" w:before="0" w:after="120"/>
      <w:contextualSpacing w:val="false"/>
    </w:pPr>
    <w:rPr>
      <w:rFonts w:ascii="Arial" w:hAnsi="Arial" w:eastAsia="Calibri" w:cs="Arial" w:eastAsiaTheme="minorHAnsi"/>
      <w:szCs w:val="22"/>
    </w:rPr>
  </w:style>
  <w:style w:type="paragraph" w:styleId="Bullet1" w:customStyle="1">
    <w:name w:val="Bullet 1"/>
    <w:qFormat/>
    <w:pPr>
      <w:widowControl/>
      <w:bidi w:val="0"/>
      <w:spacing w:lineRule="auto" w:line="276" w:before="0" w:after="120"/>
      <w:jc w:val="both"/>
    </w:pPr>
    <w:rPr>
      <w:rFonts w:ascii="Segoe UI" w:hAnsi="Segoe UI" w:eastAsia="Times New Roman" w:cs="Times New Roman"/>
      <w:color w:val="auto"/>
      <w:kern w:val="0"/>
      <w:sz w:val="22"/>
      <w:szCs w:val="22"/>
      <w:lang w:val="en-US" w:eastAsia="en-US" w:bidi="ar-SA"/>
    </w:rPr>
  </w:style>
  <w:style w:type="paragraph" w:styleId="StyleBodyTextText1" w:customStyle="1">
    <w:name w:val="Style Body Text + Text 1"/>
    <w:basedOn w:val="Normal"/>
    <w:qFormat/>
    <w:pPr/>
    <w:rPr>
      <w:color w:themeColor="text1" w:val="000000"/>
    </w:rPr>
  </w:style>
  <w:style w:type="paragraph" w:styleId="E2BodyText" w:customStyle="1">
    <w:name w:val="E2 Body Text"/>
    <w:basedOn w:val="Normal"/>
    <w:link w:val="E2BodyTextCharChar"/>
    <w:qFormat/>
    <w:pPr>
      <w:spacing w:lineRule="auto" w:line="240" w:before="160" w:after="160"/>
    </w:pPr>
    <w:rPr>
      <w:rFonts w:ascii="Calibri" w:hAnsi="Calibri"/>
      <w:szCs w:val="22"/>
    </w:rPr>
  </w:style>
  <w:style w:type="paragraph" w:styleId="E2Source-Notes" w:customStyle="1">
    <w:name w:val="E2 Source-Notes"/>
    <w:basedOn w:val="Normal"/>
    <w:link w:val="E2Source-NotesChar"/>
    <w:qFormat/>
    <w:pPr>
      <w:spacing w:lineRule="auto" w:line="240" w:before="40" w:after="0"/>
      <w:jc w:val="left"/>
    </w:pPr>
    <w:rPr>
      <w:rFonts w:ascii="Calibri" w:hAnsi="Calibri"/>
      <w:sz w:val="16"/>
      <w:szCs w:val="16"/>
    </w:rPr>
  </w:style>
  <w:style w:type="paragraph" w:styleId="Style10ptBoldBackground" w:customStyle="1">
    <w:name w:val="Style 10 pt Bold Background"/>
    <w:qFormat/>
    <w:pPr>
      <w:widowControl/>
      <w:bidi w:val="0"/>
      <w:spacing w:before="0" w:after="0"/>
      <w:jc w:val="center"/>
    </w:pPr>
    <w:rPr>
      <w:rFonts w:ascii="Segoe UI" w:hAnsi="Segoe UI" w:eastAsia="Times New Roman" w:cs="Times New Roman"/>
      <w:b/>
      <w:bCs/>
      <w:color w:themeColor="background1" w:val="FFFFFF"/>
      <w:kern w:val="0"/>
      <w:sz w:val="20"/>
      <w:szCs w:val="20"/>
      <w:lang w:val="en-US" w:eastAsia="en-US" w:bidi="ar-SA"/>
    </w:rPr>
  </w:style>
  <w:style w:type="paragraph" w:styleId="Style10ptBoldBackground1CenteredAfter0ptLinespaci" w:customStyle="1">
    <w:name w:val="Style 10 pt Bold Background 1 Centered After:  0 pt Line spaci..."/>
    <w:basedOn w:val="Normal"/>
    <w:qFormat/>
    <w:pPr>
      <w:spacing w:lineRule="auto" w:line="240" w:before="0" w:after="0"/>
      <w:jc w:val="center"/>
    </w:pPr>
    <w:rPr>
      <w:b/>
      <w:bCs/>
      <w:color w:themeColor="background1" w:val="FFFFFF"/>
      <w:sz w:val="20"/>
    </w:rPr>
  </w:style>
  <w:style w:type="paragraph" w:styleId="Style10ptBoldBackground1CenteredAfter0ptLinespaci1" w:customStyle="1">
    <w:name w:val="Style 10 pt Bold Background 1 Centered After:  0 pt Line spaci...1"/>
    <w:qFormat/>
    <w:pPr>
      <w:widowControl/>
      <w:bidi w:val="0"/>
      <w:spacing w:before="0" w:after="0"/>
      <w:jc w:val="center"/>
    </w:pPr>
    <w:rPr>
      <w:rFonts w:ascii="Segoe UI" w:hAnsi="Segoe UI" w:eastAsia="Times New Roman" w:cs="Times New Roman"/>
      <w:b/>
      <w:bCs/>
      <w:color w:themeColor="background1" w:val="FFFFFF"/>
      <w:kern w:val="0"/>
      <w:sz w:val="20"/>
      <w:szCs w:val="20"/>
      <w:lang w:val="en-US" w:eastAsia="en-US" w:bidi="ar-SA"/>
    </w:rPr>
  </w:style>
  <w:style w:type="paragraph" w:styleId="Style10ptLeftAfter0ptLinespacingsingle" w:customStyle="1">
    <w:name w:val="Style 10 pt Left After:  0 pt Line spacing:  single"/>
    <w:qFormat/>
    <w:pPr>
      <w:widowControl/>
      <w:bidi w:val="0"/>
      <w:spacing w:before="0" w:after="0"/>
      <w:jc w:val="left"/>
    </w:pPr>
    <w:rPr>
      <w:rFonts w:ascii="Segoe UI" w:hAnsi="Segoe UI" w:eastAsia="Times New Roman" w:cs="Times New Roman"/>
      <w:color w:val="auto"/>
      <w:kern w:val="0"/>
      <w:sz w:val="20"/>
      <w:szCs w:val="20"/>
      <w:lang w:val="en-US" w:eastAsia="en-US" w:bidi="ar-SA"/>
    </w:rPr>
  </w:style>
  <w:style w:type="paragraph" w:styleId="Style10ptLeftAfter0ptLinespacingsingle1" w:customStyle="1">
    <w:name w:val="Style 10 pt Left After:  0 pt Line spacing:  single1"/>
    <w:qFormat/>
    <w:pPr>
      <w:widowControl/>
      <w:bidi w:val="0"/>
      <w:spacing w:before="0" w:after="0"/>
      <w:jc w:val="left"/>
    </w:pPr>
    <w:rPr>
      <w:rFonts w:ascii="Segoe UI" w:hAnsi="Segoe UI" w:eastAsia="Times New Roman" w:cs="Times New Roman"/>
      <w:color w:val="auto"/>
      <w:kern w:val="0"/>
      <w:sz w:val="20"/>
      <w:szCs w:val="20"/>
      <w:lang w:val="en-US" w:eastAsia="en-US" w:bidi="ar-SA"/>
    </w:rPr>
  </w:style>
  <w:style w:type="paragraph" w:styleId="StyleBefore10pt" w:customStyle="1">
    <w:name w:val="Style Before:  10 pt"/>
    <w:basedOn w:val="Normal"/>
    <w:qFormat/>
    <w:pPr>
      <w:widowControl w:val="false"/>
      <w:spacing w:lineRule="auto" w:line="240" w:before="200" w:after="0"/>
      <w:jc w:val="left"/>
    </w:pPr>
    <w:rPr>
      <w:rFonts w:ascii="Calibri" w:hAnsi="Calibri"/>
    </w:rPr>
  </w:style>
  <w:style w:type="paragraph" w:styleId="StyleTOCHeadingsAfter6ptLinespacing15lines" w:customStyle="1">
    <w:name w:val="Style TOC Headings + After:  6 pt Line spacing:  1.5 lines"/>
    <w:qFormat/>
    <w:pPr>
      <w:widowControl/>
      <w:bidi w:val="0"/>
      <w:spacing w:lineRule="auto" w:line="360" w:before="0" w:after="120"/>
      <w:jc w:val="left"/>
    </w:pPr>
    <w:rPr>
      <w:rFonts w:ascii="Arial" w:hAnsi="Arial" w:eastAsia="Times New Roman" w:cs="Times New Roman"/>
      <w:color w:val="auto"/>
      <w:kern w:val="0"/>
      <w:sz w:val="18"/>
      <w:szCs w:val="20"/>
      <w:lang w:val="en-US" w:eastAsia="en-US" w:bidi="ar-SA"/>
    </w:rPr>
  </w:style>
  <w:style w:type="paragraph" w:styleId="TableBody10pt" w:customStyle="1">
    <w:name w:val="Table Body 10pt"/>
    <w:basedOn w:val="Normal"/>
    <w:next w:val="Normal"/>
    <w:qFormat/>
    <w:pPr>
      <w:widowControl w:val="false"/>
      <w:spacing w:lineRule="auto" w:line="240" w:before="0" w:after="0"/>
      <w:jc w:val="left"/>
    </w:pPr>
    <w:rPr>
      <w:sz w:val="18"/>
    </w:rPr>
  </w:style>
  <w:style w:type="paragraph" w:styleId="TableHeadings" w:customStyle="1">
    <w:name w:val="Table Headings"/>
    <w:basedOn w:val="Normal"/>
    <w:qFormat/>
    <w:pPr>
      <w:widowControl w:val="false"/>
      <w:spacing w:lineRule="auto" w:line="240" w:before="0" w:after="0"/>
      <w:jc w:val="left"/>
    </w:pPr>
    <w:rPr>
      <w:b/>
      <w:sz w:val="18"/>
    </w:rPr>
  </w:style>
  <w:style w:type="paragraph" w:styleId="TOCHeadingsAfter6ptLinespacing15lines" w:customStyle="1">
    <w:name w:val="TOC Headings + After:  6 pt Line spacing:  1.5 lines + ... + ..."/>
    <w:qFormat/>
    <w:pPr>
      <w:widowControl/>
      <w:bidi w:val="0"/>
      <w:spacing w:lineRule="auto" w:line="360" w:before="0" w:after="120"/>
      <w:jc w:val="center"/>
    </w:pPr>
    <w:rPr>
      <w:rFonts w:ascii="Segoe UI" w:hAnsi="Segoe UI" w:eastAsia="Times New Roman" w:cs="Times New Roman"/>
      <w:b/>
      <w:bCs/>
      <w:caps/>
      <w:color w:val="auto"/>
      <w:kern w:val="0"/>
      <w:sz w:val="32"/>
      <w:szCs w:val="20"/>
      <w:lang w:val="en-US" w:eastAsia="en-US" w:bidi="ar-SA"/>
    </w:rPr>
  </w:style>
  <w:style w:type="paragraph" w:styleId="APPENDIXA" w:customStyle="1">
    <w:name w:val="APPENDIX A"/>
    <w:next w:val="Normal"/>
    <w:qFormat/>
    <w:pPr>
      <w:widowControl/>
      <w:bidi w:val="0"/>
      <w:spacing w:before="0" w:after="0"/>
      <w:jc w:val="right"/>
    </w:pPr>
    <w:rPr>
      <w:rFonts w:ascii="Segoe UI" w:hAnsi="Segoe UI" w:eastAsia="Times New Roman" w:cs="Times New Roman"/>
      <w:b/>
      <w:bCs/>
      <w:caps/>
      <w:color w:val="2E74B5"/>
      <w:kern w:val="0"/>
      <w:sz w:val="48"/>
      <w:szCs w:val="52"/>
      <w:lang w:val="en-US" w:eastAsia="en-US" w:bidi="ar-SA"/>
    </w:rPr>
  </w:style>
  <w:style w:type="paragraph" w:styleId="Appendix" w:customStyle="1">
    <w:name w:val="Appendix"/>
    <w:next w:val="Normal"/>
    <w:qFormat/>
    <w:pPr>
      <w:widowControl/>
      <w:bidi w:val="0"/>
      <w:spacing w:before="0" w:after="0"/>
      <w:jc w:val="right"/>
    </w:pPr>
    <w:rPr>
      <w:rFonts w:ascii="Segoe UI" w:hAnsi="Segoe UI" w:eastAsia="Times New Roman" w:cs="Times New Roman"/>
      <w:b/>
      <w:bCs/>
      <w:color w:val="auto"/>
      <w:kern w:val="0"/>
      <w:sz w:val="56"/>
      <w:szCs w:val="20"/>
      <w:lang w:val="en-US" w:eastAsia="en-US" w:bidi="ar-SA"/>
    </w:rPr>
  </w:style>
  <w:style w:type="paragraph" w:styleId="Acronyms" w:customStyle="1">
    <w:name w:val="Acronyms"/>
    <w:qFormat/>
    <w:pPr>
      <w:widowControl/>
      <w:tabs>
        <w:tab w:val="clear" w:pos="720"/>
        <w:tab w:val="left" w:pos="1440" w:leader="none"/>
      </w:tabs>
      <w:bidi w:val="0"/>
      <w:spacing w:before="0" w:after="0"/>
      <w:ind w:right="-14"/>
      <w:jc w:val="left"/>
    </w:pPr>
    <w:rPr>
      <w:rFonts w:ascii="Segoe UI" w:hAnsi="Segoe UI" w:eastAsia="Calibri" w:cs="Times New Roman"/>
      <w:color w:val="auto"/>
      <w:kern w:val="0"/>
      <w:sz w:val="22"/>
      <w:szCs w:val="20"/>
      <w:lang w:val="en-US" w:eastAsia="en-US" w:bidi="ar-SA"/>
    </w:rPr>
  </w:style>
  <w:style w:type="paragraph" w:styleId="Notes" w:customStyle="1">
    <w:name w:val="Notes"/>
    <w:next w:val="Normal"/>
    <w:qFormat/>
    <w:pPr>
      <w:widowControl/>
      <w:bidi w:val="0"/>
      <w:spacing w:before="0" w:after="0"/>
      <w:jc w:val="left"/>
    </w:pPr>
    <w:rPr>
      <w:rFonts w:ascii="Segoe UI" w:hAnsi="Segoe UI" w:eastAsia="Times New Roman" w:cs="Times New Roman"/>
      <w:color w:val="auto"/>
      <w:kern w:val="0"/>
      <w:sz w:val="16"/>
      <w:szCs w:val="20"/>
      <w:lang w:val="en-US" w:eastAsia="en-US" w:bidi="ar-SA"/>
    </w:rPr>
  </w:style>
  <w:style w:type="paragraph" w:styleId="Style22ptBoldCentered" w:customStyle="1">
    <w:name w:val="Style 22 pt Bold Centered"/>
    <w:qFormat/>
    <w:pPr>
      <w:widowControl/>
      <w:bidi w:val="0"/>
      <w:spacing w:before="0" w:after="0"/>
      <w:jc w:val="center"/>
    </w:pPr>
    <w:rPr>
      <w:rFonts w:ascii="Segoe UI" w:hAnsi="Segoe UI" w:eastAsia="Times New Roman" w:cs="Times New Roman"/>
      <w:b/>
      <w:bCs/>
      <w:color w:val="auto"/>
      <w:kern w:val="0"/>
      <w:sz w:val="44"/>
      <w:szCs w:val="20"/>
      <w:lang w:val="en-US" w:eastAsia="en-US" w:bidi="ar-SA"/>
    </w:rPr>
  </w:style>
  <w:style w:type="paragraph" w:styleId="TitlePage1" w:customStyle="1">
    <w:name w:val="Title Page 1"/>
    <w:qFormat/>
    <w:pPr>
      <w:widowControl/>
      <w:bidi w:val="0"/>
      <w:spacing w:lineRule="auto" w:line="276" w:before="0" w:after="120"/>
      <w:jc w:val="center"/>
    </w:pPr>
    <w:rPr>
      <w:rFonts w:ascii="Segoe UI" w:hAnsi="Segoe UI" w:eastAsia="Times New Roman" w:cs="Times New Roman"/>
      <w:b/>
      <w:color w:val="auto"/>
      <w:kern w:val="0"/>
      <w:sz w:val="44"/>
      <w:szCs w:val="44"/>
      <w:lang w:val="en-US" w:eastAsia="en-US" w:bidi="ar-SA"/>
    </w:rPr>
  </w:style>
  <w:style w:type="paragraph" w:styleId="TitlePage2" w:customStyle="1">
    <w:name w:val="Title Page 2"/>
    <w:qFormat/>
    <w:pPr>
      <w:widowControl/>
      <w:bidi w:val="0"/>
      <w:spacing w:lineRule="auto" w:line="276" w:before="0" w:after="120"/>
      <w:jc w:val="center"/>
    </w:pPr>
    <w:rPr>
      <w:rFonts w:ascii="Segoe UI" w:hAnsi="Segoe UI" w:eastAsia="Times New Roman" w:cs="Times New Roman"/>
      <w:color w:val="auto"/>
      <w:kern w:val="0"/>
      <w:sz w:val="36"/>
      <w:szCs w:val="36"/>
      <w:lang w:val="en-US" w:eastAsia="en-US" w:bidi="ar-SA"/>
    </w:rPr>
  </w:style>
  <w:style w:type="paragraph" w:styleId="TitlePage3" w:customStyle="1">
    <w:name w:val="Title Page 3"/>
    <w:qFormat/>
    <w:pPr>
      <w:widowControl/>
      <w:bidi w:val="0"/>
      <w:spacing w:lineRule="auto" w:line="276" w:before="0" w:after="120"/>
      <w:jc w:val="center"/>
    </w:pPr>
    <w:rPr>
      <w:rFonts w:ascii="Segoe UI" w:hAnsi="Segoe UI" w:eastAsia="Times New Roman" w:cs="Times New Roman"/>
      <w:color w:val="auto"/>
      <w:kern w:val="0"/>
      <w:sz w:val="28"/>
      <w:szCs w:val="28"/>
      <w:lang w:val="en-US" w:eastAsia="en-US" w:bidi="ar-SA"/>
    </w:rPr>
  </w:style>
  <w:style w:type="paragraph" w:styleId="TitlePage4" w:customStyle="1">
    <w:name w:val="Title Page 4"/>
    <w:qFormat/>
    <w:pPr>
      <w:widowControl/>
      <w:bidi w:val="0"/>
      <w:spacing w:lineRule="auto" w:line="276" w:before="0" w:after="120"/>
      <w:jc w:val="both"/>
    </w:pPr>
    <w:rPr>
      <w:rFonts w:ascii="Segoe UI" w:hAnsi="Segoe UI" w:eastAsia="Times New Roman" w:cs="Times New Roman"/>
      <w:bCs/>
      <w:color w:val="auto"/>
      <w:kern w:val="0"/>
      <w:sz w:val="24"/>
      <w:szCs w:val="20"/>
      <w:lang w:val="en-US" w:eastAsia="en-US" w:bidi="ar-SA"/>
    </w:rPr>
  </w:style>
  <w:style w:type="paragraph" w:styleId="Bullet2" w:customStyle="1">
    <w:name w:val="Bullet 2"/>
    <w:basedOn w:val="Bullet1"/>
    <w:qFormat/>
    <w:pPr>
      <w:spacing w:before="0" w:after="60"/>
      <w:ind w:hanging="360" w:left="1440"/>
    </w:pPr>
    <w:rPr/>
  </w:style>
  <w:style w:type="paragraph" w:styleId="BodyECR" w:customStyle="1">
    <w:name w:val="Body ECR"/>
    <w:basedOn w:val="Normal"/>
    <w:qFormat/>
    <w:pPr>
      <w:tabs>
        <w:tab w:val="clear" w:pos="720"/>
        <w:tab w:val="left" w:pos="360" w:leader="none"/>
      </w:tabs>
      <w:spacing w:lineRule="exact" w:line="250" w:before="120" w:after="120"/>
      <w:ind w:firstLine="360"/>
      <w:jc w:val="left"/>
    </w:pPr>
    <w:rPr>
      <w:rFonts w:ascii="Calibri" w:hAnsi="Calibri" w:eastAsia="宋体" w:cs="Arial" w:asciiTheme="minorHAnsi" w:cstheme="minorBidi" w:eastAsiaTheme="minorEastAsia" w:hAnsiTheme="minorHAnsi"/>
      <w:sz w:val="20"/>
      <w:szCs w:val="24"/>
      <w:lang w:eastAsia="zh-CN"/>
    </w:rPr>
  </w:style>
  <w:style w:type="paragraph" w:styleId="rsspbodytext" w:customStyle="1">
    <w:name w:val="rssp body text"/>
    <w:basedOn w:val="BodyECR"/>
    <w:qFormat/>
    <w:pPr>
      <w:spacing w:lineRule="auto" w:line="240" w:before="0" w:after="240"/>
      <w:ind w:hanging="0"/>
    </w:pPr>
    <w:rPr/>
  </w:style>
  <w:style w:type="paragraph" w:styleId="Revision2" w:customStyle="1">
    <w:name w:val="Revision2"/>
    <w:uiPriority w:val="99"/>
    <w:semiHidden/>
    <w:qFormat/>
    <w:pPr>
      <w:widowControl/>
      <w:bidi w:val="0"/>
      <w:spacing w:before="0" w:after="0"/>
      <w:jc w:val="left"/>
    </w:pPr>
    <w:rPr>
      <w:rFonts w:ascii="Segoe UI" w:hAnsi="Segoe UI" w:eastAsia="Times New Roman" w:cs="Times New Roman"/>
      <w:color w:val="auto"/>
      <w:kern w:val="0"/>
      <w:sz w:val="22"/>
      <w:szCs w:val="20"/>
      <w:lang w:val="en-US" w:eastAsia="en-US" w:bidi="ar-SA"/>
    </w:rPr>
  </w:style>
  <w:style w:type="paragraph" w:styleId="Revision3" w:customStyle="1">
    <w:name w:val="Revision3"/>
    <w:uiPriority w:val="99"/>
    <w:semiHidden/>
    <w:qFormat/>
    <w:pPr>
      <w:widowControl/>
      <w:bidi w:val="0"/>
      <w:spacing w:before="0" w:after="0"/>
      <w:jc w:val="left"/>
    </w:pPr>
    <w:rPr>
      <w:rFonts w:ascii="Segoe UI" w:hAnsi="Segoe UI" w:eastAsia="Times New Roman" w:cs="Times New Roman"/>
      <w:color w:val="auto"/>
      <w:kern w:val="0"/>
      <w:sz w:val="22"/>
      <w:szCs w:val="20"/>
      <w:lang w:val="en-US" w:eastAsia="en-US" w:bidi="ar-SA"/>
    </w:rPr>
  </w:style>
  <w:style w:type="paragraph" w:styleId="Revision4" w:customStyle="1">
    <w:name w:val="Revision4"/>
    <w:uiPriority w:val="99"/>
    <w:semiHidden/>
    <w:qFormat/>
    <w:pPr>
      <w:widowControl/>
      <w:bidi w:val="0"/>
      <w:spacing w:before="0" w:after="0"/>
      <w:jc w:val="left"/>
    </w:pPr>
    <w:rPr>
      <w:rFonts w:ascii="Segoe UI" w:hAnsi="Segoe UI" w:eastAsia="Times New Roman" w:cs="Times New Roman"/>
      <w:color w:val="auto"/>
      <w:kern w:val="0"/>
      <w:sz w:val="22"/>
      <w:szCs w:val="20"/>
      <w:lang w:val="en-US" w:eastAsia="en-US" w:bidi="ar-SA"/>
    </w:rPr>
  </w:style>
  <w:style w:type="paragraph" w:styleId="Revision">
    <w:name w:val="Revision"/>
    <w:uiPriority w:val="99"/>
    <w:unhideWhenUsed/>
    <w:qFormat/>
    <w:rsid w:val="00a64408"/>
    <w:pPr>
      <w:widowControl/>
      <w:bidi w:val="0"/>
      <w:spacing w:before="0" w:after="0"/>
      <w:jc w:val="left"/>
    </w:pPr>
    <w:rPr>
      <w:rFonts w:ascii="Segoe UI" w:hAnsi="Segoe UI" w:eastAsia="Times New Roman" w:cs="Times New Roman"/>
      <w:color w:val="auto"/>
      <w:kern w:val="0"/>
      <w:sz w:val="22"/>
      <w:szCs w:val="20"/>
      <w:lang w:val="en-US" w:eastAsia="en-US" w:bidi="ar-SA"/>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name w:val="Table Grid 5"/>
    <w:basedOn w:val="TableNormal"/>
    <w:qFormat/>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MediumGrid3-Accent5">
    <w:name w:val="Medium Grid 3 Accent 5"/>
    <w:basedOn w:val="TableNormal"/>
    <w:uiPriority w:val="69"/>
    <w:qFormat/>
    <w:rPr>
      <w:sz w:val="22"/>
      <w:szCs w:val="22"/>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5D5D5"/>
    </w:tcPr>
    <w:tblStylePr w:type="firstRow">
      <w:rPr>
        <w:b/>
        <w:bCs/>
        <w:i w:val="0"/>
      </w:rPr>
      <w:tblPr/>
      <w:tcPr>
        <w:tcBorders>
          <w:top w:val="single" w:color="FFFFFF" w:sz="8" w:space="0"/>
          <w:left w:val="single" w:color="FFFFFF" w:sz="8" w:space="0"/>
          <w:bottom w:val="single" w:color="FFFFFF" w:sz="24" w:space="0"/>
          <w:right w:val="single" w:color="FFFFFF" w:sz="8" w:space="0"/>
          <w:insideH w:val="nil"/>
          <w:insideV w:val="single" w:color="auto" w:sz="8" w:space="0"/>
        </w:tcBorders>
        <w:shd w:val="clear" w:color="auto" w:fill="595959"/>
      </w:tcPr>
    </w:tblStylePr>
    <w:tblStylePr w:type="lastRow">
      <w:rPr>
        <w:b/>
        <w:bCs/>
        <w:i w:val="0"/>
      </w:rPr>
      <w:tblPr/>
      <w:tcPr>
        <w:tcBorders>
          <w:top w:val="single" w:color="FFFFFF" w:sz="24" w:space="0"/>
          <w:left w:val="single" w:color="FFFFFF" w:sz="8" w:space="0"/>
          <w:bottom w:val="single" w:color="FFFFFF" w:sz="8" w:space="0"/>
          <w:right w:val="single" w:color="FFFFFF" w:sz="8" w:space="0"/>
          <w:insideH w:val="nil"/>
          <w:insideV w:val="single" w:color="auto" w:sz="8" w:space="0"/>
        </w:tcBorders>
        <w:shd w:val="clear" w:color="auto" w:fill="595959"/>
      </w:tcPr>
    </w:tblStylePr>
    <w:tblStylePr w:type="firstCol">
      <w:rPr>
        <w:b/>
        <w:bCs/>
        <w:i w:val="0"/>
      </w:rPr>
      <w:tblPr/>
      <w:tcPr>
        <w:tcBorders>
          <w:left w:val="single" w:color="FFFFFF" w:sz="8" w:space="0"/>
          <w:right w:val="single" w:color="FFFFFF" w:sz="24" w:space="0"/>
          <w:insideH w:val="nil"/>
          <w:insideV w:val="nil"/>
        </w:tcBorders>
        <w:shd w:val="clear" w:color="auto" w:fill="595959"/>
      </w:tcPr>
    </w:tblStylePr>
    <w:tblStylePr w:type="lastCol">
      <w:rPr>
        <w:b/>
        <w:bCs/>
        <w:i w:val="0"/>
      </w:rPr>
      <w:tblPr/>
      <w:tcPr>
        <w:tcBorders>
          <w:top w:val="nil"/>
          <w:left w:val="single" w:color="FFFFFF" w:sz="24" w:space="0"/>
          <w:bottom w:val="nil"/>
          <w:right w:val="nil"/>
          <w:insideH w:val="nil"/>
          <w:insideV w:val="nil"/>
        </w:tcBorders>
        <w:shd w:val="clear" w:color="auto" w:fill="5959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CACAC"/>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ACACA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5.png"/><Relationship Id="rId13" Type="http://schemas.openxmlformats.org/officeDocument/2006/relationships/image" Target="media/image6.svg"/><Relationship Id="rId14" Type="http://schemas.openxmlformats.org/officeDocument/2006/relationships/image" Target="media/image5.png"/><Relationship Id="rId15" Type="http://schemas.openxmlformats.org/officeDocument/2006/relationships/image" Target="media/image6.svg"/><Relationship Id="rId16" Type="http://schemas.openxmlformats.org/officeDocument/2006/relationships/image" Target="media/image7.wmf"/><Relationship Id="rId17" Type="http://schemas.openxmlformats.org/officeDocument/2006/relationships/image" Target="media/image7.wmf"/><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image" Target="media/image8.wmf"/><Relationship Id="rId23" Type="http://schemas.openxmlformats.org/officeDocument/2006/relationships/image" Target="media/image8.wmf"/><Relationship Id="rId24" Type="http://schemas.openxmlformats.org/officeDocument/2006/relationships/image" Target="media/image9.jpeg"/><Relationship Id="rId25" Type="http://schemas.openxmlformats.org/officeDocument/2006/relationships/image" Target="media/image9.jpeg"/><Relationship Id="rId26" Type="http://schemas.openxmlformats.org/officeDocument/2006/relationships/image" Target="media/image10.wmf"/><Relationship Id="rId27" Type="http://schemas.openxmlformats.org/officeDocument/2006/relationships/image" Target="media/image10.wmf"/><Relationship Id="rId28" Type="http://schemas.openxmlformats.org/officeDocument/2006/relationships/image" Target="media/image11.jpeg"/><Relationship Id="rId29" Type="http://schemas.openxmlformats.org/officeDocument/2006/relationships/image" Target="media/image11.jpeg"/><Relationship Id="rId30" Type="http://schemas.openxmlformats.org/officeDocument/2006/relationships/image" Target="media/image12.wmf"/><Relationship Id="rId31" Type="http://schemas.openxmlformats.org/officeDocument/2006/relationships/image" Target="media/image13.wmf"/><Relationship Id="rId32" Type="http://schemas.openxmlformats.org/officeDocument/2006/relationships/image" Target="media/image14.wmf"/><Relationship Id="rId33" Type="http://schemas.openxmlformats.org/officeDocument/2006/relationships/image" Target="media/image13.wmf"/><Relationship Id="rId34" Type="http://schemas.openxmlformats.org/officeDocument/2006/relationships/image" Target="media/image14.wmf"/><Relationship Id="rId35" Type="http://schemas.openxmlformats.org/officeDocument/2006/relationships/image" Target="media/image15.wmf"/><Relationship Id="rId36" Type="http://schemas.openxmlformats.org/officeDocument/2006/relationships/image" Target="media/image15.wmf"/><Relationship Id="rId37" Type="http://schemas.openxmlformats.org/officeDocument/2006/relationships/header" Target="header3.xml"/><Relationship Id="rId38" Type="http://schemas.openxmlformats.org/officeDocument/2006/relationships/header" Target="header4.xml"/><Relationship Id="rId39" Type="http://schemas.openxmlformats.org/officeDocument/2006/relationships/footer" Target="footer9.xml"/><Relationship Id="rId40" Type="http://schemas.openxmlformats.org/officeDocument/2006/relationships/footer" Target="footer10.xml"/><Relationship Id="rId41" Type="http://schemas.openxmlformats.org/officeDocument/2006/relationships/image" Target="media/image16.png"/><Relationship Id="rId42" Type="http://schemas.openxmlformats.org/officeDocument/2006/relationships/image" Target="media/image17.wmf"/><Relationship Id="rId43" Type="http://schemas.openxmlformats.org/officeDocument/2006/relationships/image" Target="media/image18.png"/><Relationship Id="rId44" Type="http://schemas.openxmlformats.org/officeDocument/2006/relationships/image" Target="media/image19.jpeg"/><Relationship Id="rId45" Type="http://schemas.openxmlformats.org/officeDocument/2006/relationships/image" Target="media/image19.jpeg"/><Relationship Id="rId46" Type="http://schemas.openxmlformats.org/officeDocument/2006/relationships/header" Target="header5.xml"/><Relationship Id="rId47" Type="http://schemas.openxmlformats.org/officeDocument/2006/relationships/header" Target="header6.xml"/><Relationship Id="rId48" Type="http://schemas.openxmlformats.org/officeDocument/2006/relationships/footer" Target="footer11.xml"/><Relationship Id="rId49" Type="http://schemas.openxmlformats.org/officeDocument/2006/relationships/footer" Target="footer12.xml"/><Relationship Id="rId50" Type="http://schemas.openxmlformats.org/officeDocument/2006/relationships/footer" Target="footer13.xml"/><Relationship Id="rId51" Type="http://schemas.openxmlformats.org/officeDocument/2006/relationships/image" Target="media/image20.wmf"/><Relationship Id="rId52" Type="http://schemas.openxmlformats.org/officeDocument/2006/relationships/image" Target="media/image20.wmf"/><Relationship Id="rId53" Type="http://schemas.openxmlformats.org/officeDocument/2006/relationships/image" Target="media/image21.wmf"/><Relationship Id="rId54" Type="http://schemas.openxmlformats.org/officeDocument/2006/relationships/image" Target="media/image22.wmf"/><Relationship Id="rId55" Type="http://schemas.openxmlformats.org/officeDocument/2006/relationships/image" Target="media/image22.wmf"/><Relationship Id="rId56" Type="http://schemas.openxmlformats.org/officeDocument/2006/relationships/image" Target="media/image23.jpeg"/><Relationship Id="rId57" Type="http://schemas.openxmlformats.org/officeDocument/2006/relationships/image" Target="media/image23.jpeg"/><Relationship Id="rId58" Type="http://schemas.openxmlformats.org/officeDocument/2006/relationships/image" Target="media/image24.jpeg"/><Relationship Id="rId59" Type="http://schemas.openxmlformats.org/officeDocument/2006/relationships/image" Target="media/image24.jpeg"/><Relationship Id="rId60" Type="http://schemas.openxmlformats.org/officeDocument/2006/relationships/image" Target="media/image25.jpeg"/><Relationship Id="rId61" Type="http://schemas.openxmlformats.org/officeDocument/2006/relationships/image" Target="media/image25.jpeg"/><Relationship Id="rId62" Type="http://schemas.openxmlformats.org/officeDocument/2006/relationships/image" Target="media/image26.wmf"/><Relationship Id="rId63" Type="http://schemas.openxmlformats.org/officeDocument/2006/relationships/image" Target="media/image27.png"/><Relationship Id="rId64" Type="http://schemas.openxmlformats.org/officeDocument/2006/relationships/image" Target="media/image26.wmf"/><Relationship Id="rId65" Type="http://schemas.openxmlformats.org/officeDocument/2006/relationships/image" Target="media/image27.png"/><Relationship Id="rId66" Type="http://schemas.openxmlformats.org/officeDocument/2006/relationships/image" Target="media/image28.png"/><Relationship Id="rId67" Type="http://schemas.openxmlformats.org/officeDocument/2006/relationships/image" Target="media/image29.svg"/><Relationship Id="rId68" Type="http://schemas.openxmlformats.org/officeDocument/2006/relationships/image" Target="media/image28.png"/><Relationship Id="rId69" Type="http://schemas.openxmlformats.org/officeDocument/2006/relationships/image" Target="media/image29.svg"/><Relationship Id="rId70" Type="http://schemas.openxmlformats.org/officeDocument/2006/relationships/image" Target="media/image30.jpeg"/><Relationship Id="rId71" Type="http://schemas.openxmlformats.org/officeDocument/2006/relationships/image" Target="media/image30.jpeg"/><Relationship Id="rId72" Type="http://schemas.openxmlformats.org/officeDocument/2006/relationships/header" Target="header7.xml"/><Relationship Id="rId73" Type="http://schemas.openxmlformats.org/officeDocument/2006/relationships/header" Target="header8.xml"/><Relationship Id="rId74" Type="http://schemas.openxmlformats.org/officeDocument/2006/relationships/footer" Target="footer14.xml"/><Relationship Id="rId75" Type="http://schemas.openxmlformats.org/officeDocument/2006/relationships/footer" Target="footer15.xml"/><Relationship Id="rId76" Type="http://schemas.openxmlformats.org/officeDocument/2006/relationships/image" Target="media/image31.jpeg"/><Relationship Id="rId77" Type="http://schemas.openxmlformats.org/officeDocument/2006/relationships/image" Target="media/image31.jpeg"/><Relationship Id="rId78" Type="http://schemas.openxmlformats.org/officeDocument/2006/relationships/header" Target="header9.xml"/><Relationship Id="rId79" Type="http://schemas.openxmlformats.org/officeDocument/2006/relationships/header" Target="header10.xml"/><Relationship Id="rId80" Type="http://schemas.openxmlformats.org/officeDocument/2006/relationships/footer" Target="footer16.xml"/><Relationship Id="rId81" Type="http://schemas.openxmlformats.org/officeDocument/2006/relationships/footer" Target="footer17.xml"/><Relationship Id="rId82" Type="http://schemas.openxmlformats.org/officeDocument/2006/relationships/image" Target="media/image32.wmf"/><Relationship Id="rId83" Type="http://schemas.openxmlformats.org/officeDocument/2006/relationships/image" Target="media/image33.wmf"/><Relationship Id="rId84" Type="http://schemas.openxmlformats.org/officeDocument/2006/relationships/header" Target="header11.xml"/><Relationship Id="rId85" Type="http://schemas.openxmlformats.org/officeDocument/2006/relationships/header" Target="header12.xml"/><Relationship Id="rId86" Type="http://schemas.openxmlformats.org/officeDocument/2006/relationships/footer" Target="footer18.xml"/><Relationship Id="rId87" Type="http://schemas.openxmlformats.org/officeDocument/2006/relationships/footer" Target="footer19.xml"/><Relationship Id="rId88" Type="http://schemas.openxmlformats.org/officeDocument/2006/relationships/image" Target="media/image34.jpeg"/><Relationship Id="rId89" Type="http://schemas.openxmlformats.org/officeDocument/2006/relationships/image" Target="media/image34.jpeg"/><Relationship Id="rId90" Type="http://schemas.openxmlformats.org/officeDocument/2006/relationships/image" Target="media/image35.wmf"/><Relationship Id="rId91" Type="http://schemas.openxmlformats.org/officeDocument/2006/relationships/image" Target="media/image36.jpeg"/><Relationship Id="rId92" Type="http://schemas.openxmlformats.org/officeDocument/2006/relationships/image" Target="media/image36.jpeg"/><Relationship Id="rId93" Type="http://schemas.openxmlformats.org/officeDocument/2006/relationships/image" Target="media/image37.wmf"/><Relationship Id="rId94" Type="http://schemas.openxmlformats.org/officeDocument/2006/relationships/image" Target="media/image38.png"/><Relationship Id="rId95" Type="http://schemas.openxmlformats.org/officeDocument/2006/relationships/image" Target="media/image39.wmf"/><Relationship Id="rId96" Type="http://schemas.openxmlformats.org/officeDocument/2006/relationships/header" Target="header13.xml"/><Relationship Id="rId97" Type="http://schemas.openxmlformats.org/officeDocument/2006/relationships/header" Target="header14.xml"/><Relationship Id="rId98" Type="http://schemas.openxmlformats.org/officeDocument/2006/relationships/footer" Target="footer20.xml"/><Relationship Id="rId99" Type="http://schemas.openxmlformats.org/officeDocument/2006/relationships/footer" Target="footer21.xml"/><Relationship Id="rId100" Type="http://schemas.openxmlformats.org/officeDocument/2006/relationships/image" Target="media/image40.jpeg"/><Relationship Id="rId101" Type="http://schemas.openxmlformats.org/officeDocument/2006/relationships/image" Target="media/image40.jpeg"/><Relationship Id="rId102" Type="http://schemas.openxmlformats.org/officeDocument/2006/relationships/image" Target="media/image41.jpeg"/><Relationship Id="rId103" Type="http://schemas.openxmlformats.org/officeDocument/2006/relationships/image" Target="media/image41.jpeg"/><Relationship Id="rId104" Type="http://schemas.openxmlformats.org/officeDocument/2006/relationships/image" Target="media/image42.jpeg"/><Relationship Id="rId105" Type="http://schemas.openxmlformats.org/officeDocument/2006/relationships/image" Target="media/image42.jpeg"/><Relationship Id="rId106" Type="http://schemas.openxmlformats.org/officeDocument/2006/relationships/header" Target="header15.xml"/><Relationship Id="rId107" Type="http://schemas.openxmlformats.org/officeDocument/2006/relationships/header" Target="header16.xml"/><Relationship Id="rId108" Type="http://schemas.openxmlformats.org/officeDocument/2006/relationships/footer" Target="footer22.xml"/><Relationship Id="rId109" Type="http://schemas.openxmlformats.org/officeDocument/2006/relationships/footer" Target="footer23.xml"/><Relationship Id="rId110" Type="http://schemas.openxmlformats.org/officeDocument/2006/relationships/image" Target="media/image43.wmf"/><Relationship Id="rId111" Type="http://schemas.openxmlformats.org/officeDocument/2006/relationships/image" Target="media/image44.png"/><Relationship Id="rId112" Type="http://schemas.openxmlformats.org/officeDocument/2006/relationships/image" Target="media/image45.jpeg"/><Relationship Id="rId113" Type="http://schemas.openxmlformats.org/officeDocument/2006/relationships/image" Target="media/image45.jpeg"/><Relationship Id="rId114" Type="http://schemas.openxmlformats.org/officeDocument/2006/relationships/image" Target="media/image46.jpeg"/><Relationship Id="rId115" Type="http://schemas.openxmlformats.org/officeDocument/2006/relationships/image" Target="media/image46.jpeg"/><Relationship Id="rId116" Type="http://schemas.openxmlformats.org/officeDocument/2006/relationships/image" Target="media/image47.jpeg"/><Relationship Id="rId117" Type="http://schemas.openxmlformats.org/officeDocument/2006/relationships/image" Target="media/image47.jpeg"/><Relationship Id="rId118" Type="http://schemas.openxmlformats.org/officeDocument/2006/relationships/image" Target="media/image48.wmf"/><Relationship Id="rId119" Type="http://schemas.openxmlformats.org/officeDocument/2006/relationships/image" Target="media/image49.jpeg"/><Relationship Id="rId120" Type="http://schemas.openxmlformats.org/officeDocument/2006/relationships/image" Target="media/image49.jpeg"/><Relationship Id="rId121" Type="http://schemas.openxmlformats.org/officeDocument/2006/relationships/image" Target="media/image50.jpeg"/><Relationship Id="rId122" Type="http://schemas.openxmlformats.org/officeDocument/2006/relationships/image" Target="media/image50.jpeg"/><Relationship Id="rId123" Type="http://schemas.openxmlformats.org/officeDocument/2006/relationships/image" Target="media/image51.wmf"/><Relationship Id="rId124" Type="http://schemas.openxmlformats.org/officeDocument/2006/relationships/image" Target="media/image51.wmf"/><Relationship Id="rId125" Type="http://schemas.openxmlformats.org/officeDocument/2006/relationships/header" Target="header17.xml"/><Relationship Id="rId126" Type="http://schemas.openxmlformats.org/officeDocument/2006/relationships/header" Target="header18.xml"/><Relationship Id="rId127" Type="http://schemas.openxmlformats.org/officeDocument/2006/relationships/footer" Target="footer24.xml"/><Relationship Id="rId128" Type="http://schemas.openxmlformats.org/officeDocument/2006/relationships/footer" Target="footer25.xml"/><Relationship Id="rId129" Type="http://schemas.openxmlformats.org/officeDocument/2006/relationships/image" Target="media/image52.jpeg"/><Relationship Id="rId130" Type="http://schemas.openxmlformats.org/officeDocument/2006/relationships/image" Target="media/image52.jpeg"/><Relationship Id="rId131" Type="http://schemas.openxmlformats.org/officeDocument/2006/relationships/image" Target="media/image53.jpeg"/><Relationship Id="rId132" Type="http://schemas.openxmlformats.org/officeDocument/2006/relationships/image" Target="media/image53.jpeg"/><Relationship Id="rId133" Type="http://schemas.openxmlformats.org/officeDocument/2006/relationships/image" Target="media/image54.png"/><Relationship Id="rId134" Type="http://schemas.openxmlformats.org/officeDocument/2006/relationships/image" Target="media/image55.png"/><Relationship Id="rId135" Type="http://schemas.openxmlformats.org/officeDocument/2006/relationships/header" Target="header19.xml"/><Relationship Id="rId136" Type="http://schemas.openxmlformats.org/officeDocument/2006/relationships/header" Target="header20.xml"/><Relationship Id="rId137" Type="http://schemas.openxmlformats.org/officeDocument/2006/relationships/footer" Target="footer26.xml"/><Relationship Id="rId138" Type="http://schemas.openxmlformats.org/officeDocument/2006/relationships/footer" Target="footer27.xml"/><Relationship Id="rId139" Type="http://schemas.openxmlformats.org/officeDocument/2006/relationships/image" Target="media/image56.jpeg"/><Relationship Id="rId140" Type="http://schemas.openxmlformats.org/officeDocument/2006/relationships/image" Target="media/image56.jpeg"/><Relationship Id="rId141" Type="http://schemas.openxmlformats.org/officeDocument/2006/relationships/header" Target="header21.xml"/><Relationship Id="rId142" Type="http://schemas.openxmlformats.org/officeDocument/2006/relationships/header" Target="header22.xml"/><Relationship Id="rId143" Type="http://schemas.openxmlformats.org/officeDocument/2006/relationships/footer" Target="footer28.xml"/><Relationship Id="rId144" Type="http://schemas.openxmlformats.org/officeDocument/2006/relationships/footer" Target="footer29.xml"/><Relationship Id="rId145" Type="http://schemas.openxmlformats.org/officeDocument/2006/relationships/image" Target="media/image57.wmf"/><Relationship Id="rId146" Type="http://schemas.openxmlformats.org/officeDocument/2006/relationships/image" Target="media/image58.wmf"/><Relationship Id="rId147" Type="http://schemas.openxmlformats.org/officeDocument/2006/relationships/image" Target="media/image57.wmf"/><Relationship Id="rId148" Type="http://schemas.openxmlformats.org/officeDocument/2006/relationships/image" Target="media/image58.wmf"/><Relationship Id="rId149" Type="http://schemas.openxmlformats.org/officeDocument/2006/relationships/header" Target="header23.xml"/><Relationship Id="rId150" Type="http://schemas.openxmlformats.org/officeDocument/2006/relationships/header" Target="header24.xml"/><Relationship Id="rId151" Type="http://schemas.openxmlformats.org/officeDocument/2006/relationships/footer" Target="footer30.xml"/><Relationship Id="rId152" Type="http://schemas.openxmlformats.org/officeDocument/2006/relationships/footer" Target="footer31.xml"/><Relationship Id="rId153" Type="http://schemas.openxmlformats.org/officeDocument/2006/relationships/image" Target="media/image59.wmf"/><Relationship Id="rId154" Type="http://schemas.openxmlformats.org/officeDocument/2006/relationships/image" Target="media/image59.wmf"/><Relationship Id="rId155" Type="http://schemas.openxmlformats.org/officeDocument/2006/relationships/image" Target="media/image60.png"/><Relationship Id="rId156" Type="http://schemas.openxmlformats.org/officeDocument/2006/relationships/image" Target="media/image61.png"/><Relationship Id="rId157" Type="http://schemas.openxmlformats.org/officeDocument/2006/relationships/image" Target="media/image60.png"/><Relationship Id="rId158" Type="http://schemas.openxmlformats.org/officeDocument/2006/relationships/image" Target="media/image61.png"/><Relationship Id="rId159" Type="http://schemas.openxmlformats.org/officeDocument/2006/relationships/image" Target="media/image62.png"/><Relationship Id="rId160" Type="http://schemas.openxmlformats.org/officeDocument/2006/relationships/image" Target="media/image63.png"/><Relationship Id="rId161" Type="http://schemas.openxmlformats.org/officeDocument/2006/relationships/image" Target="media/image62.png"/><Relationship Id="rId162" Type="http://schemas.openxmlformats.org/officeDocument/2006/relationships/image" Target="media/image63.png"/><Relationship Id="rId163" Type="http://schemas.openxmlformats.org/officeDocument/2006/relationships/image" Target="media/image64.png"/><Relationship Id="rId164" Type="http://schemas.openxmlformats.org/officeDocument/2006/relationships/image" Target="media/image65.png"/><Relationship Id="rId165" Type="http://schemas.openxmlformats.org/officeDocument/2006/relationships/image" Target="media/image64.png"/><Relationship Id="rId166" Type="http://schemas.openxmlformats.org/officeDocument/2006/relationships/image" Target="media/image65.png"/><Relationship Id="rId167" Type="http://schemas.openxmlformats.org/officeDocument/2006/relationships/image" Target="media/image66.wmf"/><Relationship Id="rId168" Type="http://schemas.openxmlformats.org/officeDocument/2006/relationships/image" Target="media/image67.wmf"/><Relationship Id="rId169" Type="http://schemas.openxmlformats.org/officeDocument/2006/relationships/image" Target="media/image66.wmf"/><Relationship Id="rId170" Type="http://schemas.openxmlformats.org/officeDocument/2006/relationships/image" Target="media/image67.wmf"/><Relationship Id="rId171" Type="http://schemas.openxmlformats.org/officeDocument/2006/relationships/image" Target="media/image68.wmf"/><Relationship Id="rId172" Type="http://schemas.openxmlformats.org/officeDocument/2006/relationships/image" Target="media/image68.wmf"/><Relationship Id="rId173" Type="http://schemas.openxmlformats.org/officeDocument/2006/relationships/header" Target="header25.xml"/><Relationship Id="rId174" Type="http://schemas.openxmlformats.org/officeDocument/2006/relationships/header" Target="header26.xml"/><Relationship Id="rId175" Type="http://schemas.openxmlformats.org/officeDocument/2006/relationships/footer" Target="footer32.xml"/><Relationship Id="rId176" Type="http://schemas.openxmlformats.org/officeDocument/2006/relationships/footer" Target="footer33.xml"/><Relationship Id="rId177" Type="http://schemas.openxmlformats.org/officeDocument/2006/relationships/hyperlink" Target="http://www.fishbase.org/" TargetMode="External"/><Relationship Id="rId178" Type="http://schemas.openxmlformats.org/officeDocument/2006/relationships/image" Target="media/image69.wmf"/><Relationship Id="rId179" Type="http://schemas.openxmlformats.org/officeDocument/2006/relationships/image" Target="media/image69.wmf"/><Relationship Id="rId180" Type="http://schemas.openxmlformats.org/officeDocument/2006/relationships/image" Target="media/image70.wmf"/><Relationship Id="rId181" Type="http://schemas.openxmlformats.org/officeDocument/2006/relationships/image" Target="media/image70.wmf"/><Relationship Id="rId182" Type="http://schemas.openxmlformats.org/officeDocument/2006/relationships/image" Target="media/image8.wmf"/><Relationship Id="rId183" Type="http://schemas.openxmlformats.org/officeDocument/2006/relationships/image" Target="media/image8.wmf"/><Relationship Id="rId184" Type="http://schemas.openxmlformats.org/officeDocument/2006/relationships/image" Target="media/image71.jpeg"/><Relationship Id="rId185" Type="http://schemas.openxmlformats.org/officeDocument/2006/relationships/image" Target="media/image71.jpeg"/><Relationship Id="rId186" Type="http://schemas.openxmlformats.org/officeDocument/2006/relationships/header" Target="header27.xml"/><Relationship Id="rId187" Type="http://schemas.openxmlformats.org/officeDocument/2006/relationships/header" Target="header28.xml"/><Relationship Id="rId188" Type="http://schemas.openxmlformats.org/officeDocument/2006/relationships/footer" Target="footer34.xml"/><Relationship Id="rId189" Type="http://schemas.openxmlformats.org/officeDocument/2006/relationships/footer" Target="footer35.xml"/><Relationship Id="rId190" Type="http://schemas.openxmlformats.org/officeDocument/2006/relationships/chart" Target="charts/chart1.xml"/><Relationship Id="rId191" Type="http://schemas.openxmlformats.org/officeDocument/2006/relationships/chart" Target="charts/chart2.xml"/><Relationship Id="rId192" Type="http://schemas.openxmlformats.org/officeDocument/2006/relationships/chart" Target="charts/chart3.xml"/><Relationship Id="rId193" Type="http://schemas.openxmlformats.org/officeDocument/2006/relationships/chart" Target="charts/chart4.xml"/><Relationship Id="rId194" Type="http://schemas.openxmlformats.org/officeDocument/2006/relationships/chart" Target="charts/chart5.xml"/><Relationship Id="rId195" Type="http://schemas.openxmlformats.org/officeDocument/2006/relationships/chart" Target="charts/chart6.xml"/><Relationship Id="rId196" Type="http://schemas.openxmlformats.org/officeDocument/2006/relationships/image" Target="media/image72.wmf"/><Relationship Id="rId197" Type="http://schemas.openxmlformats.org/officeDocument/2006/relationships/image" Target="media/image72.wmf"/><Relationship Id="rId198" Type="http://schemas.openxmlformats.org/officeDocument/2006/relationships/image" Target="media/image72.wmf"/><Relationship Id="rId199" Type="http://schemas.openxmlformats.org/officeDocument/2006/relationships/image" Target="media/image72.wmf"/><Relationship Id="rId200" Type="http://schemas.openxmlformats.org/officeDocument/2006/relationships/header" Target="header29.xml"/><Relationship Id="rId201" Type="http://schemas.openxmlformats.org/officeDocument/2006/relationships/header" Target="header30.xml"/><Relationship Id="rId202" Type="http://schemas.openxmlformats.org/officeDocument/2006/relationships/footer" Target="footer36.xml"/><Relationship Id="rId203" Type="http://schemas.openxmlformats.org/officeDocument/2006/relationships/footer" Target="footer37.xml"/><Relationship Id="rId204" Type="http://schemas.openxmlformats.org/officeDocument/2006/relationships/header" Target="header31.xml"/><Relationship Id="rId205" Type="http://schemas.openxmlformats.org/officeDocument/2006/relationships/header" Target="header32.xml"/><Relationship Id="rId206" Type="http://schemas.openxmlformats.org/officeDocument/2006/relationships/footer" Target="footer38.xml"/><Relationship Id="rId207" Type="http://schemas.openxmlformats.org/officeDocument/2006/relationships/footer" Target="footer39.xml"/><Relationship Id="rId208" Type="http://schemas.openxmlformats.org/officeDocument/2006/relationships/header" Target="header33.xml"/><Relationship Id="rId209" Type="http://schemas.openxmlformats.org/officeDocument/2006/relationships/header" Target="header34.xml"/><Relationship Id="rId210" Type="http://schemas.openxmlformats.org/officeDocument/2006/relationships/footer" Target="footer40.xml"/><Relationship Id="rId211" Type="http://schemas.openxmlformats.org/officeDocument/2006/relationships/footer" Target="footer41.xml"/><Relationship Id="rId212" Type="http://schemas.openxmlformats.org/officeDocument/2006/relationships/numbering" Target="numbering.xml"/><Relationship Id="rId213" Type="http://schemas.openxmlformats.org/officeDocument/2006/relationships/fontTable" Target="fontTable.xml"/><Relationship Id="rId214" Type="http://schemas.openxmlformats.org/officeDocument/2006/relationships/settings" Target="settings.xml"/><Relationship Id="rId215" Type="http://schemas.openxmlformats.org/officeDocument/2006/relationships/theme" Target="theme/theme1.xml"/><Relationship Id="rId216" Type="http://schemas.openxmlformats.org/officeDocument/2006/relationships/customXml" Target="../customXml/item1.xml"/><Relationship Id="rId217" Type="http://schemas.openxmlformats.org/officeDocument/2006/relationships/customXml" Target="../customXml/item2.xml"/><Relationship Id="rId218" Type="http://schemas.openxmlformats.org/officeDocument/2006/relationships/customXml" Target="../customXml/item3.xml"/><Relationship Id="rId219" Type="http://schemas.openxmlformats.org/officeDocument/2006/relationships/customXml" Target="../customXml/item4.xml"/><Relationship Id="rId220" Type="http://schemas.openxmlformats.org/officeDocument/2006/relationships/customXml" Target="../customXml/item5.xml"/>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Segment C Outflow TP: Mean</a:t>
            </a:r>
          </a:p>
        </c:rich>
      </c:tx>
      <c:overlay val="0"/>
      <c:spPr>
        <a:noFill/>
        <a:ln w="0">
          <a:noFill/>
        </a:ln>
      </c:spPr>
    </c:title>
    <c:autoTitleDeleted val="0"/>
    <c:plotArea>
      <c:scatterChart>
        <c:scatterStyle val="lineMarker"/>
        <c:varyColors val="0"/>
        <c:ser>
          <c:idx val="0"/>
          <c:order val="0"/>
          <c:tx>
            <c:strRef>
              <c:f>label 0</c:f>
              <c:strCache>
                <c:ptCount val="1"/>
                <c:pt idx="0">
                  <c:v>Flow- weghted g P/m3</c:v>
                </c:pt>
              </c:strCache>
            </c:strRef>
          </c:tx>
          <c:spPr>
            <a:solidFill>
              <a:srgbClr val="5b9bd5"/>
            </a:solidFill>
            <a:ln w="38160">
              <a:noFill/>
            </a:ln>
          </c:spPr>
          <c:marker>
            <c:symbol val="circle"/>
            <c:size val="5"/>
            <c:spPr>
              <a:solidFill>
                <a:srgbClr val="5b9bd5"/>
              </a:solidFill>
            </c:spPr>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cap="rnd" w="19080">
                <a:solidFill>
                  <a:srgbClr val="5b9bd5"/>
                </a:solidFill>
                <a:prstDash val="sysDot"/>
                <a:round/>
              </a:ln>
            </c:spPr>
            <c:trendlineType val="linear"/>
            <c:forward val="0"/>
            <c:backward val="0"/>
            <c:dispRSqr val="0"/>
            <c:dispEq val="0"/>
          </c:trendline>
          <c:trendline>
            <c:spPr>
              <a:ln cap="rnd" w="19080">
                <a:solidFill>
                  <a:srgbClr val="5b9bd5"/>
                </a:solidFill>
                <a:prstDash val="sysDot"/>
                <a:round/>
              </a:ln>
            </c:spPr>
            <c:trendlineType val="linear"/>
            <c:forward val="0"/>
            <c:backward val="0"/>
            <c:dispRSqr val="1"/>
            <c:dispEq val="1"/>
          </c:trendline>
          <c:xVal>
            <c:numRef>
              <c:f>1</c:f>
              <c:numCache>
                <c:formatCode>General</c:formatCode>
                <c:ptCount val="63"/>
                <c:pt idx="0">
                  <c:v>2.37542</c:v>
                </c:pt>
                <c:pt idx="1">
                  <c:v>4.44205</c:v>
                </c:pt>
                <c:pt idx="2">
                  <c:v>2.019545</c:v>
                </c:pt>
                <c:pt idx="3">
                  <c:v>2.866345</c:v>
                </c:pt>
                <c:pt idx="4">
                  <c:v>2.145105</c:v>
                </c:pt>
                <c:pt idx="5">
                  <c:v>1.05777</c:v>
                </c:pt>
                <c:pt idx="6">
                  <c:v>1.540665</c:v>
                </c:pt>
                <c:pt idx="7">
                  <c:v>2.97986</c:v>
                </c:pt>
                <c:pt idx="8">
                  <c:v>1.601255</c:v>
                </c:pt>
                <c:pt idx="9">
                  <c:v>4.3143</c:v>
                </c:pt>
                <c:pt idx="10">
                  <c:v>2.07831</c:v>
                </c:pt>
                <c:pt idx="11">
                  <c:v>2.472875</c:v>
                </c:pt>
                <c:pt idx="12">
                  <c:v>4.3654</c:v>
                </c:pt>
                <c:pt idx="13">
                  <c:v>3.34632</c:v>
                </c:pt>
                <c:pt idx="14">
                  <c:v>3.009425</c:v>
                </c:pt>
                <c:pt idx="15">
                  <c:v>2.79225</c:v>
                </c:pt>
              </c:numCache>
            </c:numRef>
          </c:xVal>
          <c:yVal>
            <c:numRef>
              <c:f>0</c:f>
              <c:numCache>
                <c:formatCode>General</c:formatCode>
                <c:ptCount val="63"/>
                <c:pt idx="0">
                  <c:v>0.00458497305942697</c:v>
                </c:pt>
                <c:pt idx="1">
                  <c:v>0.00263173682344774</c:v>
                </c:pt>
                <c:pt idx="2">
                  <c:v>0.00228284249882735</c:v>
                </c:pt>
                <c:pt idx="3">
                  <c:v>0.00436765432846668</c:v>
                </c:pt>
                <c:pt idx="4">
                  <c:v>0.00356345811346859</c:v>
                </c:pt>
                <c:pt idx="5">
                  <c:v>0.00462982997049096</c:v>
                </c:pt>
                <c:pt idx="6">
                  <c:v>0.00203744523627071</c:v>
                </c:pt>
                <c:pt idx="7">
                  <c:v>0.0051268279521377</c:v>
                </c:pt>
                <c:pt idx="8">
                  <c:v>0.00200937096617284</c:v>
                </c:pt>
                <c:pt idx="9">
                  <c:v>0.00850014432097065</c:v>
                </c:pt>
                <c:pt idx="10">
                  <c:v>0.00990495832070761</c:v>
                </c:pt>
                <c:pt idx="11">
                  <c:v>0.0100828725953781</c:v>
                </c:pt>
                <c:pt idx="12">
                  <c:v>0.0235170510388033</c:v>
                </c:pt>
                <c:pt idx="13">
                  <c:v>0.0274473942110975</c:v>
                </c:pt>
                <c:pt idx="14">
                  <c:v>0.0151209584699975</c:v>
                </c:pt>
                <c:pt idx="15">
                  <c:v>0.025863349170854</c:v>
                </c:pt>
                <c:pt idx="17">
                  <c:v>0</c:v>
                </c:pt>
              </c:numCache>
            </c:numRef>
          </c:yVal>
          <c:smooth val="0"/>
        </c:ser>
        <c:axId val="58389726"/>
        <c:axId val="85050014"/>
      </c:scatterChart>
      <c:valAx>
        <c:axId val="58389726"/>
        <c:scaling>
          <c:orientation val="minMax"/>
        </c:scaling>
        <c:delete val="0"/>
        <c:axPos val="b"/>
        <c:majorGridlines>
          <c:spPr>
            <a:ln w="9360">
              <a:solidFill>
                <a:srgbClr val="d9d9d9"/>
              </a:solidFill>
              <a:round/>
            </a:ln>
          </c:spPr>
        </c:majorGridlines>
        <c:title>
          <c:tx>
            <c:rich>
              <a:bodyPr rot="0"/>
              <a:lstStyle/>
              <a:p>
                <a:pPr>
                  <a:defRPr b="0" lang="en-US" sz="1000" spc="-1" strike="noStrike">
                    <a:solidFill>
                      <a:srgbClr val="595959"/>
                    </a:solidFill>
                    <a:latin typeface="Calibri"/>
                  </a:defRPr>
                </a:pPr>
                <a:r>
                  <a:rPr b="0" lang="en-US" sz="1000" spc="-1" strike="noStrike">
                    <a:solidFill>
                      <a:srgbClr val="595959"/>
                    </a:solidFill>
                    <a:latin typeface="Calibri"/>
                  </a:rPr>
                  <a:t>TPin (g P/m2)</a:t>
                </a:r>
              </a:p>
            </c:rich>
          </c:tx>
          <c:overlay val="0"/>
          <c:spPr>
            <a:noFill/>
            <a:ln w="0">
              <a:noFill/>
            </a:ln>
          </c:spPr>
        </c:title>
        <c:numFmt formatCode="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85050014"/>
        <c:crosses val="autoZero"/>
        <c:crossBetween val="midCat"/>
      </c:valAx>
      <c:valAx>
        <c:axId val="85050014"/>
        <c:scaling>
          <c:orientation val="minMax"/>
        </c:scaling>
        <c:delete val="0"/>
        <c:axPos val="l"/>
        <c:majorGridlines>
          <c:spPr>
            <a:ln w="9360">
              <a:solidFill>
                <a:srgbClr val="d9d9d9"/>
              </a:solidFill>
              <a:round/>
            </a:ln>
          </c:spPr>
        </c:majorGridlines>
        <c:title>
          <c:tx>
            <c:rich>
              <a:bodyPr rot="-5400000"/>
              <a:lstStyle/>
              <a:p>
                <a:pPr>
                  <a:defRPr b="0" lang="en-US" sz="1000" spc="-1" strike="noStrike">
                    <a:solidFill>
                      <a:srgbClr val="595959"/>
                    </a:solidFill>
                    <a:latin typeface="Calibri"/>
                  </a:defRPr>
                </a:pPr>
                <a:r>
                  <a:rPr b="0" lang="en-US" sz="1000" spc="-1" strike="noStrike">
                    <a:solidFill>
                      <a:srgbClr val="595959"/>
                    </a:solidFill>
                    <a:latin typeface="Calibri"/>
                  </a:rPr>
                  <a:t>TPout (g P/m3)</a:t>
                </a:r>
              </a:p>
            </c:rich>
          </c:tx>
          <c:overlay val="0"/>
          <c:spPr>
            <a:noFill/>
            <a:ln w="0">
              <a:noFill/>
            </a:ln>
          </c:spPr>
        </c:title>
        <c:numFmt formatCode="0.0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58389726"/>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Segment  C Outflow TP: Minimum</a:t>
            </a:r>
          </a:p>
        </c:rich>
      </c:tx>
      <c:overlay val="0"/>
      <c:spPr>
        <a:noFill/>
        <a:ln w="0">
          <a:noFill/>
        </a:ln>
      </c:spPr>
    </c:title>
    <c:autoTitleDeleted val="0"/>
    <c:plotArea>
      <c:scatterChart>
        <c:scatterStyle val="lineMarker"/>
        <c:varyColors val="0"/>
        <c:ser>
          <c:idx val="0"/>
          <c:order val="0"/>
          <c:tx>
            <c:strRef>
              <c:f>label 0</c:f>
              <c:strCache>
                <c:ptCount val="1"/>
                <c:pt idx="0">
                  <c:v>Flow- weghted g P/m3</c:v>
                </c:pt>
              </c:strCache>
            </c:strRef>
          </c:tx>
          <c:spPr>
            <a:solidFill>
              <a:srgbClr val="5b9bd5"/>
            </a:solidFill>
            <a:ln w="38160">
              <a:noFill/>
            </a:ln>
          </c:spPr>
          <c:marker>
            <c:symbol val="circle"/>
            <c:size val="5"/>
            <c:spPr>
              <a:solidFill>
                <a:srgbClr val="5b9bd5"/>
              </a:solidFill>
            </c:spPr>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cap="rnd" w="19080">
                <a:solidFill>
                  <a:srgbClr val="5b9bd5"/>
                </a:solidFill>
                <a:prstDash val="sysDot"/>
                <a:round/>
              </a:ln>
            </c:spPr>
            <c:trendlineType val="linear"/>
            <c:forward val="0"/>
            <c:backward val="0"/>
            <c:dispRSqr val="0"/>
            <c:dispEq val="0"/>
          </c:trendline>
          <c:trendline>
            <c:spPr>
              <a:ln cap="rnd" w="19080">
                <a:solidFill>
                  <a:srgbClr val="5b9bd5"/>
                </a:solidFill>
                <a:prstDash val="sysDot"/>
                <a:round/>
              </a:ln>
            </c:spPr>
            <c:trendlineType val="linear"/>
            <c:forward val="0"/>
            <c:backward val="0"/>
            <c:dispRSqr val="1"/>
            <c:dispEq val="1"/>
          </c:trendline>
          <c:xVal>
            <c:numRef>
              <c:f>1</c:f>
              <c:numCache>
                <c:formatCode>General</c:formatCode>
                <c:ptCount val="63"/>
                <c:pt idx="0">
                  <c:v>2.37542</c:v>
                </c:pt>
                <c:pt idx="1">
                  <c:v>4.44205</c:v>
                </c:pt>
                <c:pt idx="2">
                  <c:v>2.019545</c:v>
                </c:pt>
                <c:pt idx="3">
                  <c:v>2.866345</c:v>
                </c:pt>
                <c:pt idx="4">
                  <c:v>2.145105</c:v>
                </c:pt>
                <c:pt idx="5">
                  <c:v>1.05777</c:v>
                </c:pt>
                <c:pt idx="6">
                  <c:v>1.540665</c:v>
                </c:pt>
                <c:pt idx="7">
                  <c:v>2.97986</c:v>
                </c:pt>
                <c:pt idx="8">
                  <c:v>1.601255</c:v>
                </c:pt>
                <c:pt idx="9">
                  <c:v>4.3143</c:v>
                </c:pt>
                <c:pt idx="10">
                  <c:v>2.07831</c:v>
                </c:pt>
                <c:pt idx="11">
                  <c:v>2.472875</c:v>
                </c:pt>
                <c:pt idx="12">
                  <c:v>4.3654</c:v>
                </c:pt>
                <c:pt idx="13">
                  <c:v>3.34632</c:v>
                </c:pt>
                <c:pt idx="14">
                  <c:v>3.009425</c:v>
                </c:pt>
                <c:pt idx="15">
                  <c:v>2.79225</c:v>
                </c:pt>
              </c:numCache>
            </c:numRef>
          </c:xVal>
          <c:yVal>
            <c:numRef>
              <c:f>0</c:f>
              <c:numCache>
                <c:formatCode>General</c:formatCode>
                <c:ptCount val="63"/>
                <c:pt idx="0">
                  <c:v>0.000315205430816148</c:v>
                </c:pt>
                <c:pt idx="1">
                  <c:v>0.00017624278911826</c:v>
                </c:pt>
                <c:pt idx="2">
                  <c:v>2.4905996335215E-005</c:v>
                </c:pt>
                <c:pt idx="3">
                  <c:v>4.30355731168268E-006</c:v>
                </c:pt>
                <c:pt idx="4">
                  <c:v>0</c:v>
                </c:pt>
                <c:pt idx="5">
                  <c:v>0.000164988546712467</c:v>
                </c:pt>
                <c:pt idx="6">
                  <c:v>4.83122218015688E-006</c:v>
                </c:pt>
                <c:pt idx="7">
                  <c:v>0.000149224146525301</c:v>
                </c:pt>
                <c:pt idx="8">
                  <c:v>6.51524458469434E-005</c:v>
                </c:pt>
                <c:pt idx="9">
                  <c:v>0.000205632411221252</c:v>
                </c:pt>
                <c:pt idx="10">
                  <c:v>0.000227524710710599</c:v>
                </c:pt>
                <c:pt idx="11">
                  <c:v>0.000536677698676656</c:v>
                </c:pt>
                <c:pt idx="12">
                  <c:v>0.000367728421167026</c:v>
                </c:pt>
                <c:pt idx="13">
                  <c:v>0.00138734395982958</c:v>
                </c:pt>
                <c:pt idx="14">
                  <c:v>0.00060961432687445</c:v>
                </c:pt>
                <c:pt idx="15">
                  <c:v>0</c:v>
                </c:pt>
              </c:numCache>
            </c:numRef>
          </c:yVal>
          <c:smooth val="0"/>
        </c:ser>
        <c:axId val="44994103"/>
        <c:axId val="35969288"/>
      </c:scatterChart>
      <c:valAx>
        <c:axId val="44994103"/>
        <c:scaling>
          <c:orientation val="minMax"/>
        </c:scaling>
        <c:delete val="0"/>
        <c:axPos val="b"/>
        <c:majorGridlines>
          <c:spPr>
            <a:ln w="9360">
              <a:solidFill>
                <a:srgbClr val="d9d9d9"/>
              </a:solidFill>
              <a:round/>
            </a:ln>
          </c:spPr>
        </c:majorGridlines>
        <c:title>
          <c:tx>
            <c:rich>
              <a:bodyPr rot="0"/>
              <a:lstStyle/>
              <a:p>
                <a:pPr>
                  <a:defRPr b="0" lang="en-US" sz="1000" spc="-1" strike="noStrike">
                    <a:solidFill>
                      <a:srgbClr val="595959"/>
                    </a:solidFill>
                    <a:latin typeface="Calibri"/>
                  </a:defRPr>
                </a:pPr>
                <a:r>
                  <a:rPr b="0" lang="en-US" sz="1000" spc="-1" strike="noStrike">
                    <a:solidFill>
                      <a:srgbClr val="595959"/>
                    </a:solidFill>
                    <a:latin typeface="Calibri"/>
                  </a:rPr>
                  <a:t>TPin (g P/m2/y) </a:t>
                </a:r>
              </a:p>
            </c:rich>
          </c:tx>
          <c:overlay val="0"/>
          <c:spPr>
            <a:noFill/>
            <a:ln w="0">
              <a:noFill/>
            </a:ln>
          </c:spPr>
        </c:title>
        <c:numFmt formatCode="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35969288"/>
        <c:crosses val="autoZero"/>
        <c:crossBetween val="midCat"/>
      </c:valAx>
      <c:valAx>
        <c:axId val="35969288"/>
        <c:scaling>
          <c:orientation val="minMax"/>
        </c:scaling>
        <c:delete val="0"/>
        <c:axPos val="l"/>
        <c:majorGridlines>
          <c:spPr>
            <a:ln w="9360">
              <a:solidFill>
                <a:srgbClr val="d9d9d9"/>
              </a:solidFill>
              <a:round/>
            </a:ln>
          </c:spPr>
        </c:majorGridlines>
        <c:title>
          <c:tx>
            <c:rich>
              <a:bodyPr rot="-5400000"/>
              <a:lstStyle/>
              <a:p>
                <a:pPr>
                  <a:defRPr b="0" lang="en-US" sz="1000" spc="-1" strike="noStrike">
                    <a:solidFill>
                      <a:srgbClr val="595959"/>
                    </a:solidFill>
                    <a:latin typeface="Calibri"/>
                  </a:defRPr>
                </a:pPr>
                <a:r>
                  <a:rPr b="0" lang="en-US" sz="1000" spc="-1" strike="noStrike">
                    <a:solidFill>
                      <a:srgbClr val="595959"/>
                    </a:solidFill>
                    <a:latin typeface="Calibri"/>
                  </a:rPr>
                  <a:t>TPout (g P/m3)</a:t>
                </a:r>
              </a:p>
            </c:rich>
          </c:tx>
          <c:overlay val="0"/>
          <c:spPr>
            <a:noFill/>
            <a:ln w="0">
              <a:noFill/>
            </a:ln>
          </c:spPr>
        </c:title>
        <c:numFmt formatCode="0.00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44994103"/>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charts/chart3.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Segment C Outflow TP: Maximum</a:t>
            </a:r>
          </a:p>
        </c:rich>
      </c:tx>
      <c:overlay val="0"/>
      <c:spPr>
        <a:noFill/>
        <a:ln w="0">
          <a:noFill/>
        </a:ln>
      </c:spPr>
    </c:title>
    <c:autoTitleDeleted val="0"/>
    <c:plotArea>
      <c:scatterChart>
        <c:scatterStyle val="lineMarker"/>
        <c:varyColors val="0"/>
        <c:ser>
          <c:idx val="0"/>
          <c:order val="0"/>
          <c:tx>
            <c:strRef>
              <c:f>label 0</c:f>
              <c:strCache>
                <c:ptCount val="1"/>
                <c:pt idx="0">
                  <c:v>Flow- weghted g P/m3</c:v>
                </c:pt>
              </c:strCache>
            </c:strRef>
          </c:tx>
          <c:spPr>
            <a:solidFill>
              <a:srgbClr val="5b9bd5"/>
            </a:solidFill>
            <a:ln w="38160">
              <a:noFill/>
            </a:ln>
          </c:spPr>
          <c:marker>
            <c:symbol val="circle"/>
            <c:size val="5"/>
            <c:spPr>
              <a:solidFill>
                <a:srgbClr val="5b9bd5"/>
              </a:solidFill>
            </c:spPr>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cap="rnd" w="19080">
                <a:solidFill>
                  <a:srgbClr val="5b9bd5"/>
                </a:solidFill>
                <a:prstDash val="sysDot"/>
                <a:round/>
              </a:ln>
            </c:spPr>
            <c:trendlineType val="linear"/>
            <c:forward val="0"/>
            <c:backward val="0"/>
            <c:dispRSqr val="1"/>
            <c:dispEq val="1"/>
          </c:trendline>
          <c:xVal>
            <c:numRef>
              <c:f>1</c:f>
              <c:numCache>
                <c:formatCode>General</c:formatCode>
                <c:ptCount val="63"/>
                <c:pt idx="0">
                  <c:v>2.37542</c:v>
                </c:pt>
                <c:pt idx="1">
                  <c:v>4.44205</c:v>
                </c:pt>
                <c:pt idx="2">
                  <c:v>2.019545</c:v>
                </c:pt>
                <c:pt idx="3">
                  <c:v>2.866345</c:v>
                </c:pt>
                <c:pt idx="4">
                  <c:v>2.145105</c:v>
                </c:pt>
                <c:pt idx="5">
                  <c:v>1.05777</c:v>
                </c:pt>
                <c:pt idx="6">
                  <c:v>1.540665</c:v>
                </c:pt>
                <c:pt idx="7">
                  <c:v>2.97986</c:v>
                </c:pt>
                <c:pt idx="8">
                  <c:v>1.601255</c:v>
                </c:pt>
                <c:pt idx="9">
                  <c:v>4.3143</c:v>
                </c:pt>
                <c:pt idx="10">
                  <c:v>2.07831</c:v>
                </c:pt>
                <c:pt idx="11">
                  <c:v>2.472875</c:v>
                </c:pt>
                <c:pt idx="12">
                  <c:v>4.3654</c:v>
                </c:pt>
                <c:pt idx="13">
                  <c:v>3.34632</c:v>
                </c:pt>
                <c:pt idx="14">
                  <c:v>3.009425</c:v>
                </c:pt>
                <c:pt idx="15">
                  <c:v>2.79225</c:v>
                </c:pt>
              </c:numCache>
            </c:numRef>
          </c:xVal>
          <c:yVal>
            <c:numRef>
              <c:f>0</c:f>
              <c:numCache>
                <c:formatCode>General</c:formatCode>
                <c:ptCount val="63"/>
                <c:pt idx="0">
                  <c:v>0.0431465718744262</c:v>
                </c:pt>
                <c:pt idx="1">
                  <c:v>0.0148739778740279</c:v>
                </c:pt>
                <c:pt idx="2">
                  <c:v>0.0130585125516306</c:v>
                </c:pt>
                <c:pt idx="3">
                  <c:v>0.0528661047127216</c:v>
                </c:pt>
                <c:pt idx="4">
                  <c:v>0.0282781142202465</c:v>
                </c:pt>
                <c:pt idx="5">
                  <c:v>0.0298316693591927</c:v>
                </c:pt>
                <c:pt idx="6">
                  <c:v>0.0123428684308553</c:v>
                </c:pt>
                <c:pt idx="7">
                  <c:v>0.0337466737920742</c:v>
                </c:pt>
                <c:pt idx="8">
                  <c:v>0.0186425182925158</c:v>
                </c:pt>
                <c:pt idx="9">
                  <c:v>0.066490675960206</c:v>
                </c:pt>
                <c:pt idx="10">
                  <c:v>0.0657765566542951</c:v>
                </c:pt>
                <c:pt idx="11">
                  <c:v>0.0419985253172814</c:v>
                </c:pt>
                <c:pt idx="12">
                  <c:v>0.114590724077021</c:v>
                </c:pt>
                <c:pt idx="13">
                  <c:v>0.168763836420343</c:v>
                </c:pt>
                <c:pt idx="14">
                  <c:v>0.0982231509672063</c:v>
                </c:pt>
                <c:pt idx="15">
                  <c:v>0.151928448894654</c:v>
                </c:pt>
              </c:numCache>
            </c:numRef>
          </c:yVal>
          <c:smooth val="0"/>
        </c:ser>
        <c:axId val="39401201"/>
        <c:axId val="2368635"/>
      </c:scatterChart>
      <c:valAx>
        <c:axId val="39401201"/>
        <c:scaling>
          <c:orientation val="minMax"/>
        </c:scaling>
        <c:delete val="0"/>
        <c:axPos val="b"/>
        <c:majorGridlines>
          <c:spPr>
            <a:ln w="9360">
              <a:solidFill>
                <a:srgbClr val="d9d9d9"/>
              </a:solidFill>
              <a:round/>
            </a:ln>
          </c:spPr>
        </c:majorGridlines>
        <c:title>
          <c:tx>
            <c:rich>
              <a:bodyPr rot="0"/>
              <a:lstStyle/>
              <a:p>
                <a:pPr>
                  <a:defRPr b="0" lang="en-US" sz="1000" spc="-1" strike="noStrike">
                    <a:solidFill>
                      <a:srgbClr val="595959"/>
                    </a:solidFill>
                    <a:latin typeface="Calibri"/>
                  </a:defRPr>
                </a:pPr>
                <a:r>
                  <a:rPr b="0" lang="en-US" sz="1000" spc="-1" strike="noStrike">
                    <a:solidFill>
                      <a:srgbClr val="595959"/>
                    </a:solidFill>
                    <a:latin typeface="Calibri"/>
                  </a:rPr>
                  <a:t>TPin (g P/m2/y) </a:t>
                </a:r>
              </a:p>
            </c:rich>
          </c:tx>
          <c:overlay val="0"/>
          <c:spPr>
            <a:noFill/>
            <a:ln w="0">
              <a:noFill/>
            </a:ln>
          </c:spPr>
        </c:title>
        <c:numFmt formatCode="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2368635"/>
        <c:crosses val="autoZero"/>
        <c:crossBetween val="midCat"/>
      </c:valAx>
      <c:valAx>
        <c:axId val="2368635"/>
        <c:scaling>
          <c:orientation val="minMax"/>
        </c:scaling>
        <c:delete val="0"/>
        <c:axPos val="l"/>
        <c:majorGridlines>
          <c:spPr>
            <a:ln w="9360">
              <a:solidFill>
                <a:srgbClr val="d9d9d9"/>
              </a:solidFill>
              <a:round/>
            </a:ln>
          </c:spPr>
        </c:majorGridlines>
        <c:title>
          <c:tx>
            <c:rich>
              <a:bodyPr rot="-5400000"/>
              <a:lstStyle/>
              <a:p>
                <a:pPr>
                  <a:defRPr b="0" lang="en-US" sz="1000" spc="-1" strike="noStrike">
                    <a:solidFill>
                      <a:srgbClr val="595959"/>
                    </a:solidFill>
                    <a:latin typeface="Calibri"/>
                  </a:defRPr>
                </a:pPr>
                <a:r>
                  <a:rPr b="0" lang="en-US" sz="1000" spc="-1" strike="noStrike">
                    <a:solidFill>
                      <a:srgbClr val="595959"/>
                    </a:solidFill>
                    <a:latin typeface="Calibri"/>
                  </a:rPr>
                  <a:t>TPout (g P/m3) </a:t>
                </a:r>
              </a:p>
            </c:rich>
          </c:tx>
          <c:overlay val="0"/>
          <c:spPr>
            <a:noFill/>
            <a:ln w="0">
              <a:noFill/>
            </a:ln>
          </c:spPr>
        </c:title>
        <c:numFmt formatCode="0.0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39401201"/>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charts/chart4.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Segment C Outflow TP: Mean</a:t>
            </a:r>
          </a:p>
        </c:rich>
      </c:tx>
      <c:overlay val="0"/>
      <c:spPr>
        <a:noFill/>
        <a:ln w="0">
          <a:noFill/>
        </a:ln>
      </c:spPr>
    </c:title>
    <c:autoTitleDeleted val="0"/>
    <c:plotArea>
      <c:scatterChart>
        <c:scatterStyle val="lineMarker"/>
        <c:varyColors val="0"/>
        <c:ser>
          <c:idx val="0"/>
          <c:order val="0"/>
          <c:tx>
            <c:strRef>
              <c:f>label 0</c:f>
              <c:strCache>
                <c:ptCount val="1"/>
                <c:pt idx="0">
                  <c:v>Flow- weghted g P/m3</c:v>
                </c:pt>
              </c:strCache>
            </c:strRef>
          </c:tx>
          <c:spPr>
            <a:solidFill>
              <a:srgbClr val="5b9bd5"/>
            </a:solidFill>
            <a:ln w="38160">
              <a:noFill/>
            </a:ln>
          </c:spPr>
          <c:marker>
            <c:symbol val="circle"/>
            <c:size val="5"/>
            <c:spPr>
              <a:solidFill>
                <a:srgbClr val="5b9bd5"/>
              </a:solidFill>
            </c:spPr>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cap="rnd" w="19080">
                <a:solidFill>
                  <a:srgbClr val="5b9bd5"/>
                </a:solidFill>
                <a:prstDash val="sysDot"/>
                <a:round/>
              </a:ln>
            </c:spPr>
            <c:trendlineType val="linear"/>
            <c:forward val="0"/>
            <c:backward val="0"/>
            <c:dispRSqr val="0"/>
            <c:dispEq val="0"/>
          </c:trendline>
          <c:trendline>
            <c:spPr>
              <a:ln cap="rnd" w="19080">
                <a:solidFill>
                  <a:srgbClr val="5b9bd5"/>
                </a:solidFill>
                <a:prstDash val="sysDot"/>
                <a:round/>
              </a:ln>
            </c:spPr>
            <c:trendlineType val="linear"/>
            <c:forward val="0"/>
            <c:backward val="0"/>
            <c:dispRSqr val="1"/>
            <c:dispEq val="1"/>
          </c:trendline>
          <c:xVal>
            <c:numRef>
              <c:f>1</c:f>
              <c:numCache>
                <c:formatCode>General</c:formatCode>
                <c:ptCount val="63"/>
                <c:pt idx="0">
                  <c:v>2.37542</c:v>
                </c:pt>
                <c:pt idx="1">
                  <c:v>4.44205</c:v>
                </c:pt>
                <c:pt idx="2">
                  <c:v>2.019545</c:v>
                </c:pt>
                <c:pt idx="3">
                  <c:v>2.866345</c:v>
                </c:pt>
                <c:pt idx="4">
                  <c:v>2.145105</c:v>
                </c:pt>
                <c:pt idx="5">
                  <c:v>1.05777</c:v>
                </c:pt>
                <c:pt idx="6">
                  <c:v>1.540665</c:v>
                </c:pt>
                <c:pt idx="7">
                  <c:v>2.97986</c:v>
                </c:pt>
                <c:pt idx="8">
                  <c:v>1.601255</c:v>
                </c:pt>
                <c:pt idx="9">
                  <c:v>4.3143</c:v>
                </c:pt>
                <c:pt idx="10">
                  <c:v>2.07831</c:v>
                </c:pt>
                <c:pt idx="11">
                  <c:v>2.472875</c:v>
                </c:pt>
                <c:pt idx="12">
                  <c:v>4.3654</c:v>
                </c:pt>
                <c:pt idx="13">
                  <c:v>3.34632</c:v>
                </c:pt>
                <c:pt idx="14">
                  <c:v>3.009425</c:v>
                </c:pt>
                <c:pt idx="15">
                  <c:v>2.79225</c:v>
                </c:pt>
              </c:numCache>
            </c:numRef>
          </c:xVal>
          <c:yVal>
            <c:numRef>
              <c:f>0</c:f>
              <c:numCache>
                <c:formatCode>General</c:formatCode>
                <c:ptCount val="63"/>
                <c:pt idx="0">
                  <c:v>0.00458497305942697</c:v>
                </c:pt>
                <c:pt idx="1">
                  <c:v>0.00263173682344774</c:v>
                </c:pt>
                <c:pt idx="2">
                  <c:v>0.00228284249882735</c:v>
                </c:pt>
                <c:pt idx="3">
                  <c:v>0.00436765432846668</c:v>
                </c:pt>
                <c:pt idx="4">
                  <c:v>0.00356345811346859</c:v>
                </c:pt>
                <c:pt idx="5">
                  <c:v>0.00462982997049096</c:v>
                </c:pt>
                <c:pt idx="6">
                  <c:v>0.00203744523627071</c:v>
                </c:pt>
                <c:pt idx="7">
                  <c:v>0.0051268279521377</c:v>
                </c:pt>
                <c:pt idx="8">
                  <c:v>0.00200937096617284</c:v>
                </c:pt>
                <c:pt idx="9">
                  <c:v>0.00850014432097065</c:v>
                </c:pt>
                <c:pt idx="10">
                  <c:v>0.00990495832070761</c:v>
                </c:pt>
                <c:pt idx="11">
                  <c:v>0.0100828725953781</c:v>
                </c:pt>
                <c:pt idx="12">
                  <c:v>0.0235170510388033</c:v>
                </c:pt>
                <c:pt idx="13">
                  <c:v>0.0274473942110975</c:v>
                </c:pt>
                <c:pt idx="14">
                  <c:v>0.0151209584699975</c:v>
                </c:pt>
                <c:pt idx="15">
                  <c:v>0.025863349170854</c:v>
                </c:pt>
                <c:pt idx="17">
                  <c:v>0</c:v>
                </c:pt>
              </c:numCache>
            </c:numRef>
          </c:yVal>
          <c:smooth val="0"/>
        </c:ser>
        <c:axId val="72685033"/>
        <c:axId val="41861089"/>
      </c:scatterChart>
      <c:valAx>
        <c:axId val="72685033"/>
        <c:scaling>
          <c:orientation val="minMax"/>
        </c:scaling>
        <c:delete val="0"/>
        <c:axPos val="b"/>
        <c:majorGridlines>
          <c:spPr>
            <a:ln w="9360">
              <a:solidFill>
                <a:srgbClr val="d9d9d9"/>
              </a:solidFill>
              <a:round/>
            </a:ln>
          </c:spPr>
        </c:majorGridlines>
        <c:title>
          <c:tx>
            <c:rich>
              <a:bodyPr rot="0"/>
              <a:lstStyle/>
              <a:p>
                <a:pPr>
                  <a:defRPr b="0" lang="en-US" sz="1000" spc="-1" strike="noStrike">
                    <a:solidFill>
                      <a:srgbClr val="595959"/>
                    </a:solidFill>
                    <a:latin typeface="Calibri"/>
                  </a:defRPr>
                </a:pPr>
                <a:r>
                  <a:rPr b="0" lang="en-US" sz="1000" spc="-1" strike="noStrike">
                    <a:solidFill>
                      <a:srgbClr val="595959"/>
                    </a:solidFill>
                    <a:latin typeface="Calibri"/>
                  </a:rPr>
                  <a:t>TPin (g P/m2)</a:t>
                </a:r>
              </a:p>
            </c:rich>
          </c:tx>
          <c:overlay val="0"/>
          <c:spPr>
            <a:noFill/>
            <a:ln w="0">
              <a:noFill/>
            </a:ln>
          </c:spPr>
        </c:title>
        <c:numFmt formatCode="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41861089"/>
        <c:crosses val="autoZero"/>
        <c:crossBetween val="midCat"/>
      </c:valAx>
      <c:valAx>
        <c:axId val="41861089"/>
        <c:scaling>
          <c:orientation val="minMax"/>
        </c:scaling>
        <c:delete val="0"/>
        <c:axPos val="l"/>
        <c:majorGridlines>
          <c:spPr>
            <a:ln w="9360">
              <a:solidFill>
                <a:srgbClr val="d9d9d9"/>
              </a:solidFill>
              <a:round/>
            </a:ln>
          </c:spPr>
        </c:majorGridlines>
        <c:title>
          <c:tx>
            <c:rich>
              <a:bodyPr rot="-5400000"/>
              <a:lstStyle/>
              <a:p>
                <a:pPr>
                  <a:defRPr b="0" lang="en-US" sz="1000" spc="-1" strike="noStrike">
                    <a:solidFill>
                      <a:srgbClr val="595959"/>
                    </a:solidFill>
                    <a:latin typeface="Calibri"/>
                  </a:defRPr>
                </a:pPr>
                <a:r>
                  <a:rPr b="0" lang="en-US" sz="1000" spc="-1" strike="noStrike">
                    <a:solidFill>
                      <a:srgbClr val="595959"/>
                    </a:solidFill>
                    <a:latin typeface="Calibri"/>
                  </a:rPr>
                  <a:t>TPout (g P/m3)</a:t>
                </a:r>
              </a:p>
            </c:rich>
          </c:tx>
          <c:overlay val="0"/>
          <c:spPr>
            <a:noFill/>
            <a:ln w="0">
              <a:noFill/>
            </a:ln>
          </c:spPr>
        </c:title>
        <c:numFmt formatCode="0.0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72685033"/>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charts/chart5.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Segment  C Outflow TP: Minimum</a:t>
            </a:r>
          </a:p>
        </c:rich>
      </c:tx>
      <c:overlay val="0"/>
      <c:spPr>
        <a:noFill/>
        <a:ln w="0">
          <a:noFill/>
        </a:ln>
      </c:spPr>
    </c:title>
    <c:autoTitleDeleted val="0"/>
    <c:plotArea>
      <c:scatterChart>
        <c:scatterStyle val="lineMarker"/>
        <c:varyColors val="0"/>
        <c:ser>
          <c:idx val="0"/>
          <c:order val="0"/>
          <c:tx>
            <c:strRef>
              <c:f>label 0</c:f>
              <c:strCache>
                <c:ptCount val="1"/>
                <c:pt idx="0">
                  <c:v>Flow- weghted g P/m3</c:v>
                </c:pt>
              </c:strCache>
            </c:strRef>
          </c:tx>
          <c:spPr>
            <a:solidFill>
              <a:srgbClr val="5b9bd5"/>
            </a:solidFill>
            <a:ln w="38160">
              <a:noFill/>
            </a:ln>
          </c:spPr>
          <c:marker>
            <c:symbol val="circle"/>
            <c:size val="5"/>
            <c:spPr>
              <a:solidFill>
                <a:srgbClr val="5b9bd5"/>
              </a:solidFill>
            </c:spPr>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cap="rnd" w="19080">
                <a:solidFill>
                  <a:srgbClr val="5b9bd5"/>
                </a:solidFill>
                <a:prstDash val="sysDot"/>
                <a:round/>
              </a:ln>
            </c:spPr>
            <c:trendlineType val="linear"/>
            <c:forward val="0"/>
            <c:backward val="0"/>
            <c:dispRSqr val="0"/>
            <c:dispEq val="0"/>
          </c:trendline>
          <c:trendline>
            <c:spPr>
              <a:ln cap="rnd" w="19080">
                <a:solidFill>
                  <a:srgbClr val="5b9bd5"/>
                </a:solidFill>
                <a:prstDash val="sysDot"/>
                <a:round/>
              </a:ln>
            </c:spPr>
            <c:trendlineType val="linear"/>
            <c:forward val="0"/>
            <c:backward val="0"/>
            <c:dispRSqr val="1"/>
            <c:dispEq val="1"/>
          </c:trendline>
          <c:xVal>
            <c:numRef>
              <c:f>1</c:f>
              <c:numCache>
                <c:formatCode>General</c:formatCode>
                <c:ptCount val="63"/>
                <c:pt idx="0">
                  <c:v>2.37542</c:v>
                </c:pt>
                <c:pt idx="1">
                  <c:v>4.44205</c:v>
                </c:pt>
                <c:pt idx="2">
                  <c:v>2.019545</c:v>
                </c:pt>
                <c:pt idx="3">
                  <c:v>2.866345</c:v>
                </c:pt>
                <c:pt idx="4">
                  <c:v>2.145105</c:v>
                </c:pt>
                <c:pt idx="5">
                  <c:v>1.05777</c:v>
                </c:pt>
                <c:pt idx="6">
                  <c:v>1.540665</c:v>
                </c:pt>
                <c:pt idx="7">
                  <c:v>2.97986</c:v>
                </c:pt>
                <c:pt idx="8">
                  <c:v>1.601255</c:v>
                </c:pt>
                <c:pt idx="9">
                  <c:v>4.3143</c:v>
                </c:pt>
                <c:pt idx="10">
                  <c:v>2.07831</c:v>
                </c:pt>
                <c:pt idx="11">
                  <c:v>2.472875</c:v>
                </c:pt>
                <c:pt idx="12">
                  <c:v>4.3654</c:v>
                </c:pt>
                <c:pt idx="13">
                  <c:v>3.34632</c:v>
                </c:pt>
                <c:pt idx="14">
                  <c:v>3.009425</c:v>
                </c:pt>
                <c:pt idx="15">
                  <c:v>2.79225</c:v>
                </c:pt>
              </c:numCache>
            </c:numRef>
          </c:xVal>
          <c:yVal>
            <c:numRef>
              <c:f>0</c:f>
              <c:numCache>
                <c:formatCode>General</c:formatCode>
                <c:ptCount val="63"/>
                <c:pt idx="0">
                  <c:v>0.000315205430816148</c:v>
                </c:pt>
                <c:pt idx="1">
                  <c:v>0.00017624278911826</c:v>
                </c:pt>
                <c:pt idx="2">
                  <c:v>2.4905996335215E-005</c:v>
                </c:pt>
                <c:pt idx="3">
                  <c:v>4.30355731168268E-006</c:v>
                </c:pt>
                <c:pt idx="4">
                  <c:v>0</c:v>
                </c:pt>
                <c:pt idx="5">
                  <c:v>0.000164988546712467</c:v>
                </c:pt>
                <c:pt idx="6">
                  <c:v>4.83122218015688E-006</c:v>
                </c:pt>
                <c:pt idx="7">
                  <c:v>0.000149224146525301</c:v>
                </c:pt>
                <c:pt idx="8">
                  <c:v>6.51524458469434E-005</c:v>
                </c:pt>
                <c:pt idx="9">
                  <c:v>0.000205632411221252</c:v>
                </c:pt>
                <c:pt idx="10">
                  <c:v>0.000227524710710599</c:v>
                </c:pt>
                <c:pt idx="11">
                  <c:v>0.000536677698676656</c:v>
                </c:pt>
                <c:pt idx="12">
                  <c:v>0.000367728421167026</c:v>
                </c:pt>
                <c:pt idx="13">
                  <c:v>0.00138734395982958</c:v>
                </c:pt>
                <c:pt idx="14">
                  <c:v>0.00060961432687445</c:v>
                </c:pt>
                <c:pt idx="15">
                  <c:v>0</c:v>
                </c:pt>
              </c:numCache>
            </c:numRef>
          </c:yVal>
          <c:smooth val="0"/>
        </c:ser>
        <c:axId val="35235145"/>
        <c:axId val="34313583"/>
      </c:scatterChart>
      <c:valAx>
        <c:axId val="35235145"/>
        <c:scaling>
          <c:orientation val="minMax"/>
        </c:scaling>
        <c:delete val="0"/>
        <c:axPos val="b"/>
        <c:majorGridlines>
          <c:spPr>
            <a:ln w="9360">
              <a:solidFill>
                <a:srgbClr val="d9d9d9"/>
              </a:solidFill>
              <a:round/>
            </a:ln>
          </c:spPr>
        </c:majorGridlines>
        <c:title>
          <c:tx>
            <c:rich>
              <a:bodyPr rot="0"/>
              <a:lstStyle/>
              <a:p>
                <a:pPr>
                  <a:defRPr b="0" lang="en-US" sz="1000" spc="-1" strike="noStrike">
                    <a:solidFill>
                      <a:srgbClr val="595959"/>
                    </a:solidFill>
                    <a:latin typeface="Calibri"/>
                  </a:defRPr>
                </a:pPr>
                <a:r>
                  <a:rPr b="0" lang="en-US" sz="1000" spc="-1" strike="noStrike">
                    <a:solidFill>
                      <a:srgbClr val="595959"/>
                    </a:solidFill>
                    <a:latin typeface="Calibri"/>
                  </a:rPr>
                  <a:t>TPin (g P/m2/y) </a:t>
                </a:r>
              </a:p>
            </c:rich>
          </c:tx>
          <c:overlay val="0"/>
          <c:spPr>
            <a:noFill/>
            <a:ln w="0">
              <a:noFill/>
            </a:ln>
          </c:spPr>
        </c:title>
        <c:numFmt formatCode="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34313583"/>
        <c:crosses val="autoZero"/>
        <c:crossBetween val="midCat"/>
      </c:valAx>
      <c:valAx>
        <c:axId val="34313583"/>
        <c:scaling>
          <c:orientation val="minMax"/>
        </c:scaling>
        <c:delete val="0"/>
        <c:axPos val="l"/>
        <c:majorGridlines>
          <c:spPr>
            <a:ln w="9360">
              <a:solidFill>
                <a:srgbClr val="d9d9d9"/>
              </a:solidFill>
              <a:round/>
            </a:ln>
          </c:spPr>
        </c:majorGridlines>
        <c:title>
          <c:tx>
            <c:rich>
              <a:bodyPr rot="-5400000"/>
              <a:lstStyle/>
              <a:p>
                <a:pPr>
                  <a:defRPr b="0" lang="en-US" sz="1000" spc="-1" strike="noStrike">
                    <a:solidFill>
                      <a:srgbClr val="595959"/>
                    </a:solidFill>
                    <a:latin typeface="Calibri"/>
                  </a:defRPr>
                </a:pPr>
                <a:r>
                  <a:rPr b="0" lang="en-US" sz="1000" spc="-1" strike="noStrike">
                    <a:solidFill>
                      <a:srgbClr val="595959"/>
                    </a:solidFill>
                    <a:latin typeface="Calibri"/>
                  </a:rPr>
                  <a:t>TPout (g P/m3)</a:t>
                </a:r>
              </a:p>
            </c:rich>
          </c:tx>
          <c:overlay val="0"/>
          <c:spPr>
            <a:noFill/>
            <a:ln w="0">
              <a:noFill/>
            </a:ln>
          </c:spPr>
        </c:title>
        <c:numFmt formatCode="0.00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35235145"/>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charts/chart6.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Segment C Outflow TP: Maximum</a:t>
            </a:r>
          </a:p>
        </c:rich>
      </c:tx>
      <c:overlay val="0"/>
      <c:spPr>
        <a:noFill/>
        <a:ln w="0">
          <a:noFill/>
        </a:ln>
      </c:spPr>
    </c:title>
    <c:autoTitleDeleted val="0"/>
    <c:plotArea>
      <c:scatterChart>
        <c:scatterStyle val="lineMarker"/>
        <c:varyColors val="0"/>
        <c:ser>
          <c:idx val="0"/>
          <c:order val="0"/>
          <c:tx>
            <c:strRef>
              <c:f>label 0</c:f>
              <c:strCache>
                <c:ptCount val="1"/>
                <c:pt idx="0">
                  <c:v>Flow- weghted g P/m3</c:v>
                </c:pt>
              </c:strCache>
            </c:strRef>
          </c:tx>
          <c:spPr>
            <a:solidFill>
              <a:srgbClr val="5b9bd5"/>
            </a:solidFill>
            <a:ln w="38160">
              <a:noFill/>
            </a:ln>
          </c:spPr>
          <c:marker>
            <c:symbol val="circle"/>
            <c:size val="5"/>
            <c:spPr>
              <a:solidFill>
                <a:srgbClr val="5b9bd5"/>
              </a:solidFill>
            </c:spPr>
          </c:marker>
          <c:dLbls>
            <c:txPr>
              <a:bodyPr wrap="square"/>
              <a:lstStyle/>
              <a:p>
                <a:pPr>
                  <a:defRPr b="0" sz="1000" spc="-1" strike="noStrike">
                    <a:solidFill>
                      <a:srgbClr val="000000"/>
                    </a:solidFill>
                    <a:latin typeface="Calibri"/>
                  </a:defRPr>
                </a:pPr>
              </a:p>
            </c:txPr>
            <c:dLblPos val="r"/>
            <c:showLegendKey val="0"/>
            <c:showVal val="0"/>
            <c:showCatName val="0"/>
            <c:showSerName val="0"/>
            <c:showPercent val="0"/>
            <c:separator>; </c:separator>
            <c:showLeaderLines val="1"/>
            <c:extLst>
              <c:ext xmlns:c15="http://schemas.microsoft.com/office/drawing/2012/chart" uri="{CE6537A1-D6FC-4f65-9D91-7224C49458BB}">
                <c15:showLeaderLines val="1"/>
              </c:ext>
            </c:extLst>
          </c:dLbls>
          <c:trendline>
            <c:spPr>
              <a:ln cap="rnd" w="19080">
                <a:solidFill>
                  <a:srgbClr val="5b9bd5"/>
                </a:solidFill>
                <a:prstDash val="sysDot"/>
                <a:round/>
              </a:ln>
            </c:spPr>
            <c:trendlineType val="linear"/>
            <c:forward val="0"/>
            <c:backward val="0"/>
            <c:dispRSqr val="1"/>
            <c:dispEq val="1"/>
          </c:trendline>
          <c:xVal>
            <c:numRef>
              <c:f>1</c:f>
              <c:numCache>
                <c:formatCode>General</c:formatCode>
                <c:ptCount val="63"/>
                <c:pt idx="0">
                  <c:v>2.37542</c:v>
                </c:pt>
                <c:pt idx="1">
                  <c:v>4.44205</c:v>
                </c:pt>
                <c:pt idx="2">
                  <c:v>2.019545</c:v>
                </c:pt>
                <c:pt idx="3">
                  <c:v>2.866345</c:v>
                </c:pt>
                <c:pt idx="4">
                  <c:v>2.145105</c:v>
                </c:pt>
                <c:pt idx="5">
                  <c:v>1.05777</c:v>
                </c:pt>
                <c:pt idx="6">
                  <c:v>1.540665</c:v>
                </c:pt>
                <c:pt idx="7">
                  <c:v>2.97986</c:v>
                </c:pt>
                <c:pt idx="8">
                  <c:v>1.601255</c:v>
                </c:pt>
                <c:pt idx="9">
                  <c:v>4.3143</c:v>
                </c:pt>
                <c:pt idx="10">
                  <c:v>2.07831</c:v>
                </c:pt>
                <c:pt idx="11">
                  <c:v>2.472875</c:v>
                </c:pt>
                <c:pt idx="12">
                  <c:v>4.3654</c:v>
                </c:pt>
                <c:pt idx="13">
                  <c:v>3.34632</c:v>
                </c:pt>
                <c:pt idx="14">
                  <c:v>3.009425</c:v>
                </c:pt>
                <c:pt idx="15">
                  <c:v>2.79225</c:v>
                </c:pt>
              </c:numCache>
            </c:numRef>
          </c:xVal>
          <c:yVal>
            <c:numRef>
              <c:f>0</c:f>
              <c:numCache>
                <c:formatCode>General</c:formatCode>
                <c:ptCount val="63"/>
                <c:pt idx="0">
                  <c:v>0.0431465718744262</c:v>
                </c:pt>
                <c:pt idx="1">
                  <c:v>0.0148739778740279</c:v>
                </c:pt>
                <c:pt idx="2">
                  <c:v>0.0130585125516306</c:v>
                </c:pt>
                <c:pt idx="3">
                  <c:v>0.0528661047127216</c:v>
                </c:pt>
                <c:pt idx="4">
                  <c:v>0.0282781142202465</c:v>
                </c:pt>
                <c:pt idx="5">
                  <c:v>0.0298316693591927</c:v>
                </c:pt>
                <c:pt idx="6">
                  <c:v>0.0123428684308553</c:v>
                </c:pt>
                <c:pt idx="7">
                  <c:v>0.0337466737920742</c:v>
                </c:pt>
                <c:pt idx="8">
                  <c:v>0.0186425182925158</c:v>
                </c:pt>
                <c:pt idx="9">
                  <c:v>0.066490675960206</c:v>
                </c:pt>
                <c:pt idx="10">
                  <c:v>0.0657765566542951</c:v>
                </c:pt>
                <c:pt idx="11">
                  <c:v>0.0419985253172814</c:v>
                </c:pt>
                <c:pt idx="12">
                  <c:v>0.114590724077021</c:v>
                </c:pt>
                <c:pt idx="13">
                  <c:v>0.168763836420343</c:v>
                </c:pt>
                <c:pt idx="14">
                  <c:v>0.0982231509672063</c:v>
                </c:pt>
                <c:pt idx="15">
                  <c:v>0.151928448894654</c:v>
                </c:pt>
              </c:numCache>
            </c:numRef>
          </c:yVal>
          <c:smooth val="0"/>
        </c:ser>
        <c:axId val="59481100"/>
        <c:axId val="17406036"/>
      </c:scatterChart>
      <c:valAx>
        <c:axId val="59481100"/>
        <c:scaling>
          <c:orientation val="minMax"/>
        </c:scaling>
        <c:delete val="0"/>
        <c:axPos val="b"/>
        <c:majorGridlines>
          <c:spPr>
            <a:ln w="9360">
              <a:solidFill>
                <a:srgbClr val="d9d9d9"/>
              </a:solidFill>
              <a:round/>
            </a:ln>
          </c:spPr>
        </c:majorGridlines>
        <c:title>
          <c:tx>
            <c:rich>
              <a:bodyPr rot="0"/>
              <a:lstStyle/>
              <a:p>
                <a:pPr>
                  <a:defRPr b="0" lang="en-US" sz="1000" spc="-1" strike="noStrike">
                    <a:solidFill>
                      <a:srgbClr val="595959"/>
                    </a:solidFill>
                    <a:latin typeface="Calibri"/>
                  </a:defRPr>
                </a:pPr>
                <a:r>
                  <a:rPr b="0" lang="en-US" sz="1000" spc="-1" strike="noStrike">
                    <a:solidFill>
                      <a:srgbClr val="595959"/>
                    </a:solidFill>
                    <a:latin typeface="Calibri"/>
                  </a:rPr>
                  <a:t>TPin (g P/m2/y) </a:t>
                </a:r>
              </a:p>
            </c:rich>
          </c:tx>
          <c:overlay val="0"/>
          <c:spPr>
            <a:noFill/>
            <a:ln w="0">
              <a:noFill/>
            </a:ln>
          </c:spPr>
        </c:title>
        <c:numFmt formatCode="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17406036"/>
        <c:crosses val="autoZero"/>
        <c:crossBetween val="midCat"/>
      </c:valAx>
      <c:valAx>
        <c:axId val="17406036"/>
        <c:scaling>
          <c:orientation val="minMax"/>
        </c:scaling>
        <c:delete val="0"/>
        <c:axPos val="l"/>
        <c:majorGridlines>
          <c:spPr>
            <a:ln w="9360">
              <a:solidFill>
                <a:srgbClr val="d9d9d9"/>
              </a:solidFill>
              <a:round/>
            </a:ln>
          </c:spPr>
        </c:majorGridlines>
        <c:title>
          <c:tx>
            <c:rich>
              <a:bodyPr rot="-5400000"/>
              <a:lstStyle/>
              <a:p>
                <a:pPr>
                  <a:defRPr b="0" lang="en-US" sz="1000" spc="-1" strike="noStrike">
                    <a:solidFill>
                      <a:srgbClr val="595959"/>
                    </a:solidFill>
                    <a:latin typeface="Calibri"/>
                  </a:defRPr>
                </a:pPr>
                <a:r>
                  <a:rPr b="0" lang="en-US" sz="1000" spc="-1" strike="noStrike">
                    <a:solidFill>
                      <a:srgbClr val="595959"/>
                    </a:solidFill>
                    <a:latin typeface="Calibri"/>
                  </a:rPr>
                  <a:t>TPout (g P/m3) </a:t>
                </a:r>
              </a:p>
            </c:rich>
          </c:tx>
          <c:overlay val="0"/>
          <c:spPr>
            <a:noFill/>
            <a:ln w="0">
              <a:noFill/>
            </a:ln>
          </c:spPr>
        </c:title>
        <c:numFmt formatCode="0.0000" sourceLinked="0"/>
        <c:majorTickMark val="none"/>
        <c:minorTickMark val="none"/>
        <c:tickLblPos val="nextTo"/>
        <c:spPr>
          <a:ln w="9360">
            <a:solidFill>
              <a:srgbClr val="bfbfbf"/>
            </a:solidFill>
            <a:round/>
          </a:ln>
        </c:spPr>
        <c:txPr>
          <a:bodyPr/>
          <a:lstStyle/>
          <a:p>
            <a:pPr>
              <a:defRPr b="0" sz="900" spc="-1" strike="noStrike">
                <a:solidFill>
                  <a:srgbClr val="595959"/>
                </a:solidFill>
                <a:latin typeface="Calibri"/>
              </a:defRPr>
            </a:pPr>
          </a:p>
        </c:txPr>
        <c:crossAx val="59481100"/>
        <c:crosses val="autoZero"/>
        <c:crossBetween val="midCat"/>
      </c:valAx>
      <c:spPr>
        <a:noFill/>
        <a:ln w="0">
          <a:noFill/>
        </a:ln>
      </c:spPr>
    </c:plotArea>
    <c:plotVisOnly val="1"/>
    <c:dispBlanksAs val="gap"/>
  </c:chart>
  <c:spPr>
    <a:solidFill>
      <a:srgbClr val="ffffff"/>
    </a:solidFill>
    <a:ln w="9360">
      <a:solidFill>
        <a:srgbClr val="d9d9d9"/>
      </a:solidFill>
      <a:round/>
    </a:ln>
  </c:spPr>
</c:chartSpace>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96c235-4dbb-4f5c-9faa-a7c8cb92bc30">
      <Terms xmlns="http://schemas.microsoft.com/office/infopath/2007/PartnerControls"/>
    </lcf76f155ced4ddcb4097134ff3c332f>
    <TaxCatchAll xmlns="ef4c4ef7-4bcb-4802-82ae-d583c734e40e" xsi:nil="true"/>
    <SharedWithUsers xmlns="ef4c4ef7-4bcb-4802-82ae-d583c734e40e">
      <UserInfo>
        <DisplayName>King, Jill</DisplayName>
        <AccountId>24</AccountId>
        <AccountType/>
      </UserInfo>
      <UserInfo>
        <DisplayName>Piccone, Tracey</DisplayName>
        <AccountId>39</AccountId>
        <AccountType/>
      </UserInfo>
      <UserInfo>
        <DisplayName>Bornhoeft, Sarah</DisplayName>
        <AccountId>27</AccountId>
        <AccountType/>
      </UserInfo>
      <UserInfo>
        <DisplayName>Sun, Detong</DisplayName>
        <AccountId>428</AccountId>
        <AccountType/>
      </UserInfo>
      <UserInfo>
        <DisplayName>Wang, Naiming</DisplayName>
        <AccountId>170</AccountId>
        <AccountType/>
      </UserInfo>
      <UserInfo>
        <DisplayName>Chen, Hongjun</DisplayName>
        <AccountId>138</AccountId>
        <AccountType/>
      </UserInfo>
    </SharedWithUsers>
  </documentManagement>
</p: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E5C7592C27BC4C8DBD0F5D257FB230" ma:contentTypeVersion="16" ma:contentTypeDescription="Create a new document." ma:contentTypeScope="" ma:versionID="73503eecb7540c4f40f660f443b621ca">
  <xsd:schema xmlns:xsd="http://www.w3.org/2001/XMLSchema" xmlns:xs="http://www.w3.org/2001/XMLSchema" xmlns:p="http://schemas.microsoft.com/office/2006/metadata/properties" xmlns:ns2="c196c235-4dbb-4f5c-9faa-a7c8cb92bc30" xmlns:ns3="ef4c4ef7-4bcb-4802-82ae-d583c734e40e" targetNamespace="http://schemas.microsoft.com/office/2006/metadata/properties" ma:root="true" ma:fieldsID="cffd777cf652a7f5c59a63b5c1ed7d83" ns2:_="" ns3:_="">
    <xsd:import namespace="c196c235-4dbb-4f5c-9faa-a7c8cb92bc30"/>
    <xsd:import namespace="ef4c4ef7-4bcb-4802-82ae-d583c734e4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96c235-4dbb-4f5c-9faa-a7c8cb92bc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2185140-ecae-4b08-a6d3-e60ccb92ce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4c4ef7-4bcb-4802-82ae-d583c734e4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e6851a2-7571-4b68-a8de-12e5c48a0d13}" ma:internalName="TaxCatchAll" ma:showField="CatchAllData" ma:web="ef4c4ef7-4bcb-4802-82ae-d583c734e4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AEFB1-EA8A-49CD-9C3E-64A7CF5724D3}">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ef4c4ef7-4bcb-4802-82ae-d583c734e40e"/>
    <ds:schemaRef ds:uri="http://schemas.openxmlformats.org/package/2006/metadata/core-properties"/>
    <ds:schemaRef ds:uri="c196c235-4dbb-4f5c-9faa-a7c8cb92bc30"/>
    <ds:schemaRef ds:uri="http://www.w3.org/XML/1998/namespace"/>
    <ds:schemaRef ds:uri="http://purl.org/dc/dcmitype/"/>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1DFEDA1-F2FF-4BA0-942B-C41B843643F1}">
  <ds:schemaRefs>
    <ds:schemaRef ds:uri="http://schemas.microsoft.com/sharepoint/v3/contenttype/forms"/>
  </ds:schemaRefs>
</ds:datastoreItem>
</file>

<file path=customXml/itemProps4.xml><?xml version="1.0" encoding="utf-8"?>
<ds:datastoreItem xmlns:ds="http://schemas.openxmlformats.org/officeDocument/2006/customXml" ds:itemID="{3C756510-F0B7-4903-8E7A-FDAD7898B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96c235-4dbb-4f5c-9faa-a7c8cb92bc30"/>
    <ds:schemaRef ds:uri="ef4c4ef7-4bcb-4802-82ae-d583c734e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6AE6347-FB79-4E37-B420-E2CDB382A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PER%20Template%20(2017-05-09).dotx</Template>
  <TotalTime>3</TotalTime>
  <Application>LibreOffice/24.2.7.2$Linux_X86_64 LibreOffice_project/420$Build-2</Application>
  <AppVersion>15.0000</AppVersion>
  <Pages>163</Pages>
  <Words>47129</Words>
  <Characters>308521</Characters>
  <CharactersWithSpaces>386040</CharactersWithSpaces>
  <Paragraphs>8418</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2025-02-21T13:35:00Z</dcterms:created>
  <dc:creator>Imran Ghani</dc:creator>
  <dc:description/>
  <dc:language>en-US</dc:language>
  <cp:lastModifiedBy>James, Richard</cp:lastModifiedBy>
  <cp:lastPrinted>2024-11-14T11:28:00Z</cp:lastPrinted>
  <dcterms:modified xsi:type="dcterms:W3CDTF">2025-02-21T13:37:00Z</dcterms:modified>
  <cp:revision>3</cp:revision>
  <dc:subject/>
  <dc:title>PRELIMINARY ENGINEERING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0x01010081E5C7592C27BC4C8DBD0F5D257FB230</vt:lpwstr>
  </property>
  <property fmtid="{D5CDD505-2E9C-101B-9397-08002B2CF9AE}" pid="3" name="ICV">
    <vt:lpwstr>B8EC468F7EC14B919FAD1D55FBBA2EF6_13</vt:lpwstr>
  </property>
  <property fmtid="{D5CDD505-2E9C-101B-9397-08002B2CF9AE}" pid="4" name="KSOProductBuildVer">
    <vt:lpwstr>1033-12.2.0.18165</vt:lpwstr>
  </property>
  <property fmtid="{D5CDD505-2E9C-101B-9397-08002B2CF9AE}" pid="5" name="MediaServiceImageTags">
    <vt:lpwstr/>
  </property>
</Properties>
</file>