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aps/>
                <w:color w:val="A8C4E0"/>
                <w:sz w:val="16"/>
                <w:szCs w:val="16"/>
              </w:rPr>
              <w:t xml:space="preserve">PP2 · ITSE 2026 · DGEYC SANTIAGO DEL ESTERO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Diccionario de Datos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A8C4E0"/>
                <w:sz w:val="17"/>
                <w:szCs w:val="17"/>
              </w:rPr>
              <w:t xml:space="preserve">Descripción completa de los archivos que produce el pipeline ETL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A8C4E0"/>
                <w:sz w:val="15"/>
                <w:szCs w:val="15"/>
              </w:rPr>
              <w:t xml:space="preserve">Aglomerado 18 · Santiago del Estero — La Banda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Estructura general de salida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El pipeline genera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3 carpetas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4 tipos de archivos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: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Carpeta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contiene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data/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Microdatos crudos del INDEC (ZIPs descargados y archivos .txt extraídos por trimestre).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results/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Archivos procesados — el resultado del pipeline. SE USAN PARA REPORTES.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Registros de cada corrida del pipeline con timestamp (para diagnóstico).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Archivos generados en results/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5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Archivo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Cantidad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Frecuencia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historico_SDE.csv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acumulado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 actualiza con cada corrida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indicadores_SDE_&lt;periodo&gt;.csv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por trimestre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Una vez por trimestre procesado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calidad_datos_SDE_&lt;periodo&gt;.csv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por trimestre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Una vez por trimestre procesado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base_unida_SDE_&lt;periodo&gt;.csv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por trimestre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Una vez por trimestre procesado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 los 12 trimestres del período 2023-2025 procesados, se generan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37 archivos en total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(1 histórico + 12 × 3 por trimestre).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1. historico_SDE.csv — Archivo principal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Estructura: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1 fila por trimestre × ~30 columnas. Codificación UTF-8, separador coma.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Este es el archivo más importante.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Contiene todos los indicadores calculados para todos los trimestres procesados, listo para cargar en dashboards, enviar a otras instituciones o usar en informes.</w:t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Identificación · 4 columnas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44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anio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Año del trimestre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trimestre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Número de trimestre (1 a 4)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periodo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Período en formato AÑOTtrim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2025T4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aglomerado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Código del aglomerado (siempre 18)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Muestra · 2 columnas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42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n_personas_muestra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Personas relevadas en la muestra del aglomerado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n_hogares_muestra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Hogares relevados en la muestra del aglomerado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415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Población expandida · 6 columnas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Estos valores son la población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real estimada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que representa la muestra, aplicando los ponderadores oficiales del INDEC.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39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poblacion_expandida_total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Población total representada por la muestra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420976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poblacion_expandida_mayor10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Población de 10 años o más representada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376817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pea_expandida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Población Económicamente Activa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173558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ocupados_expandidos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Personas ocupadas representadas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172461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desocupados_expandidos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Personas desocupadas representadas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inactivos_expandidos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Personas inactivas representadas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203259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t>Tasas del mercado laboral · 9 columnas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Todas en porcentaje (0-100), con dos decimales.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"/>
        <w:gridCol w:w="46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Fórmula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4T2025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t>tasa_actividad_10_mas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PEA / Población ≥10 × 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t>tasa_empleo_10_mas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Ocupados / Población ≥10 × 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45.77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tasa_desocupacion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Desocupados / PEA × 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0.63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t>tasa_inactividad_10_mas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Inactivos / Población ≥10 × 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53.94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tasa_informalidad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 / null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Ocupados EMPLEO=2 / Ocupados EMPLEO válido × 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55.21</w:t>
            </w:r>
          </w:p>
        </w:tc>
      </w:tr>
      <w:tr>
        <w:tc>
          <w:tcPr>
            <w:tcW w:type="dxa" w:w="2200"/>
          </w:tcPr>
          <w:p>
            <w:r>
              <w:t>tasa_actividad_oficial</w:t>
            </w:r>
          </w:p>
        </w:tc>
        <w:tc>
          <w:tcPr>
            <w:tcW w:type="dxa" w:w="800"/>
          </w:tcPr>
          <w:p>
            <w:r>
              <w:t>float</w:t>
            </w:r>
          </w:p>
        </w:tc>
        <w:tc>
          <w:tcPr>
            <w:tcW w:type="dxa" w:w="4626"/>
          </w:tcPr>
          <w:p>
            <w:r>
              <w:t>PEA / Población total × 100</w:t>
            </w:r>
          </w:p>
        </w:tc>
        <w:tc>
          <w:tcPr>
            <w:tcW w:type="dxa" w:w="1400"/>
          </w:tcPr>
          <w:p>
            <w:r>
              <w:t>41.23</w:t>
            </w:r>
          </w:p>
        </w:tc>
      </w:tr>
      <w:tr>
        <w:tc>
          <w:tcPr>
            <w:tcW w:type="dxa" w:w="2200"/>
          </w:tcPr>
          <w:p>
            <w:r>
              <w:t>tasa_empleo_oficial</w:t>
            </w:r>
          </w:p>
        </w:tc>
        <w:tc>
          <w:tcPr>
            <w:tcW w:type="dxa" w:w="800"/>
          </w:tcPr>
          <w:p>
            <w:r>
              <w:t>float</w:t>
            </w:r>
          </w:p>
        </w:tc>
        <w:tc>
          <w:tcPr>
            <w:tcW w:type="dxa" w:w="4626"/>
          </w:tcPr>
          <w:p>
            <w:r>
              <w:t>Ocupados / Población total × 100</w:t>
            </w:r>
          </w:p>
        </w:tc>
        <w:tc>
          <w:tcPr>
            <w:tcW w:type="dxa" w:w="1400"/>
          </w:tcPr>
          <w:p>
            <w:r>
              <w:t>40.97</w:t>
            </w:r>
          </w:p>
        </w:tc>
      </w:tr>
      <w:tr>
        <w:tc>
          <w:tcPr>
            <w:tcW w:type="dxa" w:w="2200"/>
          </w:tcPr>
          <w:p>
            <w:r>
              <w:t>proporcion_inactiva_total</w:t>
            </w:r>
          </w:p>
        </w:tc>
        <w:tc>
          <w:tcPr>
            <w:tcW w:type="dxa" w:w="800"/>
          </w:tcPr>
          <w:p>
            <w:r>
              <w:t>float</w:t>
            </w:r>
          </w:p>
        </w:tc>
        <w:tc>
          <w:tcPr>
            <w:tcW w:type="dxa" w:w="4626"/>
          </w:tcPr>
          <w:p>
            <w:r>
              <w:t>100 - tasa de actividad oficial</w:t>
            </w:r>
          </w:p>
        </w:tc>
        <w:tc>
          <w:tcPr>
            <w:tcW w:type="dxa" w:w="1400"/>
          </w:tcPr>
          <w:p>
            <w:r>
              <w:t>58.77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7D3C00" w:sz="8"/>
              <w:bottom w:val="single" w:color="CCCCCC" w:sz="1"/>
              <w:right w:val="single" w:color="CCCCCC" w:sz="1"/>
            </w:tcBorders>
            <w:shd w:fill="FEF5E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b/>
                <w:bCs/>
                <w:color w:val="7D3C00"/>
                <w:sz w:val="21"/>
                <w:szCs w:val="21"/>
              </w:rPr>
              <w:t xml:space="preserve">Importante: </w:t>
            </w: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tasa_informalidad es null en los trimestres 1T2023, 2T2023 y 3T2023 porque la variable EMPLEO no existía en los microdatos del INDEC antes del 4T2023.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Ingresos · 6 columnas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Valores en pesos argentinos nominales (sin deflactar).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00"/>
        <w:gridCol w:w="36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ingreso_promedio_observado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Promedio simple sin ponderar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752462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ingreso_mediano_observado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 del ingreso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700000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ingreso_promedio_ponderado_observado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Promedio ponderado — metodológicamente correcto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789090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n_ocupados_con_ingreso_valido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Ocupados que declararon ingreso &gt; 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n_ocupados_sin_respuesta_ingreso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Ocupados con P21 = -9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tasa_no_respuesta_ingresos_ocupados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% de ocupados que no respondieron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1.83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Operativos del relevamiento · 2 columnas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42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hogares_encuestados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Hogares con entrevista completada (REALIZADA=1)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415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tasa_no_respuesta_hogar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float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% de hogares que no completaron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1F3A6E" w:sz="8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b/>
                <w:bCs/>
                <w:color w:val="1F3A6E"/>
                <w:sz w:val="21"/>
                <w:szCs w:val="21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En los microdatos públicos del INDEC, todos los hogares tienen REALIZADA = 1 porque solo se publican los relevamientos efectivos. La tasa de rechazo real requiere datos internos de la DGEyC.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50" w:before="180"/>
      </w:pPr>
      <w:r>
        <w:rPr>
          <w:rFonts w:ascii="Arial" w:cs="Arial" w:eastAsia="Arial" w:hAnsi="Arial"/>
          <w:b/>
          <w:bCs/>
          <w:color w:val="2E5FA3"/>
          <w:sz w:val="21"/>
          <w:szCs w:val="21"/>
        </w:rPr>
        <w:t xml:space="preserve">Trazabilidad · 2 columnas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4226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fecha_procesamiento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Fecha y hora del procesamiento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2026-06-26 14:38:21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fuente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Fuente de los datos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INDEC - EPH microdatos públicos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2. indicadores_SDE_&lt;periodo&gt;.csv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Estructura: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1 fila × las mismas columnas que historico_SDE.csv.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Ejemplo de nombre: </w:t>
      </w:r>
      <w:r>
        <w:rPr>
          <w:rFonts w:ascii="Courier New" w:cs="Courier New" w:eastAsia="Courier New" w:hAnsi="Courier New"/>
          <w:b/>
          <w:bCs/>
          <w:color w:val="1A3A6E"/>
          <w:sz w:val="19"/>
          <w:szCs w:val="19"/>
        </w:rPr>
        <w:t xml:space="preserve">indicadores_SDE_2025T4.csv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Contiene los mismos indicadores que el histórico, pero solo del trimestre específico. Sirve para entregas individuales por trimestre, anexos de informes puntuales o verificar el cálculo de un período específico.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3. calidad_datos_SDE_&lt;periodo&gt;.csv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Estructura: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6 filas × 6 columnas.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Ejemplo de nombre: </w:t>
      </w:r>
      <w:r>
        <w:rPr>
          <w:rFonts w:ascii="Courier New" w:cs="Courier New" w:eastAsia="Courier New" w:hAnsi="Courier New"/>
          <w:b/>
          <w:bCs/>
          <w:color w:val="1A3A6E"/>
          <w:sz w:val="19"/>
          <w:szCs w:val="19"/>
        </w:rPr>
        <w:t xml:space="preserve">calidad_datos_SDE_2025T4.csv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Reporta la calidad de cada variable clave del trimestre. Permite detectar problemas en los datos del INDEC sin abrirlos manualmente.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46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columna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Nombre de la variable evaluada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nulos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Cantidad de valores nulos / vacíos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codigo_-9_no_resp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Valores con código -9 (no respondió)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codigo_-8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Valores con código -8 (no sabe)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codigo_-7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Valores con código -7 (otro código especial)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validos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Cantidad de valores numéricos válidos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Variables evaluadas: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ESTADO, EMPLEO, P21, PONDERA, CH04, CH06 — las 6 columnas clave del análisis.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4. base_unida_SDE_&lt;periodo&gt;.csv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Estructura: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~1.400 filas × ~330 columnas.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Ejemplo de nombre: </w:t>
      </w:r>
      <w:r>
        <w:rPr>
          <w:rFonts w:ascii="Courier New" w:cs="Courier New" w:eastAsia="Courier New" w:hAnsi="Courier New"/>
          <w:b/>
          <w:bCs/>
          <w:color w:val="1A3A6E"/>
          <w:sz w:val="19"/>
          <w:szCs w:val="19"/>
        </w:rPr>
        <w:t xml:space="preserve">base_unida_SDE_2025T4.csv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Contiene los microdatos individuales del trimestre (1 fila por persona) con los datos del hogar correspondiente agregados como columnas adicionales. La unión se hace mediante las claves CODUSU + NRO_HOGAR.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Sirve para análisis avanzados a nivel persona — por ejemplo, estudiar quiénes no respondieron sus ingresos cruzando con características del hogar.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Combina todas las columnas de la base individual del INDEC (~235) con todas las de la base hogar (~98). Para el detalle completo, consultar el </w:t>
      </w: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manual de diseño de registros del INDEC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que acompaña cada trimestre.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Notas sobre valores nulos</w:t>
      </w:r>
    </w:p>
    <w:p>
      <w:pPr>
        <w:spacing w:after="80" w:before="80" w:line="280"/>
        <w:jc w:val="both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El pipeline </w:t>
      </w:r>
      <w:r>
        <w:rPr>
          <w:rFonts w:ascii="Arial" w:cs="Arial" w:eastAsia="Arial" w:hAnsi="Arial"/>
          <w:b/>
          <w:bCs/>
          <w:color w:val="7D3C00"/>
          <w:sz w:val="21"/>
          <w:szCs w:val="21"/>
        </w:rPr>
        <w:t xml:space="preserve">no imputa valores faltantes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— es una decisión metodológica deliberada del análisis exploratorio. Los nulos aparecen en estas situaciones: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28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Situación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Cuándo aparece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 del pipeline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tasa_informalidad nula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Trimestres anteriores a 4T2023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 reporta como nulo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Código -9 en P21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Ocupado que se negó a declarar ingreso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 cuenta en n_ocupados_sin_respuesta_ingreso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Códigos -8, -7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Casos especiales del INDEC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 cuentan en calidad_datos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No numéricos en columnas numéricas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Formato variable del INDEC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 convierten a nulo (errors='coerce')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D6E4F0" w:sz="6" w:space="4"/>
        </w:pBdr>
        <w:spacing w:after="70" w:before="24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Cómo usar estos archivos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Caso de uso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Archivo a usar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t>Reportes institucionales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historico_SDE.csv — abre directo en Excel o cualquier herramienta de visualización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Auditoría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Cruzar calidad_datos_SDE_&lt;periodo&gt;.csv con el histórico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F3A6E"/>
                <w:sz w:val="17"/>
                <w:szCs w:val="17"/>
              </w:rPr>
              <w:t xml:space="preserve">Análisis estadístico avanzado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Cargar base_unida_SDE_&lt;periodo&gt;.csv en Python o 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t>Intercambio institucional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historico_SDE.csv — formato CSV estándar abrible en cualquier software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A8C4E0"/>
                <w:sz w:val="17"/>
                <w:szCs w:val="17"/>
              </w:rPr>
              <w:t xml:space="preserve">Versión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Diccionario v1.0 · Generado el 26-06-2026 · PP2 ITSE 2026</w:t>
            </w:r>
          </w:p>
        </w:tc>
      </w:tr>
    </w:tbl>
    <w:p>
      <w:r>
        <w:t>Metadatos, estados y migración</w:t>
      </w:r>
    </w:p>
    <w:p>
      <w:r>
        <w:t>Los nombres anteriores tasa_actividad, tasa_empleo y tasa_inactividad se migraron a tasa_actividad_10_mas, tasa_empleo_10_mas y tasa_inactividad_10_mas porque conservan el denominador de población de 10 años y más. Las tasas principales sobre población total usan nombres nuevos y fórmulas documentadas.</w:t>
      </w:r>
    </w:p>
    <w:p>
      <w:r>
        <w:t>Todo CSV tiene un .meta.json asociado. estado_periodos.csv registra PENDIENTE, DESCARGADO, PROCESADO, EN_REVISION, VALIDADO, FALLIDO o PUBLICADO. manifest_salidas.json relaciona salidas, clasificación, período, validación y metadatos.</w:t>
      </w:r>
    </w:p>
    <w:p>
      <w:r>
        <w:t>calidad_snapshot_SDE.csv contiene controles lógicos agregados para el dashboard sin microdatos: población positiva, tasas en rango, complementariedad, duplicados y disponibilidad de informalidad. No reemplaza el reporte detallado del ETL.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4" w:space="4"/>
      </w:pBdr>
      <w:tabs>
        <w:tab w:val="right" w:pos="9026"/>
      </w:tabs>
      <w:spacing w:after="0" w:before="80"/>
    </w:pPr>
    <w:r>
      <w:rPr>
        <w:rFonts w:ascii="Arial" w:cs="Arial" w:eastAsia="Arial" w:hAnsi="Arial"/>
        <w:color w:val="888888"/>
        <w:sz w:val="16"/>
        <w:szCs w:val="16"/>
      </w:rPr>
      <w:t xml:space="preserve">Achaval · Cabaña · Constantinidi · Gomez · Pinto Villegas — DGEyC SDE</w:t>
    </w:r>
    <w:r>
      <w:rPr>
        <w:rFonts w:ascii="Arial" w:cs="Arial" w:eastAsia="Arial" w:hAnsi="Arial"/>
        <w:sz w:val="16"/>
        <w:szCs w:val="16"/>
      </w:rPr>
      <w:t xml:space="preserve">	</w:t>
    </w:r>
    <w:fldSimple w:instr="[object Object]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4F0" w:sz="4" w:space="4"/>
      </w:pBdr>
      <w:spacing w:after="80" w:before="0"/>
    </w:pPr>
    <w:r>
      <w:rPr>
        <w:rFonts w:ascii="Arial" w:cs="Arial" w:eastAsia="Arial" w:hAnsi="Arial"/>
        <w:color w:val="888888"/>
        <w:sz w:val="16"/>
        <w:szCs w:val="16"/>
      </w:rPr>
      <w:t xml:space="preserve">Diccionario de Datos · Pipeline ETL EPH · PP2 ITSE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2026-06-26T15:01:51.711Z</dcterms:created>
  <dcterms:modified xsi:type="dcterms:W3CDTF">2026-06-26T15:01:51.726Z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