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A6E" w:val="clear"/>
            <w:tcMar>
              <w:top w:type="dxa" w:w="280"/>
              <w:left w:type="dxa" w:w="300"/>
              <w:bottom w:type="dxa" w:w="280"/>
              <w:right w:type="dxa" w:w="300"/>
            </w:tcMar>
          </w:tcPr>
          <w:p>
            <w:pPr>
              <w:spacing w:after="70" w:before="0"/>
            </w:pPr>
            <w:r>
              <w:rPr>
                <w:rFonts w:ascii="Arial" w:cs="Arial" w:eastAsia="Arial" w:hAnsi="Arial"/>
                <w:caps/>
                <w:color w:val="A8C4E0"/>
                <w:sz w:val="17"/>
                <w:szCs w:val="17"/>
              </w:rPr>
              <w:t xml:space="preserve">RESPUESTA A LA DEVOLUCIÓN INSTITUCIONAL · DGEYC</w:t>
            </w:r>
          </w:p>
          <w:p>
            <w:pPr>
              <w:spacing w:after="110" w:before="0"/>
            </w:pPr>
            <w:r>
              <w:rPr>
                <w:rFonts w:ascii="Arial" w:cs="Arial" w:eastAsia="Arial" w:hAnsi="Arial"/>
                <w:b/>
                <w:bCs/>
                <w:color w:val="FFFFFF"/>
                <w:sz w:val="32"/>
                <w:szCs w:val="32"/>
              </w:rPr>
              <w:t xml:space="preserve">Roadmap y Próximos Pasos</w:t>
            </w:r>
          </w:p>
          <w:p>
            <w:pPr>
              <w:spacing w:after="60" w:before="0"/>
            </w:pPr>
            <w:r>
              <w:rPr>
                <w:rFonts w:ascii="Arial" w:cs="Arial" w:eastAsia="Arial" w:hAnsi="Arial"/>
                <w:color w:val="A8C4E0"/>
                <w:sz w:val="18"/>
                <w:szCs w:val="18"/>
              </w:rPr>
              <w:t xml:space="preserve">Cómo respondimos a las sugerencias de la Dirección y hacia dónde va el proyecto</w:t>
            </w:r>
          </w:p>
          <w:p>
            <w:pPr>
              <w:spacing w:after="0" w:before="0"/>
            </w:pPr>
            <w:r>
              <w:rPr>
                <w:rFonts w:ascii="Arial" w:cs="Arial" w:eastAsia="Arial" w:hAnsi="Arial"/>
                <w:color w:val="A8C4E0"/>
                <w:sz w:val="16"/>
                <w:szCs w:val="16"/>
              </w:rPr>
              <w:t xml:space="preserve">Pipeline ETL — EPH Santiago del Estero · PP2 ITSE 2026</w:t>
            </w:r>
          </w:p>
        </w:tc>
      </w:tr>
    </w:tbl>
    <w:p>
      <w:pPr>
        <w:spacing w:after="0" w:before="0"/>
      </w:pPr>
      <w:r>
        <w:rPr>
          <w:sz w:val="20"/>
          <w:szCs w:val="20"/>
        </w:rPr>
        <w:t xml:space="preserve"/>
      </w:r>
    </w:p>
    <w:p>
      <w:pPr>
        <w:spacing w:after="0" w:before="0"/>
      </w:pPr>
      <w:r>
        <w:rPr>
          <w:sz w:val="20"/>
          <w:szCs w:val="20"/>
        </w:rPr>
        <w:t xml:space="preserve"/>
      </w:r>
    </w:p>
    <w:p>
      <w:pPr>
        <w:pBdr>
          <w:bottom w:val="single" w:color="D6E4F0" w:sz="6" w:space="4"/>
        </w:pBdr>
        <w:spacing w:after="100" w:before="300"/>
      </w:pPr>
      <w:r>
        <w:rPr>
          <w:rFonts w:ascii="Arial" w:cs="Arial" w:eastAsia="Arial" w:hAnsi="Arial"/>
          <w:b/>
          <w:bCs/>
          <w:color w:val="1F3A6E"/>
          <w:sz w:val="26"/>
          <w:szCs w:val="26"/>
        </w:rPr>
        <w:t xml:space="preserve">Contexto</w:t>
      </w:r>
    </w:p>
    <w:p>
      <w:pPr>
        <w:spacing w:after="90" w:before="90" w:line="300"/>
        <w:jc w:val="both"/>
      </w:pPr>
      <w:r>
        <w:rPr>
          <w:rFonts w:ascii="Arial" w:cs="Arial" w:eastAsia="Arial" w:hAnsi="Arial"/>
          <w:color w:val="333333"/>
          <w:sz w:val="22"/>
          <w:szCs w:val="22"/>
        </w:rPr>
        <w:t xml:space="preserve">Tras la entrega del repositorio del pipeline ETL a la Dirección General de Estadística y Censos, recibimos una devolución institucional que valoró positivamente el trabajo y aportó sugerencias técnicas valiosas para su evolución.</w:t>
      </w:r>
    </w:p>
    <w:p>
      <w:pPr>
        <w:spacing w:after="90" w:before="90" w:line="300"/>
        <w:jc w:val="both"/>
      </w:pPr>
      <w:r>
        <w:rPr>
          <w:rFonts w:ascii="Arial" w:cs="Arial" w:eastAsia="Arial" w:hAnsi="Arial"/>
          <w:color w:val="333333"/>
          <w:sz w:val="22"/>
          <w:szCs w:val="22"/>
        </w:rPr>
        <w:t xml:space="preserve">La devolución destacó que </w:t>
      </w:r>
      <w:r>
        <w:rPr>
          <w:rFonts w:ascii="Arial" w:cs="Arial" w:eastAsia="Arial" w:hAnsi="Arial"/>
          <w:color w:val="555555"/>
          <w:sz w:val="21"/>
          <w:szCs w:val="21"/>
        </w:rPr>
        <w:t xml:space="preserve">"el diseño del pipeline es impecable y está bien documentado"</w:t>
      </w:r>
      <w:r>
        <w:rPr>
          <w:rFonts w:ascii="Arial" w:cs="Arial" w:eastAsia="Arial" w:hAnsi="Arial"/>
          <w:color w:val="333333"/>
          <w:sz w:val="22"/>
          <w:szCs w:val="22"/>
        </w:rPr>
        <w:t xml:space="preserve"> y que </w:t>
      </w:r>
      <w:r>
        <w:rPr>
          <w:rFonts w:ascii="Arial" w:cs="Arial" w:eastAsia="Arial" w:hAnsi="Arial"/>
          <w:color w:val="555555"/>
          <w:sz w:val="21"/>
          <w:szCs w:val="21"/>
        </w:rPr>
        <w:t xml:space="preserve">"se ha logrado el objetivo"</w:t>
      </w:r>
      <w:r>
        <w:rPr>
          <w:rFonts w:ascii="Arial" w:cs="Arial" w:eastAsia="Arial" w:hAnsi="Arial"/>
          <w:color w:val="333333"/>
          <w:sz w:val="22"/>
          <w:szCs w:val="22"/>
        </w:rPr>
        <w:t xml:space="preserve">. A su vez, dejó tres sugerencias orientadas a llevar el producto a un nivel de madurez institucional mayor.</w:t>
      </w:r>
    </w:p>
    <w:p>
      <w:pPr>
        <w:spacing w:after="90" w:before="90" w:line="300"/>
        <w:jc w:val="both"/>
      </w:pPr>
      <w:r>
        <w:rPr>
          <w:rFonts w:ascii="Arial" w:cs="Arial" w:eastAsia="Arial" w:hAnsi="Arial"/>
          <w:color w:val="333333"/>
          <w:sz w:val="22"/>
          <w:szCs w:val="22"/>
        </w:rPr>
        <w:t xml:space="preserve">Este documento reconoce cada una de esas sugerencias, detalla las acciones que ya implementamos en respuesta, y plantea los próximos pasos del proyecto. El objetivo es demostrar que tomamos la devolución con seriedad y traducirla en mejoras concretas.</w:t>
      </w:r>
    </w:p>
    <w:p>
      <w:pPr>
        <w:spacing w:after="0" w:before="0"/>
      </w:pPr>
      <w:r>
        <w:rPr>
          <w:sz w:val="20"/>
          <w:szCs w:val="20"/>
        </w:rPr>
        <w:t xml:space="preserve"/>
      </w:r>
    </w:p>
    <w:p>
      <w:pPr>
        <w:spacing w:after="60" w:before="200"/>
      </w:pPr>
      <w:r>
        <w:rPr>
          <w:rFonts w:ascii="Arial" w:cs="Arial" w:eastAsia="Arial" w:hAnsi="Arial"/>
          <w:b/>
          <w:bCs/>
          <w:color w:val="2E5FA3"/>
          <w:sz w:val="23"/>
          <w:szCs w:val="23"/>
        </w:rPr>
        <w:t xml:space="preserve">Resumen de acciones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Borders>
              <w:top w:val="single" w:color="CCCCCC" w:sz="1"/>
              <w:left w:val="single" w:color="CCCCCC" w:sz="1"/>
              <w:bottom w:val="single" w:color="CCCCCC" w:sz="1"/>
              <w:right w:val="single" w:color="CCCCCC" w:sz="1"/>
            </w:tcBorders>
            <w:shd w:fill="1F3A6E" w:val="clear"/>
            <w:tcMar>
              <w:top w:type="dxa" w:w="90"/>
              <w:left w:type="dxa" w:w="140"/>
              <w:bottom w:type="dxa" w:w="90"/>
              <w:right w:type="dxa" w:w="140"/>
            </w:tcMar>
          </w:tcPr>
          <w:p>
            <w:r>
              <w:rPr>
                <w:rFonts w:ascii="Arial" w:cs="Arial" w:eastAsia="Arial" w:hAnsi="Arial"/>
                <w:b/>
                <w:bCs/>
                <w:color w:val="FFFFFF"/>
                <w:sz w:val="18"/>
                <w:szCs w:val="18"/>
              </w:rPr>
              <w:t xml:space="preserve">Sugerencia de la Dirección</w:t>
            </w:r>
          </w:p>
        </w:tc>
        <w:tc>
          <w:tcPr>
            <w:tcBorders>
              <w:top w:val="single" w:color="CCCCCC" w:sz="1"/>
              <w:left w:val="single" w:color="CCCCCC" w:sz="1"/>
              <w:bottom w:val="single" w:color="CCCCCC" w:sz="1"/>
              <w:right w:val="single" w:color="CCCCCC" w:sz="1"/>
            </w:tcBorders>
            <w:shd w:fill="1F3A6E"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Prioridad</w:t>
            </w:r>
          </w:p>
        </w:tc>
        <w:tc>
          <w:tcPr>
            <w:tcBorders>
              <w:top w:val="single" w:color="CCCCCC" w:sz="1"/>
              <w:left w:val="single" w:color="CCCCCC" w:sz="1"/>
              <w:bottom w:val="single" w:color="CCCCCC" w:sz="1"/>
              <w:right w:val="single" w:color="CCCCCC" w:sz="1"/>
            </w:tcBorders>
            <w:shd w:fill="1F3A6E"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Estado</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Metadatos que acompañen cada CSV exportado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9"/>
                <w:szCs w:val="19"/>
              </w:rPr>
              <w:t xml:space="preserve">Alta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1D6A3A"/>
                <w:sz w:val="19"/>
                <w:szCs w:val="19"/>
              </w:rPr>
              <w:t xml:space="preserve">Implementado</w:t>
            </w:r>
          </w:p>
        </w:tc>
      </w:tr>
      <w:tr>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333333"/>
                <w:sz w:val="19"/>
                <w:szCs w:val="19"/>
              </w:rPr>
              <w:t xml:space="preserve">Calendario y validación de cambios del INDEC</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555555"/>
                <w:sz w:val="19"/>
                <w:szCs w:val="19"/>
              </w:rPr>
              <w:t xml:space="preserve">Alta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1D6A3A"/>
                <w:sz w:val="19"/>
                <w:szCs w:val="19"/>
              </w:rPr>
              <w:t xml:space="preserve">Implementado</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Reporte para audiencia no técnica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9"/>
                <w:szCs w:val="19"/>
              </w:rPr>
              <w:t xml:space="preserve">Alta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1D6A3A"/>
                <w:sz w:val="19"/>
                <w:szCs w:val="19"/>
              </w:rPr>
              <w:t xml:space="preserve">Implementado</w:t>
            </w:r>
          </w:p>
        </w:tc>
      </w:tr>
      <w:tr>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333333"/>
                <w:sz w:val="19"/>
                <w:szCs w:val="19"/>
              </w:rPr>
              <w:t xml:space="preserve">Escalabilidad y métricas por etapa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color w:val="555555"/>
                <w:sz w:val="19"/>
                <w:szCs w:val="19"/>
              </w:rPr>
              <w:t xml:space="preserve">Media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7D3C00"/>
                <w:sz w:val="19"/>
                <w:szCs w:val="19"/>
              </w:rPr>
              <w:t xml:space="preserve">Planificado</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Reuniones con partes interesadas</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9"/>
                <w:szCs w:val="19"/>
              </w:rPr>
              <w:t xml:space="preserve">Media</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5FA3"/>
                <w:sz w:val="19"/>
                <w:szCs w:val="19"/>
              </w:rPr>
              <w:t xml:space="preserve">Propuesto</w:t>
            </w:r>
          </w:p>
        </w:tc>
      </w:tr>
    </w:tbl>
    <w:p>
      <w:r>
        <w:br w:type="page"/>
      </w:r>
    </w:p>
    <w:p>
      <w:pPr>
        <w:pBdr>
          <w:bottom w:val="single" w:color="D6E4F0" w:sz="6" w:space="4"/>
        </w:pBdr>
        <w:spacing w:after="100" w:before="300"/>
      </w:pPr>
      <w:r>
        <w:rPr>
          <w:rFonts w:ascii="Arial" w:cs="Arial" w:eastAsia="Arial" w:hAnsi="Arial"/>
          <w:b/>
          <w:bCs/>
          <w:color w:val="1F3A6E"/>
          <w:sz w:val="26"/>
          <w:szCs w:val="26"/>
        </w:rPr>
        <w:t xml:space="preserve">1. Sugerencias ya implementadas</w:t>
      </w:r>
    </w:p>
    <w:p>
      <w:pPr>
        <w:spacing w:after="90" w:before="90" w:line="300"/>
        <w:jc w:val="both"/>
      </w:pPr>
      <w:r>
        <w:rPr>
          <w:rFonts w:ascii="Arial" w:cs="Arial" w:eastAsia="Arial" w:hAnsi="Arial"/>
          <w:color w:val="333333"/>
          <w:sz w:val="22"/>
          <w:szCs w:val="22"/>
        </w:rPr>
        <w:t xml:space="preserve">Tres de las sugerencias recibidas ya fueron incorporadas al pipeline. A continuación el detalle de cada una.</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D6A3A" w:val="clear"/>
            <w:tcMar>
              <w:top w:type="dxa" w:w="120"/>
              <w:left w:type="dxa" w:w="240"/>
              <w:bottom w:type="dxa" w:w="120"/>
              <w:right w:type="dxa" w:w="240"/>
            </w:tcMar>
          </w:tcPr>
          <w:p>
            <w:pPr>
              <w:spacing w:after="0" w:before="0"/>
            </w:pPr>
            <w:r>
              <w:rPr>
                <w:rFonts w:ascii="Arial" w:cs="Arial" w:eastAsia="Arial" w:hAnsi="Arial"/>
                <w:b/>
                <w:bCs/>
                <w:color w:val="E0E8F5"/>
                <w:sz w:val="18"/>
                <w:szCs w:val="18"/>
              </w:rPr>
              <w:t xml:space="preserve">Sugerencia 1  ·  </w:t>
            </w:r>
            <w:r>
              <w:rPr>
                <w:rFonts w:ascii="Arial" w:cs="Arial" w:eastAsia="Arial" w:hAnsi="Arial"/>
                <w:b/>
                <w:bCs/>
                <w:color w:val="FFFFFF"/>
                <w:sz w:val="22"/>
                <w:szCs w:val="22"/>
              </w:rPr>
              <w:t xml:space="preserve">Metadatos para los archivos exportados</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pPr>
              <w:spacing w:after="40" w:before="0"/>
            </w:pPr>
            <w:r>
              <w:rPr>
                <w:rFonts w:ascii="Arial" w:cs="Arial" w:eastAsia="Arial" w:hAnsi="Arial"/>
                <w:b/>
                <w:bCs/>
                <w:color w:val="888888"/>
                <w:sz w:val="18"/>
                <w:szCs w:val="18"/>
              </w:rPr>
              <w:t xml:space="preserve">Lo que observó la Dirección:</w:t>
            </w:r>
          </w:p>
          <w:p>
            <w:pPr>
              <w:spacing w:after="0" w:before="0"/>
              <w:jc w:val="both"/>
            </w:pPr>
            <w:r>
              <w:rPr>
                <w:rFonts w:ascii="Arial" w:cs="Arial" w:eastAsia="Arial" w:hAnsi="Arial"/>
                <w:color w:val="555555"/>
                <w:sz w:val="20"/>
                <w:szCs w:val="20"/>
              </w:rPr>
              <w:t xml:space="preserve">Los csv o xlsx que se exporten del pipeline o las Loads deben estar acompañadas de metadatos para ser usables. 1 tabla + 1 txt u otro formato. Es la parte más manual del pipeline automatizado. Piensen en quién hará el informe Markdown o Dashboard.</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pPr>
              <w:spacing w:after="40" w:before="0"/>
            </w:pPr>
            <w:r>
              <w:rPr>
                <w:rFonts w:ascii="Arial" w:cs="Arial" w:eastAsia="Arial" w:hAnsi="Arial"/>
                <w:b/>
                <w:bCs/>
                <w:color w:val="1D6A3A"/>
                <w:sz w:val="18"/>
                <w:szCs w:val="18"/>
              </w:rPr>
              <w:t xml:space="preserve">Nuestra respuesta:</w:t>
            </w:r>
          </w:p>
          <w:p>
            <w:pPr>
              <w:spacing w:after="60" w:before="0"/>
              <w:jc w:val="both"/>
            </w:pPr>
            <w:r>
              <w:rPr>
                <w:rFonts w:ascii="Arial" w:cs="Arial" w:eastAsia="Arial" w:hAnsi="Arial"/>
                <w:color w:val="333333"/>
                <w:sz w:val="22"/>
                <w:szCs w:val="22"/>
              </w:rPr>
              <w:t xml:space="preserve">Implementamos un </w:t>
            </w:r>
            <w:r>
              <w:rPr>
                <w:rFonts w:ascii="Arial" w:cs="Arial" w:eastAsia="Arial" w:hAnsi="Arial"/>
                <w:b/>
                <w:bCs/>
                <w:color w:val="1A1A2E"/>
                <w:sz w:val="22"/>
                <w:szCs w:val="22"/>
              </w:rPr>
              <w:t xml:space="preserve">sistema de metadatos automáticos</w:t>
            </w:r>
            <w:r>
              <w:rPr>
                <w:rFonts w:ascii="Arial" w:cs="Arial" w:eastAsia="Arial" w:hAnsi="Arial"/>
                <w:color w:val="333333"/>
                <w:sz w:val="22"/>
                <w:szCs w:val="22"/>
              </w:rPr>
              <w:t xml:space="preserve">. Ahora cada archivo CSV que genera el pipeline se acompaña de un archivo </w:t>
            </w:r>
            <w:r>
              <w:rPr>
                <w:rFonts w:ascii="Courier New" w:cs="Courier New" w:eastAsia="Courier New" w:hAnsi="Courier New"/>
                <w:b/>
                <w:bCs/>
                <w:color w:val="1A3A6E"/>
                <w:sz w:val="20"/>
                <w:szCs w:val="20"/>
              </w:rPr>
              <w:t xml:space="preserve">.meta.json</w:t>
            </w:r>
            <w:r>
              <w:rPr>
                <w:rFonts w:ascii="Arial" w:cs="Arial" w:eastAsia="Arial" w:hAnsi="Arial"/>
                <w:color w:val="333333"/>
                <w:sz w:val="22"/>
                <w:szCs w:val="22"/>
              </w:rPr>
              <w:t xml:space="preserve"> con toda la información necesaria para su uso.</w:t>
            </w:r>
          </w:p>
          <w:p>
            <w:pPr>
              <w:spacing w:after="60" w:before="0"/>
              <w:jc w:val="both"/>
            </w:pPr>
            <w:r>
              <w:rPr>
                <w:rFonts w:ascii="Arial" w:cs="Arial" w:eastAsia="Arial" w:hAnsi="Arial"/>
                <w:color w:val="333333"/>
                <w:sz w:val="22"/>
                <w:szCs w:val="22"/>
              </w:rPr>
              <w:t xml:space="preserve">Cada archivo de metadatos incluye: versión del pipeline que lo generó, fecha y hora de generación, fuente exacta (organismo, operativo, URL del trimestre), esquema completo de columnas con tipo y descripción de cada una, cantidad de filas, y un hash SHA-256 para verificar la integridad del archivo.</w:t>
            </w:r>
          </w:p>
          <w:p>
            <w:pPr>
              <w:spacing w:after="60" w:before="0"/>
              <w:jc w:val="both"/>
            </w:pPr>
            <w:r>
              <w:rPr>
                <w:rFonts w:ascii="Arial" w:cs="Arial" w:eastAsia="Arial" w:hAnsi="Arial"/>
                <w:color w:val="333333"/>
                <w:sz w:val="22"/>
                <w:szCs w:val="22"/>
              </w:rPr>
              <w:t xml:space="preserve">Esto resuelve exactamente lo señalado: quien haga el informe o el dashboard ahora tiene un archivo estructurado que explica cada columna, sin depender de conocimiento previo ni trabajo manual.</w:t>
            </w:r>
          </w:p>
        </w:tc>
      </w:tr>
      <w:tr>
        <w:tc>
          <w:tcPr>
            <w:tcBorders>
              <w:top w:val="single" w:color="CCCCCC" w:sz="1"/>
              <w:left w:val="single" w:color="CCCCCC" w:sz="1"/>
              <w:bottom w:val="single" w:color="CCCCCC" w:sz="1"/>
              <w:right w:val="single" w:color="CCCCCC" w:sz="1"/>
            </w:tcBorders>
            <w:shd w:fill="E8F5EE" w:val="clear"/>
            <w:tcMar>
              <w:top w:type="dxa" w:w="80"/>
              <w:left w:type="dxa" w:w="240"/>
              <w:bottom w:type="dxa" w:w="80"/>
              <w:right w:type="dxa" w:w="240"/>
            </w:tcMar>
          </w:tcPr>
          <w:p>
            <w:pPr>
              <w:spacing w:after="0" w:before="0"/>
            </w:pPr>
            <w:r>
              <w:rPr>
                <w:rFonts w:ascii="Arial" w:cs="Arial" w:eastAsia="Arial" w:hAnsi="Arial"/>
                <w:b/>
                <w:bCs/>
                <w:color w:val="333333"/>
                <w:sz w:val="20"/>
                <w:szCs w:val="20"/>
              </w:rPr>
              <w:t xml:space="preserve">Estado: </w:t>
            </w:r>
            <w:r>
              <w:rPr>
                <w:rFonts w:ascii="Arial" w:cs="Arial" w:eastAsia="Arial" w:hAnsi="Arial"/>
                <w:b/>
                <w:bCs/>
                <w:color w:val="1D6A3A"/>
                <w:sz w:val="20"/>
                <w:szCs w:val="20"/>
              </w:rPr>
              <w:t xml:space="preserve">Implementado en versión 2.1.0</w:t>
            </w:r>
          </w:p>
        </w:tc>
      </w:tr>
    </w:tbl>
    <w:p>
      <w:pPr>
        <w:spacing w:after="0" w:before="0"/>
      </w:pPr>
      <w:r>
        <w:rPr>
          <w:sz w:val="20"/>
          <w:szCs w:val="20"/>
        </w:rPr>
        <w:t xml:space="preserve"/>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D6A3A" w:val="clear"/>
            <w:tcMar>
              <w:top w:type="dxa" w:w="120"/>
              <w:left w:type="dxa" w:w="240"/>
              <w:bottom w:type="dxa" w:w="120"/>
              <w:right w:type="dxa" w:w="240"/>
            </w:tcMar>
          </w:tcPr>
          <w:p>
            <w:pPr>
              <w:spacing w:after="0" w:before="0"/>
            </w:pPr>
            <w:r>
              <w:rPr>
                <w:rFonts w:ascii="Arial" w:cs="Arial" w:eastAsia="Arial" w:hAnsi="Arial"/>
                <w:b/>
                <w:bCs/>
                <w:color w:val="E0E8F5"/>
                <w:sz w:val="18"/>
                <w:szCs w:val="18"/>
              </w:rPr>
              <w:t xml:space="preserve">Sugerencia 2  ·  </w:t>
            </w:r>
            <w:r>
              <w:rPr>
                <w:rFonts w:ascii="Arial" w:cs="Arial" w:eastAsia="Arial" w:hAnsi="Arial"/>
                <w:b/>
                <w:bCs/>
                <w:color w:val="FFFFFF"/>
                <w:sz w:val="22"/>
                <w:szCs w:val="22"/>
              </w:rPr>
              <w:t xml:space="preserve">Calendario y validación de cambios del INDEC</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pPr>
              <w:spacing w:after="40" w:before="0"/>
            </w:pPr>
            <w:r>
              <w:rPr>
                <w:rFonts w:ascii="Arial" w:cs="Arial" w:eastAsia="Arial" w:hAnsi="Arial"/>
                <w:b/>
                <w:bCs/>
                <w:color w:val="888888"/>
                <w:sz w:val="18"/>
                <w:szCs w:val="18"/>
              </w:rPr>
              <w:t xml:space="preserve">Lo que observó la Dirección:</w:t>
            </w:r>
          </w:p>
          <w:p>
            <w:pPr>
              <w:spacing w:after="0" w:before="0"/>
              <w:jc w:val="both"/>
            </w:pPr>
            <w:r>
              <w:rPr>
                <w:rFonts w:ascii="Arial" w:cs="Arial" w:eastAsia="Arial" w:hAnsi="Arial"/>
                <w:color w:val="555555"/>
                <w:sz w:val="20"/>
                <w:szCs w:val="20"/>
              </w:rPr>
              <w:t xml:space="preserve">Debería incluirse un calendario, ya que el pipeline se activa con cada nueva publicación y debería considerarse la contingencia, auditoría y disponibilización del nuevo reporte, o fallas en la extracción (ej. INDEC cambió un nombre o variable o formato). Esto es, advertir el error antes de que sea publicado o lo advierta el usuario final.</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pPr>
              <w:spacing w:after="40" w:before="0"/>
            </w:pPr>
            <w:r>
              <w:rPr>
                <w:rFonts w:ascii="Arial" w:cs="Arial" w:eastAsia="Arial" w:hAnsi="Arial"/>
                <w:b/>
                <w:bCs/>
                <w:color w:val="1D6A3A"/>
                <w:sz w:val="18"/>
                <w:szCs w:val="18"/>
              </w:rPr>
              <w:t xml:space="preserve">Nuestra respuesta:</w:t>
            </w:r>
          </w:p>
          <w:p>
            <w:pPr>
              <w:spacing w:after="60" w:before="0"/>
              <w:jc w:val="both"/>
            </w:pPr>
            <w:r>
              <w:rPr>
                <w:rFonts w:ascii="Arial" w:cs="Arial" w:eastAsia="Arial" w:hAnsi="Arial"/>
                <w:color w:val="333333"/>
                <w:sz w:val="22"/>
                <w:szCs w:val="22"/>
              </w:rPr>
              <w:t xml:space="preserve">Implementamos dos mecanismos complementarios.</w:t>
            </w:r>
          </w:p>
          <w:p>
            <w:pPr>
              <w:spacing w:after="60" w:before="0"/>
              <w:jc w:val="both"/>
            </w:pPr>
            <w:r>
              <w:rPr>
                <w:rFonts w:ascii="Arial" w:cs="Arial" w:eastAsia="Arial" w:hAnsi="Arial"/>
                <w:b/>
                <w:bCs/>
                <w:color w:val="1A1A2E"/>
                <w:sz w:val="22"/>
                <w:szCs w:val="22"/>
              </w:rPr>
              <w:t xml:space="preserve">Calendario de publicaciones: </w:t>
            </w:r>
            <w:r>
              <w:rPr>
                <w:rFonts w:ascii="Arial" w:cs="Arial" w:eastAsia="Arial" w:hAnsi="Arial"/>
                <w:color w:val="333333"/>
                <w:sz w:val="22"/>
                <w:szCs w:val="22"/>
              </w:rPr>
              <w:t xml:space="preserve">un nuevo comando </w:t>
            </w:r>
            <w:r>
              <w:rPr>
                <w:rFonts w:ascii="Courier New" w:cs="Courier New" w:eastAsia="Courier New" w:hAnsi="Courier New"/>
                <w:b/>
                <w:bCs/>
                <w:color w:val="1A3A6E"/>
                <w:sz w:val="20"/>
                <w:szCs w:val="20"/>
              </w:rPr>
              <w:t xml:space="preserve">--calendario</w:t>
            </w:r>
            <w:r>
              <w:rPr>
                <w:rFonts w:ascii="Arial" w:cs="Arial" w:eastAsia="Arial" w:hAnsi="Arial"/>
                <w:color w:val="333333"/>
                <w:sz w:val="22"/>
                <w:szCs w:val="22"/>
              </w:rPr>
              <w:t xml:space="preserve"> muestra el cronograma esperado de publicaciones del INDEC y el estado de cada trimestre (procesado, esperando publicación, o aún no publicado). El INDEC sigue un patrón conocido —cada trimestre se publica aproximadamente 3 meses después de su cierre— que el sistema ahora conoce.</w:t>
            </w:r>
          </w:p>
          <w:p>
            <w:pPr>
              <w:spacing w:after="60" w:before="0"/>
              <w:jc w:val="both"/>
            </w:pPr>
            <w:r>
              <w:rPr>
                <w:rFonts w:ascii="Arial" w:cs="Arial" w:eastAsia="Arial" w:hAnsi="Arial"/>
                <w:b/>
                <w:bCs/>
                <w:color w:val="1A1A2E"/>
                <w:sz w:val="22"/>
                <w:szCs w:val="22"/>
              </w:rPr>
              <w:t xml:space="preserve">Validación de esquema: </w:t>
            </w:r>
            <w:r>
              <w:rPr>
                <w:rFonts w:ascii="Arial" w:cs="Arial" w:eastAsia="Arial" w:hAnsi="Arial"/>
                <w:color w:val="333333"/>
                <w:sz w:val="22"/>
                <w:szCs w:val="22"/>
              </w:rPr>
              <w:t xml:space="preserve">antes de procesar cada trimestre, el pipeline verifica que estén presentes todas las variables obligatorias. Si el INDEC cambió un nombre de columna o eliminó una variable crítica, el pipeline </w:t>
            </w:r>
            <w:r>
              <w:rPr>
                <w:rFonts w:ascii="Arial" w:cs="Arial" w:eastAsia="Arial" w:hAnsi="Arial"/>
                <w:b/>
                <w:bCs/>
                <w:color w:val="1A1A2E"/>
                <w:sz w:val="22"/>
                <w:szCs w:val="22"/>
              </w:rPr>
              <w:t xml:space="preserve">se detiene y avisa antes de generar resultados incorrectos</w:t>
            </w:r>
            <w:r>
              <w:rPr>
                <w:rFonts w:ascii="Arial" w:cs="Arial" w:eastAsia="Arial" w:hAnsi="Arial"/>
                <w:color w:val="333333"/>
                <w:sz w:val="22"/>
                <w:szCs w:val="22"/>
              </w:rPr>
              <w:t xml:space="preserve">, registrando el detalle en un archivo de validación. Exactamente lo solicitado: advertir el error antes de que llegue al usuario final.</w:t>
            </w:r>
          </w:p>
        </w:tc>
      </w:tr>
      <w:tr>
        <w:tc>
          <w:tcPr>
            <w:tcBorders>
              <w:top w:val="single" w:color="CCCCCC" w:sz="1"/>
              <w:left w:val="single" w:color="CCCCCC" w:sz="1"/>
              <w:bottom w:val="single" w:color="CCCCCC" w:sz="1"/>
              <w:right w:val="single" w:color="CCCCCC" w:sz="1"/>
            </w:tcBorders>
            <w:shd w:fill="E8F5EE" w:val="clear"/>
            <w:tcMar>
              <w:top w:type="dxa" w:w="80"/>
              <w:left w:type="dxa" w:w="240"/>
              <w:bottom w:type="dxa" w:w="80"/>
              <w:right w:type="dxa" w:w="240"/>
            </w:tcMar>
          </w:tcPr>
          <w:p>
            <w:pPr>
              <w:spacing w:after="0" w:before="0"/>
            </w:pPr>
            <w:r>
              <w:rPr>
                <w:rFonts w:ascii="Arial" w:cs="Arial" w:eastAsia="Arial" w:hAnsi="Arial"/>
                <w:b/>
                <w:bCs/>
                <w:color w:val="333333"/>
                <w:sz w:val="20"/>
                <w:szCs w:val="20"/>
              </w:rPr>
              <w:t xml:space="preserve">Estado: </w:t>
            </w:r>
            <w:r>
              <w:rPr>
                <w:rFonts w:ascii="Arial" w:cs="Arial" w:eastAsia="Arial" w:hAnsi="Arial"/>
                <w:b/>
                <w:bCs/>
                <w:color w:val="1D6A3A"/>
                <w:sz w:val="20"/>
                <w:szCs w:val="20"/>
              </w:rPr>
              <w:t xml:space="preserve">Implementado en versión 2.2.0</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D6A3A" w:val="clear"/>
            <w:tcMar>
              <w:top w:type="dxa" w:w="120"/>
              <w:left w:type="dxa" w:w="240"/>
              <w:bottom w:type="dxa" w:w="120"/>
              <w:right w:type="dxa" w:w="240"/>
            </w:tcMar>
          </w:tcPr>
          <w:p>
            <w:pPr>
              <w:spacing w:after="0" w:before="0"/>
            </w:pPr>
            <w:r>
              <w:rPr>
                <w:rFonts w:ascii="Arial" w:cs="Arial" w:eastAsia="Arial" w:hAnsi="Arial"/>
                <w:b/>
                <w:bCs/>
                <w:color w:val="E0E8F5"/>
                <w:sz w:val="18"/>
                <w:szCs w:val="18"/>
              </w:rPr>
              <w:t xml:space="preserve">Sugerencia 3  ·  </w:t>
            </w:r>
            <w:r>
              <w:rPr>
                <w:rFonts w:ascii="Arial" w:cs="Arial" w:eastAsia="Arial" w:hAnsi="Arial"/>
                <w:b/>
                <w:bCs/>
                <w:color w:val="FFFFFF"/>
                <w:sz w:val="22"/>
                <w:szCs w:val="22"/>
              </w:rPr>
              <w:t xml:space="preserve">Reporte para audiencia no técnica</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pPr>
              <w:spacing w:after="40" w:before="0"/>
            </w:pPr>
            <w:r>
              <w:rPr>
                <w:rFonts w:ascii="Arial" w:cs="Arial" w:eastAsia="Arial" w:hAnsi="Arial"/>
                <w:b/>
                <w:bCs/>
                <w:color w:val="888888"/>
                <w:sz w:val="18"/>
                <w:szCs w:val="18"/>
              </w:rPr>
              <w:t xml:space="preserve">Lo que observó la Dirección:</w:t>
            </w:r>
          </w:p>
          <w:p>
            <w:pPr>
              <w:spacing w:after="0" w:before="0"/>
              <w:jc w:val="both"/>
            </w:pPr>
            <w:r>
              <w:rPr>
                <w:rFonts w:ascii="Arial" w:cs="Arial" w:eastAsia="Arial" w:hAnsi="Arial"/>
                <w:color w:val="555555"/>
                <w:sz w:val="20"/>
                <w:szCs w:val="20"/>
              </w:rPr>
              <w:t xml:space="preserve">Hubiera sido conveniente contar con un reporte de muestra o exposición considerando una audiencia no técnica. Por esto considero que sólo restaría ajustar el producto a una audiencia o usuarios no técnicos.</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pPr>
              <w:spacing w:after="40" w:before="0"/>
            </w:pPr>
            <w:r>
              <w:rPr>
                <w:rFonts w:ascii="Arial" w:cs="Arial" w:eastAsia="Arial" w:hAnsi="Arial"/>
                <w:b/>
                <w:bCs/>
                <w:color w:val="1D6A3A"/>
                <w:sz w:val="18"/>
                <w:szCs w:val="18"/>
              </w:rPr>
              <w:t xml:space="preserve">Nuestra respuesta:</w:t>
            </w:r>
          </w:p>
          <w:p>
            <w:pPr>
              <w:spacing w:after="60" w:before="0"/>
              <w:jc w:val="both"/>
            </w:pPr>
            <w:r>
              <w:rPr>
                <w:rFonts w:ascii="Arial" w:cs="Arial" w:eastAsia="Arial" w:hAnsi="Arial"/>
                <w:color w:val="333333"/>
                <w:sz w:val="22"/>
                <w:szCs w:val="22"/>
              </w:rPr>
              <w:t xml:space="preserve">Elaboramos un </w:t>
            </w:r>
            <w:r>
              <w:rPr>
                <w:rFonts w:ascii="Arial" w:cs="Arial" w:eastAsia="Arial" w:hAnsi="Arial"/>
                <w:b/>
                <w:bCs/>
                <w:color w:val="1A1A2E"/>
                <w:sz w:val="22"/>
                <w:szCs w:val="22"/>
              </w:rPr>
              <w:t xml:space="preserve">reporte ejecutivo en formato PDF</w:t>
            </w:r>
            <w:r>
              <w:rPr>
                <w:rFonts w:ascii="Arial" w:cs="Arial" w:eastAsia="Arial" w:hAnsi="Arial"/>
                <w:color w:val="333333"/>
                <w:sz w:val="22"/>
                <w:szCs w:val="22"/>
              </w:rPr>
              <w:t xml:space="preserve"> de seis páginas, diseñado íntegramente para audiencia no técnica.</w:t>
            </w:r>
          </w:p>
          <w:p>
            <w:pPr>
              <w:spacing w:after="60" w:before="0"/>
              <w:jc w:val="both"/>
            </w:pPr>
            <w:r>
              <w:rPr>
                <w:rFonts w:ascii="Arial" w:cs="Arial" w:eastAsia="Arial" w:hAnsi="Arial"/>
                <w:color w:val="333333"/>
                <w:sz w:val="22"/>
                <w:szCs w:val="22"/>
              </w:rPr>
              <w:t xml:space="preserve">El reporte presenta los indicadores clave del 4° trimestre 2025 en cajas visuales destacadas, la evolución del mercado laboral 2023-2025 con gráficos claros, y cuatro hallazgos principales redactados en lenguaje accesible sin tecnicismos. Incluye además una sección de metodología y limitaciones, y una ficha técnica final.</w:t>
            </w:r>
          </w:p>
          <w:p>
            <w:pPr>
              <w:spacing w:after="60" w:before="0"/>
              <w:jc w:val="both"/>
            </w:pPr>
            <w:r>
              <w:rPr>
                <w:rFonts w:ascii="Arial" w:cs="Arial" w:eastAsia="Arial" w:hAnsi="Arial"/>
                <w:color w:val="333333"/>
                <w:sz w:val="22"/>
                <w:szCs w:val="22"/>
              </w:rPr>
              <w:t xml:space="preserve">Está pensado para ser leído por autoridades, funcionarios u otras partes interesadas que no necesitan conocer el detalle técnico del procesamiento, sino comprender qué dicen los datos sobre el mercado laboral provincial.</w:t>
            </w:r>
          </w:p>
        </w:tc>
      </w:tr>
      <w:tr>
        <w:tc>
          <w:tcPr>
            <w:tcBorders>
              <w:top w:val="single" w:color="CCCCCC" w:sz="1"/>
              <w:left w:val="single" w:color="CCCCCC" w:sz="1"/>
              <w:bottom w:val="single" w:color="CCCCCC" w:sz="1"/>
              <w:right w:val="single" w:color="CCCCCC" w:sz="1"/>
            </w:tcBorders>
            <w:shd w:fill="E8F5EE" w:val="clear"/>
            <w:tcMar>
              <w:top w:type="dxa" w:w="80"/>
              <w:left w:type="dxa" w:w="240"/>
              <w:bottom w:type="dxa" w:w="80"/>
              <w:right w:type="dxa" w:w="240"/>
            </w:tcMar>
          </w:tcPr>
          <w:p>
            <w:pPr>
              <w:spacing w:after="0" w:before="0"/>
            </w:pPr>
            <w:r>
              <w:rPr>
                <w:rFonts w:ascii="Arial" w:cs="Arial" w:eastAsia="Arial" w:hAnsi="Arial"/>
                <w:b/>
                <w:bCs/>
                <w:color w:val="333333"/>
                <w:sz w:val="20"/>
                <w:szCs w:val="20"/>
              </w:rPr>
              <w:t xml:space="preserve">Estado: </w:t>
            </w:r>
            <w:r>
              <w:rPr>
                <w:rFonts w:ascii="Arial" w:cs="Arial" w:eastAsia="Arial" w:hAnsi="Arial"/>
                <w:b/>
                <w:bCs/>
                <w:color w:val="1D6A3A"/>
                <w:sz w:val="20"/>
                <w:szCs w:val="20"/>
              </w:rPr>
              <w:t xml:space="preserve">Implementado — Reporte_Ejecutivo_EPH_SDE_4T2025.pdf</w:t>
            </w:r>
          </w:p>
        </w:tc>
      </w:tr>
    </w:tbl>
    <w:p>
      <w:pPr>
        <w:spacing w:after="0" w:before="0"/>
      </w:pPr>
      <w:r>
        <w:rPr>
          <w:sz w:val="20"/>
          <w:szCs w:val="20"/>
        </w:rPr>
        <w:t xml:space="preserve"/>
      </w:r>
    </w:p>
    <w:p>
      <w:pPr>
        <w:spacing w:after="0" w:before="0"/>
      </w:pPr>
      <w:r>
        <w:rPr>
          <w:sz w:val="20"/>
          <w:szCs w:val="20"/>
        </w:rPr>
        <w:t xml:space="preserve"/>
      </w:r>
    </w:p>
    <w:p>
      <w:pPr>
        <w:pBdr>
          <w:bottom w:val="single" w:color="D6E4F0" w:sz="6" w:space="4"/>
        </w:pBdr>
        <w:spacing w:after="100" w:before="300"/>
      </w:pPr>
      <w:r>
        <w:rPr>
          <w:rFonts w:ascii="Arial" w:cs="Arial" w:eastAsia="Arial" w:hAnsi="Arial"/>
          <w:b/>
          <w:bCs/>
          <w:color w:val="1F3A6E"/>
          <w:sz w:val="26"/>
          <w:szCs w:val="26"/>
        </w:rPr>
        <w:t xml:space="preserve">2. Sugerencias planificadas para próximas etapas</w:t>
      </w:r>
    </w:p>
    <w:p>
      <w:pPr>
        <w:spacing w:after="90" w:before="90" w:line="300"/>
        <w:jc w:val="both"/>
      </w:pPr>
      <w:r>
        <w:rPr>
          <w:rFonts w:ascii="Arial" w:cs="Arial" w:eastAsia="Arial" w:hAnsi="Arial"/>
          <w:color w:val="333333"/>
          <w:sz w:val="22"/>
          <w:szCs w:val="22"/>
        </w:rPr>
        <w:t xml:space="preserve">La cuarta sugerencia —sobre escalabilidad y métricas— apunta a un nivel de sofisticación que excede el alcance del hito actual, pero que reconocemos como una dirección válida de evolución. La documentamos aquí como parte del roadmap.</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7D3C00" w:val="clear"/>
            <w:tcMar>
              <w:top w:type="dxa" w:w="120"/>
              <w:left w:type="dxa" w:w="240"/>
              <w:bottom w:type="dxa" w:w="120"/>
              <w:right w:type="dxa" w:w="240"/>
            </w:tcMar>
          </w:tcPr>
          <w:p>
            <w:pPr>
              <w:spacing w:after="0" w:before="0"/>
            </w:pPr>
            <w:r>
              <w:rPr>
                <w:rFonts w:ascii="Arial" w:cs="Arial" w:eastAsia="Arial" w:hAnsi="Arial"/>
                <w:b/>
                <w:bCs/>
                <w:color w:val="E0E8F5"/>
                <w:sz w:val="18"/>
                <w:szCs w:val="18"/>
              </w:rPr>
              <w:t xml:space="preserve">Sugerencia 4  ·  </w:t>
            </w:r>
            <w:r>
              <w:rPr>
                <w:rFonts w:ascii="Arial" w:cs="Arial" w:eastAsia="Arial" w:hAnsi="Arial"/>
                <w:b/>
                <w:bCs/>
                <w:color w:val="FFFFFF"/>
                <w:sz w:val="22"/>
                <w:szCs w:val="22"/>
              </w:rPr>
              <w:t xml:space="preserve">Escalabilidad y métricas por etapa</w:t>
            </w:r>
          </w:p>
        </w:tc>
      </w:tr>
      <w:tr>
        <w:tc>
          <w:tcPr>
            <w:tcBorders>
              <w:top w:val="single" w:color="CCCCCC" w:sz="1"/>
              <w:left w:val="single" w:color="CCCCCC" w:sz="1"/>
              <w:bottom w:val="single" w:color="CCCCCC" w:sz="1"/>
              <w:right w:val="single" w:color="CCCCCC" w:sz="1"/>
            </w:tcBorders>
            <w:shd w:fill="F5F5F5" w:val="clear"/>
            <w:tcMar>
              <w:top w:type="dxa" w:w="100"/>
              <w:left w:type="dxa" w:w="240"/>
              <w:bottom w:type="dxa" w:w="100"/>
              <w:right w:type="dxa" w:w="240"/>
            </w:tcMar>
          </w:tcPr>
          <w:p>
            <w:pPr>
              <w:spacing w:after="40" w:before="0"/>
            </w:pPr>
            <w:r>
              <w:rPr>
                <w:rFonts w:ascii="Arial" w:cs="Arial" w:eastAsia="Arial" w:hAnsi="Arial"/>
                <w:b/>
                <w:bCs/>
                <w:color w:val="888888"/>
                <w:sz w:val="18"/>
                <w:szCs w:val="18"/>
              </w:rPr>
              <w:t xml:space="preserve">Lo que observó la Dirección:</w:t>
            </w:r>
          </w:p>
          <w:p>
            <w:pPr>
              <w:spacing w:after="0" w:before="0"/>
              <w:jc w:val="both"/>
            </w:pPr>
            <w:r>
              <w:rPr>
                <w:rFonts w:ascii="Arial" w:cs="Arial" w:eastAsia="Arial" w:hAnsi="Arial"/>
                <w:color w:val="555555"/>
                <w:sz w:val="20"/>
                <w:szCs w:val="20"/>
              </w:rPr>
              <w:t xml:space="preserve">Una confesión de parte sobre los cuellos de botella y escalabilidad. He notado que asignan el mismo valor a cada Load, y no evalúan métricas de corrección o posibilidad de construcción de nuevas variables (por el equipo u otros usuarixs) en el proceso de transformación. Es bueno saber que hay y qué se viene.</w:t>
            </w:r>
          </w:p>
        </w:tc>
      </w:tr>
      <w:tr>
        <w:tc>
          <w:tcPr>
            <w:tcBorders>
              <w:top w:val="single" w:color="CCCCCC" w:sz="1"/>
              <w:left w:val="single" w:color="CCCCCC" w:sz="1"/>
              <w:bottom w:val="single" w:color="CCCCCC" w:sz="1"/>
              <w:right w:val="single" w:color="CCCCCC" w:sz="1"/>
            </w:tcBorders>
            <w:shd w:fill="FFFFFF" w:val="clear"/>
            <w:tcMar>
              <w:top w:type="dxa" w:w="100"/>
              <w:left w:type="dxa" w:w="240"/>
              <w:bottom w:type="dxa" w:w="100"/>
              <w:right w:type="dxa" w:w="240"/>
            </w:tcMar>
          </w:tcPr>
          <w:p>
            <w:pPr>
              <w:spacing w:after="40" w:before="0"/>
            </w:pPr>
            <w:r>
              <w:rPr>
                <w:rFonts w:ascii="Arial" w:cs="Arial" w:eastAsia="Arial" w:hAnsi="Arial"/>
                <w:b/>
                <w:bCs/>
                <w:color w:val="1D6A3A"/>
                <w:sz w:val="18"/>
                <w:szCs w:val="18"/>
              </w:rPr>
              <w:t xml:space="preserve">Nuestra respuesta:</w:t>
            </w:r>
          </w:p>
          <w:p>
            <w:pPr>
              <w:spacing w:after="60" w:before="0"/>
              <w:jc w:val="both"/>
            </w:pPr>
            <w:r>
              <w:rPr>
                <w:rFonts w:ascii="Arial" w:cs="Arial" w:eastAsia="Arial" w:hAnsi="Arial"/>
                <w:color w:val="333333"/>
                <w:sz w:val="22"/>
                <w:szCs w:val="22"/>
              </w:rPr>
              <w:t xml:space="preserve">Reconocemos la observación. Actualmente todas las cargas (Loads) del pipeline reciben el mismo tratamiento y no se registran métricas de rendimiento por etapa.</w:t>
            </w:r>
          </w:p>
          <w:p>
            <w:pPr>
              <w:spacing w:after="60" w:before="0"/>
              <w:jc w:val="both"/>
            </w:pPr>
            <w:r>
              <w:rPr>
                <w:rFonts w:ascii="Arial" w:cs="Arial" w:eastAsia="Arial" w:hAnsi="Arial"/>
                <w:b/>
                <w:bCs/>
                <w:color w:val="1A1A2E"/>
                <w:sz w:val="22"/>
                <w:szCs w:val="22"/>
              </w:rPr>
              <w:t xml:space="preserve">Plan a futuro: </w:t>
            </w:r>
            <w:r>
              <w:rPr>
                <w:rFonts w:ascii="Arial" w:cs="Arial" w:eastAsia="Arial" w:hAnsi="Arial"/>
                <w:color w:val="333333"/>
                <w:sz w:val="22"/>
                <w:szCs w:val="22"/>
              </w:rPr>
              <w:t xml:space="preserve">incorporar un sistema de métricas que registre el tiempo de cada etapa (descarga, lectura, cálculo, guardado), permita identificar cuellos de botella, y distinga entre cargas críticas y secundarias. Adicionalmente, diseñar un mecanismo documentado para que otros usuarios puedan agregar variables derivadas en la fase de transformación sin modificar el núcleo del pipeline.</w:t>
            </w:r>
          </w:p>
          <w:p>
            <w:pPr>
              <w:spacing w:after="60" w:before="0"/>
              <w:jc w:val="both"/>
            </w:pPr>
            <w:r>
              <w:rPr>
                <w:rFonts w:ascii="Arial" w:cs="Arial" w:eastAsia="Arial" w:hAnsi="Arial"/>
                <w:color w:val="333333"/>
                <w:sz w:val="22"/>
                <w:szCs w:val="22"/>
              </w:rPr>
              <w:t xml:space="preserve">Esta mejora se plantea para una etapa posterior, ya que requiere un rediseño parcial de la arquitectura interna que conviene hacer con tiempo y no bajo la presión de un hito.</w:t>
            </w:r>
          </w:p>
        </w:tc>
      </w:tr>
      <w:tr>
        <w:tc>
          <w:tcPr>
            <w:tcBorders>
              <w:top w:val="single" w:color="CCCCCC" w:sz="1"/>
              <w:left w:val="single" w:color="CCCCCC" w:sz="1"/>
              <w:bottom w:val="single" w:color="CCCCCC" w:sz="1"/>
              <w:right w:val="single" w:color="CCCCCC" w:sz="1"/>
            </w:tcBorders>
            <w:shd w:fill="FEF5EB" w:val="clear"/>
            <w:tcMar>
              <w:top w:type="dxa" w:w="80"/>
              <w:left w:type="dxa" w:w="240"/>
              <w:bottom w:type="dxa" w:w="80"/>
              <w:right w:type="dxa" w:w="240"/>
            </w:tcMar>
          </w:tcPr>
          <w:p>
            <w:pPr>
              <w:spacing w:after="0" w:before="0"/>
            </w:pPr>
            <w:r>
              <w:rPr>
                <w:rFonts w:ascii="Arial" w:cs="Arial" w:eastAsia="Arial" w:hAnsi="Arial"/>
                <w:b/>
                <w:bCs/>
                <w:color w:val="333333"/>
                <w:sz w:val="20"/>
                <w:szCs w:val="20"/>
              </w:rPr>
              <w:t xml:space="preserve">Estado: </w:t>
            </w:r>
            <w:r>
              <w:rPr>
                <w:rFonts w:ascii="Arial" w:cs="Arial" w:eastAsia="Arial" w:hAnsi="Arial"/>
                <w:b/>
                <w:bCs/>
                <w:color w:val="7D3C00"/>
                <w:sz w:val="20"/>
                <w:szCs w:val="20"/>
              </w:rPr>
              <w:t xml:space="preserve">Planificado para etapa posterior</w:t>
            </w:r>
          </w:p>
        </w:tc>
      </w:tr>
    </w:tbl>
    <w:p>
      <w:r>
        <w:br w:type="page"/>
      </w:r>
    </w:p>
    <w:p>
      <w:pPr>
        <w:pBdr>
          <w:bottom w:val="single" w:color="D6E4F0" w:sz="6" w:space="4"/>
        </w:pBdr>
        <w:spacing w:after="100" w:before="300"/>
      </w:pPr>
      <w:r>
        <w:rPr>
          <w:rFonts w:ascii="Arial" w:cs="Arial" w:eastAsia="Arial" w:hAnsi="Arial"/>
          <w:b/>
          <w:bCs/>
          <w:color w:val="1F3A6E"/>
          <w:sz w:val="26"/>
          <w:szCs w:val="26"/>
        </w:rPr>
        <w:t xml:space="preserve">3. Próximos pasos del proyecto</w:t>
      </w:r>
    </w:p>
    <w:p>
      <w:pPr>
        <w:spacing w:after="0" w:before="0"/>
      </w:pPr>
      <w:r>
        <w:rPr>
          <w:sz w:val="20"/>
          <w:szCs w:val="20"/>
        </w:rPr>
        <w:t xml:space="preserve"/>
      </w:r>
    </w:p>
    <w:p>
      <w:pPr>
        <w:spacing w:after="60" w:before="200"/>
      </w:pPr>
      <w:r>
        <w:rPr>
          <w:rFonts w:ascii="Arial" w:cs="Arial" w:eastAsia="Arial" w:hAnsi="Arial"/>
          <w:b/>
          <w:bCs/>
          <w:color w:val="2E5FA3"/>
          <w:sz w:val="23"/>
          <w:szCs w:val="23"/>
        </w:rPr>
        <w:t xml:space="preserve">Hito 3 — Modelo de no respuesta de ingresos</w:t>
      </w:r>
    </w:p>
    <w:p>
      <w:pPr>
        <w:spacing w:after="90" w:before="90" w:line="300"/>
        <w:jc w:val="both"/>
      </w:pPr>
      <w:r>
        <w:rPr>
          <w:rFonts w:ascii="Arial" w:cs="Arial" w:eastAsia="Arial" w:hAnsi="Arial"/>
          <w:color w:val="333333"/>
          <w:sz w:val="22"/>
          <w:szCs w:val="22"/>
        </w:rPr>
        <w:t xml:space="preserve">El siguiente hito del proyecto consiste en desarrollar un modelo estadístico para estudiar y predecir las características asociadas a la no respuesta de ingresos. Este tema partió de una propuesta inicial del grupo. En la reunión diagnóstica, la Dirección redirigió el proyecto hacia el pipeline ETL como eje central, pero reconoció el interés del tema: aceptó incluir la no respuesta como uno de los indicadores operativos deseables dentro del pipeline y compartió un paper de referencia sobre no respuesta de ingresos y métodos de imputación.</w:t>
      </w:r>
    </w:p>
    <w:p>
      <w:pPr>
        <w:spacing w:after="90" w:before="90" w:line="300"/>
        <w:jc w:val="both"/>
      </w:pPr>
      <w:r>
        <w:rPr>
          <w:rFonts w:ascii="Arial" w:cs="Arial" w:eastAsia="Arial" w:hAnsi="Arial"/>
          <w:color w:val="333333"/>
          <w:sz w:val="22"/>
          <w:szCs w:val="22"/>
        </w:rPr>
        <w:t xml:space="preserve">El reporte ejecutivo ya identificó que la no respuesta de ingresos creció de menos del 1% en 2023 a valores entre 3% y 4% en 2025. El modelo del Hito 3 buscará entender qué factores explican ese comportamiento.</w:t>
      </w:r>
    </w:p>
    <w:p>
      <w:pPr>
        <w:spacing w:after="0" w:before="0"/>
      </w:pPr>
      <w:r>
        <w:rPr>
          <w:sz w:val="20"/>
          <w:szCs w:val="20"/>
        </w:rPr>
        <w:t xml:space="preserve"/>
      </w:r>
    </w:p>
    <w:p>
      <w:pPr>
        <w:spacing w:after="60" w:before="200"/>
      </w:pPr>
      <w:r>
        <w:rPr>
          <w:rFonts w:ascii="Arial" w:cs="Arial" w:eastAsia="Arial" w:hAnsi="Arial"/>
          <w:b/>
          <w:bCs/>
          <w:color w:val="2E5FA3"/>
          <w:sz w:val="23"/>
          <w:szCs w:val="23"/>
        </w:rPr>
        <w:t xml:space="preserve">Reuniones con partes interesadas</w:t>
      </w:r>
    </w:p>
    <w:p>
      <w:pPr>
        <w:spacing w:after="90" w:before="90" w:line="300"/>
        <w:jc w:val="both"/>
      </w:pPr>
      <w:r>
        <w:rPr>
          <w:rFonts w:ascii="Arial" w:cs="Arial" w:eastAsia="Arial" w:hAnsi="Arial"/>
          <w:color w:val="333333"/>
          <w:sz w:val="22"/>
          <w:szCs w:val="22"/>
        </w:rPr>
        <w:t xml:space="preserve">La Dirección sugirió tomar contacto con distintos actores que podrían enriquecer el proyecto. Recogemos la propuesta y planteamos las siguientes instancias: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CCCCCC" w:sz="1"/>
              <w:left w:val="single" w:color="CCCCCC" w:sz="1"/>
              <w:bottom w:val="single" w:color="CCCCCC" w:sz="1"/>
              <w:right w:val="single" w:color="CCCCCC" w:sz="1"/>
            </w:tcBorders>
            <w:shd w:fill="4A1A78" w:val="clear"/>
            <w:tcMar>
              <w:top w:type="dxa" w:w="90"/>
              <w:left w:type="dxa" w:w="140"/>
              <w:bottom w:type="dxa" w:w="90"/>
              <w:right w:type="dxa" w:w="140"/>
            </w:tcMar>
          </w:tcPr>
          <w:p>
            <w:r>
              <w:rPr>
                <w:rFonts w:ascii="Arial" w:cs="Arial" w:eastAsia="Arial" w:hAnsi="Arial"/>
                <w:b/>
                <w:bCs/>
                <w:color w:val="FFFFFF"/>
                <w:sz w:val="18"/>
                <w:szCs w:val="18"/>
              </w:rPr>
              <w:t xml:space="preserve">Actor</w:t>
            </w:r>
          </w:p>
        </w:tc>
        <w:tc>
          <w:tcPr>
            <w:tcBorders>
              <w:top w:val="single" w:color="CCCCCC" w:sz="1"/>
              <w:left w:val="single" w:color="CCCCCC" w:sz="1"/>
              <w:bottom w:val="single" w:color="CCCCCC" w:sz="1"/>
              <w:right w:val="single" w:color="CCCCCC" w:sz="1"/>
            </w:tcBorders>
            <w:shd w:fill="4A1A78" w:val="clear"/>
            <w:tcMar>
              <w:top w:type="dxa" w:w="90"/>
              <w:left w:type="dxa" w:w="140"/>
              <w:bottom w:type="dxa" w:w="90"/>
              <w:right w:type="dxa" w:w="140"/>
            </w:tcMar>
          </w:tcPr>
          <w:p>
            <w:r>
              <w:rPr>
                <w:rFonts w:ascii="Arial" w:cs="Arial" w:eastAsia="Arial" w:hAnsi="Arial"/>
                <w:b/>
                <w:bCs/>
                <w:color w:val="FFFFFF"/>
                <w:sz w:val="18"/>
                <w:szCs w:val="18"/>
              </w:rPr>
              <w:t xml:space="preserve">Qué aportaría al proyecto</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1A78"/>
                <w:sz w:val="19"/>
                <w:szCs w:val="19"/>
              </w:rPr>
              <w:t xml:space="preserve">Oficina de operación de EPH (encuestadores y data-entry)</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333333"/>
                <w:sz w:val="19"/>
                <w:szCs w:val="19"/>
              </w:rPr>
              <w:t xml:space="preserve">Información sobre el proceso de campo y los indicadores operativos reales —tasa de rechazo, dificultades de relevamiento— que no están en los microdatos públicos.</w:t>
            </w:r>
          </w:p>
        </w:tc>
      </w:tr>
      <w:tr>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A1A78"/>
                <w:sz w:val="19"/>
                <w:szCs w:val="19"/>
              </w:rPr>
              <w:t xml:space="preserve">Equipos e investigadores en Academia</w:t>
            </w:r>
          </w:p>
        </w:tc>
        <w:tc>
          <w:tcPr>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both"/>
            </w:pPr>
            <w:r>
              <w:rPr>
                <w:rFonts w:ascii="Arial" w:cs="Arial" w:eastAsia="Arial" w:hAnsi="Arial"/>
                <w:color w:val="333333"/>
                <w:sz w:val="19"/>
                <w:szCs w:val="19"/>
              </w:rPr>
              <w:t xml:space="preserve">Validación metodológica del análisis y posibles líneas de investigación conjunta.</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1A78"/>
                <w:sz w:val="19"/>
                <w:szCs w:val="19"/>
              </w:rPr>
              <w:t xml:space="preserve">Consultoras en temas socio-económicos</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333333"/>
                <w:sz w:val="19"/>
                <w:szCs w:val="19"/>
              </w:rPr>
              <w:t xml:space="preserve">Perspectiva sobre necesidades del sector privado y usos potenciales de la información.</w:t>
            </w:r>
          </w:p>
        </w:tc>
      </w:tr>
    </w:tbl>
    <w:p>
      <w:pPr>
        <w:spacing w:after="0" w:before="0"/>
      </w:pPr>
      <w:r>
        <w:rPr>
          <w:sz w:val="20"/>
          <w:szCs w:val="20"/>
        </w:rPr>
        <w:t xml:space="preserve"/>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3A6E" w:val="clear"/>
            <w:tcMar>
              <w:top w:type="dxa" w:w="200"/>
              <w:left w:type="dxa" w:w="280"/>
              <w:bottom w:type="dxa" w:w="200"/>
              <w:right w:type="dxa" w:w="280"/>
            </w:tcMar>
          </w:tcPr>
          <w:p>
            <w:pPr>
              <w:spacing w:after="80" w:before="0"/>
            </w:pPr>
            <w:r>
              <w:rPr>
                <w:rFonts w:ascii="Arial" w:cs="Arial" w:eastAsia="Arial" w:hAnsi="Arial"/>
                <w:b/>
                <w:bCs/>
                <w:color w:val="A8C4E0"/>
                <w:sz w:val="19"/>
                <w:szCs w:val="19"/>
              </w:rPr>
              <w:t xml:space="preserve">Agradecimiento</w:t>
            </w:r>
          </w:p>
          <w:p>
            <w:pPr>
              <w:spacing w:after="0" w:before="0"/>
              <w:jc w:val="both"/>
            </w:pPr>
            <w:r>
              <w:rPr>
                <w:rFonts w:ascii="Arial" w:cs="Arial" w:eastAsia="Arial" w:hAnsi="Arial"/>
                <w:color w:val="FFFFFF"/>
                <w:sz w:val="22"/>
                <w:szCs w:val="22"/>
              </w:rPr>
              <w:t xml:space="preserve">Agradecemos a la Dirección General de Estadística y Censos la devolución recibida. Las observaciones fueron precisas, constructivas y elevaron la calidad del producto. Este tipo de retroalimentación —que combina reconocimiento del trabajo con sugerencias concretas de mejora— es exactamente lo que hace valiosa la colaboración entre la formación técnica y la práctica institucional.</w:t>
            </w:r>
          </w:p>
        </w:tc>
      </w:tr>
    </w:tbl>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026"/>
      </w:tabs>
      <w:spacing w:after="0" w:before="100"/>
    </w:pPr>
    <w:r>
      <w:rPr>
        <w:rFonts w:ascii="Arial" w:cs="Arial" w:eastAsia="Arial" w:hAnsi="Arial"/>
        <w:color w:val="888888"/>
        <w:sz w:val="17"/>
        <w:szCs w:val="17"/>
      </w:rPr>
      <w:t xml:space="preserve">Achaval · Cabaña · Constantinidi · Gomez · Pinto Villegas</w:t>
    </w:r>
    <w:r>
      <w:rPr>
        <w:rFonts w:ascii="Arial" w:cs="Arial" w:eastAsia="Arial" w:hAnsi="Arial"/>
        <w:sz w:val="17"/>
        <w:szCs w:val="17"/>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spacing w:after="100" w:before="0"/>
    </w:pPr>
    <w:r>
      <w:rPr>
        <w:rFonts w:ascii="Arial" w:cs="Arial" w:eastAsia="Arial" w:hAnsi="Arial"/>
        <w:color w:val="888888"/>
        <w:sz w:val="17"/>
        <w:szCs w:val="17"/>
      </w:rPr>
      <w:t xml:space="preserve">Roadmap y Próximos Pasos · Pipeline EPH · PP2 ITSE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2026-07-05T23:55:52.130Z</dcterms:created>
  <dcterms:modified xsi:type="dcterms:W3CDTF">2026-07-05T23:55:52.149Z</dcterms:modified>
</cp:coreProperties>
</file>

<file path=docProps/custom.xml><?xml version="1.0" encoding="utf-8"?>
<Properties xmlns="http://schemas.openxmlformats.org/officeDocument/2006/custom-properties" xmlns:vt="http://schemas.openxmlformats.org/officeDocument/2006/docPropsVTypes"/>
</file>