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A6E" w:val="clear"/>
            <w:tcMar>
              <w:top w:type="dxa" w:w="280"/>
              <w:left w:type="dxa" w:w="300"/>
              <w:bottom w:type="dxa" w:w="280"/>
              <w:right w:type="dxa" w:w="300"/>
            </w:tcMar>
          </w:tcPr>
          <w:p>
            <w:r>
              <w:t>CIERRE V3.4.0 · DGEYC / Roadmap y Próximos Pasos / Estado metodológico, decisiones de alcance y líneas futuras / Pipeline EPH — Santiago del Estero · PP2 ITSE 2026</w:t>
            </w:r>
          </w:p>
        </w:tc>
      </w:tr>
    </w:tbl>
    <w:p>
      <w:pPr>
        <w:spacing w:after="0" w:before="0"/>
      </w:pPr>
      <w:r>
        <w:rPr>
          <w:sz w:val="20"/>
          <w:szCs w:val="20"/>
        </w:rPr>
        <w:t xml:space="preserve"/>
      </w:r>
    </w:p>
    <w:p>
      <w:pPr>
        <w:spacing w:after="0" w:before="0"/>
      </w:pPr>
      <w:r>
        <w:rPr>
          <w:sz w:val="20"/>
          <w:szCs w:val="20"/>
        </w:rPr>
        <w:t xml:space="preserve"/>
      </w:r>
    </w:p>
    <w:p>
      <w:pPr>
        <w:pBdr>
          <w:bottom w:val="single" w:color="D6E4F0" w:sz="6" w:space="4"/>
        </w:pBdr>
        <w:spacing w:after="100" w:before="300"/>
      </w:pPr>
      <w:r>
        <w:rPr>
          <w:rFonts w:ascii="Arial" w:cs="Arial" w:eastAsia="Arial" w:hAnsi="Arial"/>
          <w:b/>
          <w:bCs/>
          <w:color w:val="1F3A6E"/>
          <w:sz w:val="26"/>
          <w:szCs w:val="26"/>
        </w:rPr>
        <w:t xml:space="preserve">Contexto</w:t>
      </w:r>
    </w:p>
    <w:p>
      <w:pPr>
        <w:spacing w:after="90" w:before="90" w:line="300"/>
        <w:jc w:val="both"/>
      </w:pPr>
      <w:r>
        <w:t>Tras la entrega del repositorio del pipeline ETL a la Dirección General de Estadística y Censos, el proyecto continuó evolucionando hasta la V3.4.0. Esta versión consolida la capa analítica y el fortalecimiento metodológico, incluyendo validación reproducible contra publicaciones oficiales del INDEC.</w:t>
      </w:r>
    </w:p>
    <w:p>
      <w:pPr>
        <w:spacing w:after="90" w:before="90" w:line="300"/>
        <w:jc w:val="both"/>
      </w:pPr>
      <w:r>
        <w:t>La devolución institucional inicial destacó la calidad del diseño y de la documentación y orientó mejoras posteriores. A partir de esas observaciones se incorporaron metadatos, calendario y monitor, portal para usuarios no técnicos, análisis segmentado, reporte PDF y una capa específica de validación metodológica.</w:t>
      </w:r>
    </w:p>
    <w:p>
      <w:pPr>
        <w:spacing w:after="90" w:before="90" w:line="300"/>
        <w:jc w:val="both"/>
      </w:pPr>
      <w:r>
        <w:t>Este documento resume las sugerencias recibidas, las respuestas implementadas y el estado de cierre de la V3.4.0. También separa con claridad lo que queda fuera de alcance o pendiente para futuras etapas.</w:t>
      </w:r>
    </w:p>
    <w:p>
      <w:r>
        <w:t>Como ajuste de cierre, una devolución docente señaló la necesidad de reforzar la coherencia entre el entorno documentado y el entorno real de ejecución, y de explicar las decisiones técnicas con su cómo, por qué y para qué. Se corrigió el EDA para no instalar librerías durante la ejecución, se dejó Python local como entorno operativo y el notebook como apoyo demostrativo; además, la evolución del proyecto se reescribió con mayor detalle técnico.</w:t>
      </w:r>
    </w:p>
    <w:p>
      <w:pPr>
        <w:spacing w:after="0" w:before="0"/>
      </w:pPr>
      <w:r>
        <w:rPr>
          <w:sz w:val="20"/>
          <w:szCs w:val="20"/>
        </w:rPr>
        <w:t xml:space="preserve"/>
      </w:r>
    </w:p>
    <w:p>
      <w:pPr>
        <w:spacing w:after="60" w:before="200"/>
      </w:pPr>
      <w:r>
        <w:rPr>
          <w:rFonts w:ascii="Arial" w:cs="Arial" w:eastAsia="Arial" w:hAnsi="Arial"/>
          <w:b/>
          <w:bCs/>
          <w:color w:val="2E5FA3"/>
          <w:sz w:val="23"/>
          <w:szCs w:val="23"/>
        </w:rPr>
        <w:t xml:space="preserve">Resumen de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r>
              <w:rPr>
                <w:rFonts w:ascii="Arial" w:cs="Arial" w:eastAsia="Arial" w:hAnsi="Arial"/>
                <w:b/>
                <w:bCs/>
                <w:color w:val="FFFFFF"/>
                <w:sz w:val="18"/>
                <w:szCs w:val="18"/>
              </w:rPr>
              <w:t xml:space="preserve">Sugerencia de la Dirección</w:t>
            </w:r>
          </w:p>
        </w:tc>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Prioridad</w:t>
            </w:r>
          </w:p>
        </w:tc>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Estado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Metadatos que acompañen cada CSV exportado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1D6A3A"/>
                <w:sz w:val="19"/>
                <w:szCs w:val="19"/>
              </w:rPr>
              <w:t xml:space="preserve">Implementado</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333333"/>
                <w:sz w:val="19"/>
                <w:szCs w:val="19"/>
              </w:rPr>
              <w:t xml:space="preserve">Calendario y validación de cambios del INDEC</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1D6A3A"/>
                <w:sz w:val="19"/>
                <w:szCs w:val="19"/>
              </w:rPr>
              <w:t xml:space="preserve">Implementado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Dashboard para audiencia no técnica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Implementado y ampliado en V3.4.0</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333333"/>
                <w:sz w:val="19"/>
                <w:szCs w:val="19"/>
              </w:rPr>
              <w:t xml:space="preserve">Escalabilidad y métricas por etapa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555555"/>
                <w:sz w:val="19"/>
                <w:szCs w:val="19"/>
              </w:rPr>
              <w:t xml:space="preserve">Media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t>Pendiente futuro; no bloquea V3.4.0</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Reuniones con partes interesadas</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Media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Realizada con equipo EPH / continuidad abierta</w:t>
            </w:r>
          </w:p>
        </w:tc>
      </w:tr>
      <w:tr>
        <w:tc>
          <w:tcPr>
            <w:tcW w:type="dxa" w:w="4500"/>
          </w:tcPr>
          <w:p>
            <w:r>
              <w:t>Validación metodológica contra INDEC</w:t>
            </w:r>
          </w:p>
        </w:tc>
        <w:tc>
          <w:tcPr>
            <w:tcW w:type="dxa" w:w="2263"/>
          </w:tcPr>
          <w:p>
            <w:r>
              <w:t>Alta</w:t>
            </w:r>
          </w:p>
        </w:tc>
        <w:tc>
          <w:tcPr>
            <w:tcW w:type="dxa" w:w="2263"/>
          </w:tcPr>
          <w:p>
            <w:r>
              <w:t>Implementado V3.4.0 · 27/27 concordancias</w:t>
            </w:r>
          </w:p>
        </w:tc>
      </w:tr>
      <w:tr>
        <w:tc>
          <w:tcPr>
            <w:tcW w:type="dxa" w:w="4500"/>
          </w:tcPr>
          <w:p>
            <w:r>
              <w:t>Comparación territorial NOA / total EPH</w:t>
            </w:r>
          </w:p>
        </w:tc>
        <w:tc>
          <w:tcPr>
            <w:tcW w:type="dxa" w:w="2263"/>
          </w:tcPr>
          <w:p>
            <w:r>
              <w:t>No requerida</w:t>
            </w:r>
          </w:p>
        </w:tc>
        <w:tc>
          <w:tcPr>
            <w:tcW w:type="dxa" w:w="2263"/>
          </w:tcPr>
          <w:p>
            <w:r>
              <w:t>Fuera de alcance V3.4.0 tras reunión EPH</w:t>
            </w:r>
          </w:p>
        </w:tc>
      </w:tr>
    </w:tbl>
    <w:p>
      <w:r>
        <w:br w:type="page"/>
      </w:r>
    </w:p>
    <w:p>
      <w:pPr>
        <w:pBdr>
          <w:bottom w:val="single" w:color="D6E4F0" w:sz="6" w:space="4"/>
        </w:pBdr>
        <w:spacing w:after="100" w:before="300"/>
      </w:pPr>
      <w:r>
        <w:rPr>
          <w:rFonts w:ascii="Arial" w:cs="Arial" w:eastAsia="Arial" w:hAnsi="Arial"/>
          <w:b/>
          <w:bCs/>
          <w:color w:val="1F3A6E"/>
          <w:sz w:val="26"/>
          <w:szCs w:val="26"/>
        </w:rPr>
        <w:t xml:space="preserve">1. Sugerencias ya implementadas</w:t>
      </w:r>
    </w:p>
    <w:p>
      <w:pPr>
        <w:spacing w:after="90" w:before="90" w:line="300"/>
        <w:jc w:val="both"/>
      </w:pPr>
      <w:r>
        <w:rPr>
          <w:rFonts w:ascii="Arial" w:cs="Arial" w:eastAsia="Arial" w:hAnsi="Arial"/>
          <w:color w:val="333333"/>
          <w:sz w:val="22"/>
          <w:szCs w:val="22"/>
        </w:rPr>
        <w:t xml:space="preserve">Tres de las sugerencias recibidas ya fueron incorporadas al pipeline. A continuación el detalle de cada una.</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r>
              <w:t>Sugerencia 1  ·  Metadatos para los archivos exportados</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r>
              <w:t>Lo que observó la Dirección:</w:t>
              <w:br/>
              <w:t>Los csv o xlsx que se exporten del pipeline o las Loads deben estar acompañadas de metadatos para ser usables. 1 tabla + 1 txt u otro formato. Es la parte más manual del pipeline automatizado. Piensen en quién hará el informe Markdown o Dashboard.</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r>
              <w:t>Nuestra respuesta:</w:t>
              <w:br/>
              <w:t>Implementamos un sistema de metadatos automáticos. Ahora cada archivo CSV que genera el pipeline se acompaña de un archivo .meta.json con toda la información necesaria para su uso.</w:t>
              <w:br/>
              <w:t>Cada archivo de metadatos incluye: versión del pipeline que lo generó, fecha y hora de generación, fuente exacta (organismo, operativo, URL del trimestre), esquema completo de columnas con tipo y descripción de cada una, cantidad de filas, y un hash SHA-256 para verificar la integridad del archivo.</w:t>
              <w:br/>
              <w:t>Esto resuelve exactamente lo señalado: quien haga el informe o el dashboard ahora tiene un archivo estructurado que explica cada columna, sin depender de conocimiento previo ni trabajo manual.</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r>
              <w:t>Estado: Implementado en versión 3.0.0</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r>
              <w:t>Sugerencia 2  ·  Calendario y validación de cambios del INDEC</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r>
              <w:t>Lo que observó la Dirección:</w:t>
              <w:br/>
              <w:t>Debería incluirse un calendario, ya que el pipeline se activa con cada nueva publicación y debería considerarse la contingencia, auditoría y disponibilización del nuevo reporte, o fallas en la extracción (ej. INDEC cambió un nombre o variable o formato). Esto es, advertir el error antes de que sea publicado o lo advierta el usuario final.</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r>
              <w:t>Nuestra respuesta:</w:t>
              <w:br/>
              <w:t>Implementamos dos mecanismos complementarios.</w:t>
              <w:br/>
              <w:t>Calendario de publicaciones: un nuevo comando --calendario muestra el cronograma esperado de publicaciones del INDEC y el estado de cada trimestre (procesado, esperando publicación, o aún no publicado). El INDEC sigue un patrón conocido —cada trimestre se publica aproximadamente 3 meses después de su cierre— que el sistema ahora conoce.</w:t>
              <w:br/>
              <w:t>Validación de esquema: antes de procesar cada trimestre, el pipeline verifica que estén presentes todas las variables obligatorias. Si el INDEC cambió un nombre de columna o eliminó una variable crítica, el pipeline se detiene y avisa antes de generar resultados incorrectos, registrando el detalle en un archivo de validación. Exactamente lo solicitado: advertir el error antes de que llegue al usuario final.</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r>
              <w:t>Estado: Implementado en versión 3.0.0</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r>
              <w:t>Sugerencia 3  ·  Reporte para audiencia no técnica</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r>
              <w:t>Lo que observó la Dirección:</w:t>
              <w:br/>
              <w:t>Hubiera sido conveniente contar con un reporte de muestra o exposición considerando una audiencia no técnica. Por esto considero que sólo restaría ajustar el producto a una audiencia o usuarios no técnicos.</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r>
              <w:t>Nuestra respuesta:</w:t>
              <w:br/>
              <w:t>Consolidamos un portal Streamlit organizado en ocho secciones para una audiencia no técnica.</w:t>
              <w:br/>
              <w:t>El portal presenta indicadores principales, evolución laboral, brechas y perfiles, ingresos nominales, calendario, calidad, auditoría metodológica, documentación, descargas y administración con explicaciones claras ante datos ausentes.</w:t>
              <w:br/>
              <w:t>El dashboard está pensado para autoridades y equipos que necesitan comprender los datos sin revisar el código.</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r>
              <w:t>Estado: Implementado y consolidado en V3.4.0 — portal institucional, reporte PDF y validación metodológica visible</w:t>
            </w:r>
          </w:p>
        </w:tc>
      </w:tr>
    </w:tbl>
    <w:p>
      <w:pPr>
        <w:spacing w:after="0" w:before="0"/>
      </w:pPr>
      <w:r>
        <w:rPr>
          <w:sz w:val="20"/>
          <w:szCs w:val="20"/>
        </w:rPr>
        <w:t xml:space="preserve"/>
      </w:r>
    </w:p>
    <w:p>
      <w:pPr>
        <w:spacing w:after="0" w:before="0"/>
      </w:pPr>
      <w:r>
        <w:rPr>
          <w:sz w:val="20"/>
          <w:szCs w:val="20"/>
        </w:rPr>
        <w:t xml:space="preserve"/>
      </w:r>
    </w:p>
    <w:p>
      <w:pPr>
        <w:pBdr>
          <w:bottom w:val="single" w:color="D6E4F0" w:sz="6" w:space="4"/>
        </w:pBdr>
        <w:spacing w:after="100" w:before="300"/>
      </w:pPr>
      <w:r>
        <w:rPr>
          <w:rFonts w:ascii="Arial" w:cs="Arial" w:eastAsia="Arial" w:hAnsi="Arial"/>
          <w:b/>
          <w:bCs/>
          <w:color w:val="1F3A6E"/>
          <w:sz w:val="26"/>
          <w:szCs w:val="26"/>
        </w:rPr>
        <w:t xml:space="preserve">2. Sugerencias planificadas para próximas etapas</w:t>
      </w:r>
    </w:p>
    <w:p>
      <w:pPr>
        <w:spacing w:after="90" w:before="90" w:line="300"/>
        <w:jc w:val="both"/>
      </w:pPr>
      <w:r>
        <w:t>Las mejoras de escalabilidad, métricas por etapa e inferencia estadística exceden el alcance del cierre V3.4.0. Se mantienen como líneas futuras sujetas a priorización institucional, sin bloquear el uso de la versión actual.</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7D3C00" w:val="clear"/>
            <w:tcMar>
              <w:top w:type="dxa" w:w="120"/>
              <w:left w:type="dxa" w:w="240"/>
              <w:bottom w:type="dxa" w:w="120"/>
              <w:right w:type="dxa" w:w="240"/>
            </w:tcMar>
          </w:tcPr>
          <w:p>
            <w:r>
              <w:t>Sugerencia 4  ·  Escalabilidad y métricas por etapa</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r>
              <w:t>Lo que observó la Dirección:</w:t>
              <w:br/>
              <w:t>Una confesión de parte sobre los cuellos de botella y escalabilidad. He notado que asignan el mismo valor a cada Load, y no evalúan métricas de corrección o posibilidad de construcción de nuevas variables (por el equipo u otros usuarixs) en el proceso de transformación. Es bueno saber que hay y qué se viene.</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r>
              <w:t>Nuestra respuesta:</w:t>
              <w:br/>
              <w:t>Reconocemos la observación. Actualmente todas las cargas (Loads) del pipeline reciben el mismo tratamiento y no se registran métricas de rendimiento por etapa.</w:t>
              <w:br/>
              <w:t>Plan a futuro: incorporar un sistema de métricas que registre el tiempo de cada etapa (descarga, lectura, cálculo, guardado), permita identificar cuellos de botella, y distinga entre cargas críticas y secundarias. Adicionalmente, diseñar un mecanismo documentado para que otros usuarios puedan agregar variables derivadas en la fase de transformación sin modificar el núcleo del pipeline.</w:t>
              <w:br/>
              <w:t>Esta mejora se plantea para una etapa posterior, ya que requiere un rediseño parcial de la arquitectura interna que conviene hacer con tiempo y no bajo la presión de un hito.</w:t>
            </w:r>
          </w:p>
        </w:tc>
      </w:tr>
      <w:tr>
        <w:tc>
          <w:tcPr>
            <w:tcBorders>
              <w:top w:val="single" w:color="CCCCCC" w:sz="1"/>
              <w:left w:val="single" w:color="CCCCCC" w:sz="1"/>
              <w:bottom w:val="single" w:color="CCCCCC" w:sz="1"/>
              <w:right w:val="single" w:color="CCCCCC" w:sz="1"/>
            </w:tcBorders>
            <w:shd w:fill="FEF5EB" w:val="clear"/>
            <w:tcMar>
              <w:top w:type="dxa" w:w="80"/>
              <w:left w:type="dxa" w:w="240"/>
              <w:bottom w:type="dxa" w:w="80"/>
              <w:right w:type="dxa" w:w="240"/>
            </w:tcMar>
          </w:tcPr>
          <w:p>
            <w:r>
              <w:t>Estado: Planificado para etapa posterior</w:t>
            </w:r>
          </w:p>
        </w:tc>
      </w:tr>
    </w:tbl>
    <w:p>
      <w:r>
        <w:br w:type="page"/>
      </w:r>
    </w:p>
    <w:p>
      <w:pPr>
        <w:pBdr>
          <w:bottom w:val="single" w:color="D6E4F0" w:sz="6" w:space="4"/>
        </w:pBdr>
        <w:spacing w:after="100" w:before="300"/>
      </w:pPr>
      <w:r>
        <w:rPr>
          <w:rFonts w:ascii="Arial" w:cs="Arial" w:eastAsia="Arial" w:hAnsi="Arial"/>
          <w:b/>
          <w:bCs/>
          <w:color w:val="1F3A6E"/>
          <w:sz w:val="26"/>
          <w:szCs w:val="26"/>
        </w:rPr>
        <w:t xml:space="preserve">3. Próximos pasos del proyecto</w:t>
      </w:r>
    </w:p>
    <w:p>
      <w:pPr>
        <w:spacing w:after="0" w:before="0"/>
      </w:pPr>
      <w:r>
        <w:rPr>
          <w:sz w:val="20"/>
          <w:szCs w:val="20"/>
        </w:rPr>
        <w:t xml:space="preserve"/>
      </w:r>
    </w:p>
    <w:p>
      <w:pPr>
        <w:spacing w:after="60" w:before="200"/>
      </w:pPr>
      <w:r>
        <w:t>Hito 3 - Dashboard institucional</w:t>
      </w:r>
    </w:p>
    <w:p>
      <w:pPr>
        <w:spacing w:after="90" w:before="90" w:line="300"/>
        <w:jc w:val="both"/>
      </w:pPr>
      <w:r>
        <w:t>El Hito 3 se consolida en la V3.4.0 mediante un portal institucional de ocho secciones: Resumen ejecutivo, Evolución laboral, Brechas y perfiles, Ingresos, Calendario, Calidad y auditoría, Documentación y descargas, y Administración. Trabaja con salidas agregadas validadas y mantiene separada la lógica estadística del portal.</w:t>
      </w:r>
    </w:p>
    <w:p>
      <w:pPr>
        <w:spacing w:after="90" w:before="90" w:line="300"/>
        <w:jc w:val="both"/>
      </w:pPr>
      <w:r>
        <w:t>La V3.4.0 incorpora tasas específicas 14+, uso de PONDIIO para P21, ADECOCUR para deciles y validación externa contra INDEC: 27 de 27 concordancias para actividad, empleo y desocupación entre 2024T1 y 2026T1. La suite de cierre alcanza 97 tests. La no respuesta de ingresos se conserva como indicador de calidad para seguimiento.</w:t>
      </w:r>
    </w:p>
    <w:p>
      <w:pPr>
        <w:spacing w:after="0" w:before="0"/>
      </w:pPr>
      <w:r>
        <w:rPr>
          <w:sz w:val="20"/>
          <w:szCs w:val="20"/>
        </w:rPr>
        <w:t xml:space="preserve"/>
      </w:r>
    </w:p>
    <w:p>
      <w:pPr>
        <w:spacing w:after="60" w:before="200"/>
      </w:pPr>
      <w:r>
        <w:rPr>
          <w:rFonts w:ascii="Arial" w:cs="Arial" w:eastAsia="Arial" w:hAnsi="Arial"/>
          <w:b/>
          <w:bCs/>
          <w:color w:val="2E5FA3"/>
          <w:sz w:val="23"/>
          <w:szCs w:val="23"/>
        </w:rPr>
        <w:t xml:space="preserve">Reuniones con partes interesadas</w:t>
      </w:r>
    </w:p>
    <w:p>
      <w:pPr>
        <w:spacing w:after="90" w:before="90" w:line="300"/>
        <w:jc w:val="both"/>
      </w:pPr>
      <w:r>
        <w:t>La Dirección sugirió tomar contacto con distintos actores que podrían enriquecer el proyecto. Además, se realizó una reunión con el equipo EPH. Como resultado, se definió que la comparación territorial Santiago del Estero–La Banda vs. NOA vs. total EPH no es necesaria para esta etapa y queda fuera del alcance de la V3.4.0. Se mantienen como posibles instancias futuras: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4A1A78" w:val="clear"/>
            <w:tcMar>
              <w:top w:type="dxa" w:w="90"/>
              <w:left w:type="dxa" w:w="140"/>
              <w:bottom w:type="dxa" w:w="90"/>
              <w:right w:type="dxa" w:w="140"/>
            </w:tcMar>
          </w:tcPr>
          <w:p>
            <w:r>
              <w:t>Actor</w:t>
            </w:r>
          </w:p>
        </w:tc>
        <w:tc>
          <w:tcPr>
            <w:tcBorders>
              <w:top w:val="single" w:color="CCCCCC" w:sz="1"/>
              <w:left w:val="single" w:color="CCCCCC" w:sz="1"/>
              <w:bottom w:val="single" w:color="CCCCCC" w:sz="1"/>
              <w:right w:val="single" w:color="CCCCCC" w:sz="1"/>
            </w:tcBorders>
            <w:shd w:fill="4A1A78" w:val="clear"/>
            <w:tcMar>
              <w:top w:type="dxa" w:w="90"/>
              <w:left w:type="dxa" w:w="140"/>
              <w:bottom w:type="dxa" w:w="90"/>
              <w:right w:type="dxa" w:w="140"/>
            </w:tcMar>
          </w:tcPr>
          <w:p>
            <w:r>
              <w:t>Qué aportaría al proyecto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Oficina de operación de EPH (encuestadores y data-entry)</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Información sobre el proceso de campo y los indicadores operativos reales —tasa de rechazo, dificultades de relevamiento— que no están en los microdatos públicos.</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t>Equipos e investigadores en Academia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t>Validación metodológica del análisis y posibles líneas de investigación conjunta.</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Consultoras en temas socio-económicos</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t>Perspectiva sobre necesidades del sector privado y usos potenciales de la información.</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A6E" w:val="clear"/>
            <w:tcMar>
              <w:top w:type="dxa" w:w="200"/>
              <w:left w:type="dxa" w:w="280"/>
              <w:bottom w:type="dxa" w:w="200"/>
              <w:right w:type="dxa" w:w="280"/>
            </w:tcMar>
          </w:tcPr>
          <w:p>
            <w:r>
              <w:t>Agradecimiento</w:t>
              <w:br/>
              <w:t>Agradecemos a la Dirección General de Estadística y Censos la devolución recibida. Las observaciones fueron precisas, constructivas y elevaron la calidad del producto. Este tipo de retroalimentación —que combina reconocimiento del trabajo con sugerencias concretas de mejora— es exactamente lo que hace valiosa la colaboración entre la formación técnica y la práctica institucional.</w:t>
            </w:r>
          </w:p>
        </w:tc>
      </w:tr>
    </w:tbl>
    <w:p>
      <w:r>
        <w:t>Línea futura</w:t>
      </w:r>
    </w:p>
    <w:p>
      <w:r>
        <w:t>Como líneas futuras pueden evaluarse, según prioridad institucional: métricas de rendimiento por etapa, tratamiento inferencial asociado al diseño muestral, contraste externo de informalidad, revisión del control interno de no respuesta de hogares basado en REALIZADA y, sólo si existe un problema concreto con datos suficientes, aplicaciones de Machine Learning.</w:t>
      </w:r>
    </w:p>
    <w:p>
      <w:r>
        <w:t>El PDF ejecutivo previo se conserva como antecedente histórico. La V3.4.0 incorpora además una exportación PDF institucional generada desde salidas agregadas validadas del portal actual.</w:t>
      </w:r>
    </w:p>
    <w:p>
      <w:r>
        <w:t>Estado de cierre V3.4.0</w:t>
      </w:r>
    </w:p>
    <w:p>
      <w:r>
        <w:t>La V3.4.0 se da por concluida a nivel de código y metodología. El tag v3.4.0 se creará tras regenerar y verificar el snapshot; evidencia de cierre: 97 tests aprobados y 27/27 concordancias contra INDEC.</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spacing w:after="0" w:before="100"/>
    </w:pPr>
    <w:r>
      <w:rPr>
        <w:rFonts w:ascii="Arial" w:cs="Arial" w:eastAsia="Arial" w:hAnsi="Arial"/>
        <w:color w:val="888888"/>
        <w:sz w:val="17"/>
        <w:szCs w:val="17"/>
      </w:rPr>
      <w:t xml:space="preserve">Achaval · Cabaña · Constantinidi · Gomez · Pinto Villegas</w:t>
    </w:r>
    <w:r>
      <w:rPr>
        <w:rFonts w:ascii="Arial" w:cs="Arial" w:eastAsia="Arial" w:hAnsi="Arial"/>
        <w:sz w:val="17"/>
        <w:szCs w:val="17"/>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spacing w:after="100" w:before="0"/>
    </w:pPr>
    <w:r>
      <w:rPr>
        <w:rFonts w:ascii="Arial" w:cs="Arial" w:eastAsia="Arial" w:hAnsi="Arial"/>
        <w:color w:val="888888"/>
        <w:sz w:val="17"/>
        <w:szCs w:val="17"/>
      </w:rPr>
      <w:t xml:space="preserve">Roadmap y Próximos Pasos · Pipeline EPH · PP2 ITSE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2026-07-05T23:55:52.130Z</dcterms:created>
  <dcterms:modified xsi:type="dcterms:W3CDTF">2026-07-05T23:55:52.149Z</dcterms:modified>
</cp:coreProperties>
</file>

<file path=docProps/custom.xml><?xml version="1.0" encoding="utf-8"?>
<Properties xmlns="http://schemas.openxmlformats.org/officeDocument/2006/custom-properties" xmlns:vt="http://schemas.openxmlformats.org/officeDocument/2006/docPropsVTypes"/>
</file>