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软件工程综合实验项目验收报告</w:t>
      </w:r>
    </w:p>
    <w:p>
      <w:pPr>
        <w:pStyle w:val="2"/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设计说明书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项目名称：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企业内部沟通APP</w:t>
      </w:r>
    </w:p>
    <w:p>
      <w:pPr>
        <w:ind w:left="126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项目指导老师：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曹春</w:t>
      </w:r>
    </w:p>
    <w:p>
      <w:pPr>
        <w:ind w:left="126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项目小组成员：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焦点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141220049</w:t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廖祥森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</w:t>
      </w: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160033</w:t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陈潢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141270004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Style w:val="2"/>
        <w:spacing w:before="312" w:beforeLines="100" w:after="312" w:afterLines="100" w:line="360" w:lineRule="auto"/>
        <w:rPr>
          <w:rFonts w:ascii="Malgun Gothic Semilight" w:hAnsi="Malgun Gothic Semilight" w:eastAsia="Malgun Gothic Semilight" w:cs="Malgun Gothic Semilight"/>
          <w:kern w:val="0"/>
        </w:rPr>
      </w:pPr>
      <w:r>
        <w:rPr>
          <w:rFonts w:ascii="Malgun Gothic Semilight" w:hAnsi="Malgun Gothic Semilight" w:eastAsia="Malgun Gothic Semilight" w:cs="Malgun Gothic Semilight"/>
          <w:kern w:val="0"/>
        </w:rPr>
        <w:t>1</w:t>
      </w:r>
      <w:r>
        <w:rPr>
          <w:rFonts w:hint="eastAsia" w:ascii="Malgun Gothic Semilight" w:hAnsi="Malgun Gothic Semilight" w:eastAsia="Malgun Gothic Semilight" w:cs="Malgun Gothic Semilight"/>
          <w:kern w:val="0"/>
        </w:rPr>
        <w:t xml:space="preserve"> </w:t>
      </w:r>
      <w:r>
        <w:rPr>
          <w:rFonts w:hint="eastAsia" w:ascii="宋体" w:hAnsi="宋体" w:cs="宋体"/>
          <w:kern w:val="0"/>
        </w:rPr>
        <w:t>引言</w:t>
      </w:r>
      <w:r>
        <w:rPr>
          <w:rFonts w:ascii="Malgun Gothic Semilight" w:hAnsi="Malgun Gothic Semilight" w:eastAsia="Malgun Gothic Semilight" w:cs="Malgun Gothic Semilight"/>
          <w:kern w:val="0"/>
        </w:rPr>
        <w:t xml:space="preserve"> </w:t>
      </w:r>
    </w:p>
    <w:p>
      <w:pPr>
        <w:pStyle w:val="3"/>
        <w:rPr>
          <w:rFonts w:ascii="Malgun Gothic Semilight" w:hAnsi="Malgun Gothic Semilight" w:eastAsia="Malgun Gothic Semilight" w:cs="Malgun Gothic Semilight"/>
          <w:kern w:val="0"/>
        </w:rPr>
      </w:pPr>
      <w:r>
        <w:rPr>
          <w:rFonts w:ascii="Malgun Gothic Semilight" w:hAnsi="Malgun Gothic Semilight" w:eastAsia="Malgun Gothic Semilight" w:cs="Malgun Gothic Semilight"/>
          <w:kern w:val="0"/>
        </w:rPr>
        <w:t>1.1</w:t>
      </w:r>
      <w:r>
        <w:rPr>
          <w:rFonts w:hint="eastAsia" w:ascii="Malgun Gothic Semilight" w:hAnsi="Malgun Gothic Semilight" w:eastAsia="Malgun Gothic Semilight" w:cs="Malgun Gothic Semilight"/>
          <w:kern w:val="0"/>
        </w:rPr>
        <w:t xml:space="preserve"> </w:t>
      </w:r>
      <w:r>
        <w:rPr>
          <w:rFonts w:hint="eastAsia" w:ascii="宋体" w:hAnsi="宋体" w:eastAsia="宋体" w:cs="宋体"/>
          <w:kern w:val="0"/>
        </w:rPr>
        <w:t>编写目的</w:t>
      </w:r>
      <w:r>
        <w:rPr>
          <w:rFonts w:ascii="Malgun Gothic Semilight" w:hAnsi="Malgun Gothic Semilight" w:eastAsia="Malgun Gothic Semilight" w:cs="Malgun Gothic Semilight"/>
          <w:kern w:val="0"/>
        </w:rPr>
        <w:t xml:space="preserve"> </w:t>
      </w:r>
    </w:p>
    <w:p>
      <w:pPr>
        <w:rPr>
          <w:rFonts w:ascii="Malgun Gothic Semilight" w:hAnsi="Malgun Gothic Semilight" w:eastAsia="Malgun Gothic Semilight" w:cs="Malgun Gothic Semilight"/>
          <w:sz w:val="24"/>
        </w:rPr>
      </w:pPr>
      <w:r>
        <w:rPr>
          <w:rFonts w:hint="eastAsia" w:ascii="宋体" w:hAnsi="宋体" w:cs="宋体"/>
          <w:sz w:val="24"/>
        </w:rPr>
        <w:t>本文档对产品整体的流程和功能进行了简明的说明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目的是整理与用户沟通的结果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明确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中用户的各项需求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确定系统功能模块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并对各个模块的功能做出具体的说明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便于用户理解我方初步设计的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APP。</w:t>
      </w:r>
    </w:p>
    <w:p>
      <w:pPr>
        <w:pStyle w:val="3"/>
        <w:rPr>
          <w:rFonts w:ascii="Malgun Gothic Semilight" w:hAnsi="Malgun Gothic Semilight" w:eastAsia="Malgun Gothic Semilight" w:cs="Malgun Gothic Semilight"/>
          <w:kern w:val="0"/>
        </w:rPr>
      </w:pPr>
      <w:r>
        <w:rPr>
          <w:rFonts w:ascii="Malgun Gothic Semilight" w:hAnsi="Malgun Gothic Semilight" w:eastAsia="Malgun Gothic Semilight" w:cs="Malgun Gothic Semilight"/>
          <w:kern w:val="0"/>
        </w:rPr>
        <w:t>1.2</w:t>
      </w:r>
      <w:r>
        <w:rPr>
          <w:rFonts w:hint="eastAsia" w:ascii="Malgun Gothic Semilight" w:hAnsi="Malgun Gothic Semilight" w:eastAsia="Malgun Gothic Semilight" w:cs="Malgun Gothic Semilight"/>
          <w:kern w:val="0"/>
        </w:rPr>
        <w:t xml:space="preserve"> </w:t>
      </w:r>
      <w:r>
        <w:rPr>
          <w:rFonts w:hint="eastAsia" w:ascii="宋体" w:hAnsi="宋体" w:eastAsia="宋体" w:cs="宋体"/>
          <w:kern w:val="0"/>
        </w:rPr>
        <w:t>项目</w:t>
      </w:r>
      <w:r>
        <w:rPr>
          <w:rFonts w:hint="eastAsia" w:ascii="宋体" w:hAnsi="宋体" w:eastAsia="宋体" w:cs="宋体"/>
          <w:kern w:val="0"/>
          <w:lang w:val="en-US" w:eastAsia="zh-CN"/>
        </w:rPr>
        <w:t>背景</w:t>
      </w:r>
    </w:p>
    <w:p>
      <w:pPr>
        <w:pStyle w:val="7"/>
        <w:ind w:left="420" w:firstLine="0" w:firstLineChars="0"/>
        <w:rPr>
          <w:rFonts w:ascii="Malgun Gothic Semilight" w:hAnsi="Malgun Gothic Semilight" w:eastAsia="Malgun Gothic Semilight" w:cs="Malgun Gothic Semilight"/>
          <w:sz w:val="24"/>
        </w:rPr>
      </w:pPr>
      <w:r>
        <w:rPr>
          <w:rFonts w:hint="eastAsia" w:ascii="宋体" w:hAnsi="宋体" w:cs="宋体"/>
          <w:sz w:val="24"/>
        </w:rPr>
        <w:t>移动应用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（</w:t>
      </w:r>
      <w:r>
        <w:rPr>
          <w:rFonts w:ascii="Malgun Gothic Semilight" w:hAnsi="Malgun Gothic Semilight" w:eastAsia="Malgun Gothic Semilight" w:cs="Malgun Gothic Semilight"/>
          <w:sz w:val="24"/>
        </w:rPr>
        <w:t>App）</w:t>
      </w:r>
      <w:r>
        <w:rPr>
          <w:rFonts w:hint="eastAsia" w:ascii="宋体" w:hAnsi="宋体" w:cs="宋体"/>
          <w:sz w:val="24"/>
        </w:rPr>
        <w:t>方兴未艾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特别是聊天沟通类的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满足了人们即时沟通交流的需求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不过这些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也将生活与工作混在一起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很多职场人士是无法处理得当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使用这类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进行工作交流的话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可能前一秒还在交流工作的事情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后一秒就和朋友闲聊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刷朋友圈去了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此外许多企业内部信息泄露或被骗的新闻不断传出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也让企业内部沟通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的市场需求越来越大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使用企业内部沟通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可开展企业内部管理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加强企业成员间更好更快地交流和互动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有效提高企业管理效率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</w:p>
    <w:p>
      <w:pPr>
        <w:pStyle w:val="3"/>
        <w:rPr>
          <w:rFonts w:ascii="Malgun Gothic Semilight" w:hAnsi="Malgun Gothic Semilight" w:eastAsia="Malgun Gothic Semilight" w:cs="Malgun Gothic Semilight"/>
          <w:kern w:val="0"/>
        </w:rPr>
      </w:pPr>
      <w:r>
        <w:rPr>
          <w:rFonts w:ascii="Malgun Gothic Semilight" w:hAnsi="Malgun Gothic Semilight" w:eastAsia="Malgun Gothic Semilight" w:cs="Malgun Gothic Semilight"/>
          <w:kern w:val="0"/>
        </w:rPr>
        <w:t>1.3</w:t>
      </w:r>
      <w:r>
        <w:rPr>
          <w:rFonts w:hint="eastAsia" w:ascii="Malgun Gothic Semilight" w:hAnsi="Malgun Gothic Semilight" w:eastAsia="Malgun Gothic Semilight" w:cs="Malgun Gothic Semilight"/>
          <w:kern w:val="0"/>
        </w:rPr>
        <w:t xml:space="preserve"> </w:t>
      </w:r>
      <w:r>
        <w:rPr>
          <w:rFonts w:hint="eastAsia" w:ascii="宋体" w:hAnsi="宋体" w:eastAsia="宋体" w:cs="宋体"/>
          <w:kern w:val="0"/>
        </w:rPr>
        <w:t>定义和缩略语</w:t>
      </w:r>
      <w:r>
        <w:rPr>
          <w:rFonts w:ascii="Malgun Gothic Semilight" w:hAnsi="Malgun Gothic Semilight" w:eastAsia="Malgun Gothic Semilight" w:cs="Malgun Gothic Semilight"/>
          <w:kern w:val="0"/>
        </w:rPr>
        <w:t xml:space="preserve"> 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本文使用了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begin"/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 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REF _Ref108322324 \h</w:instrTex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  \* MERGEFORMAT </w:instrTex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separate"/>
      </w:r>
      <w:r>
        <w:rPr>
          <w:rFonts w:hint="eastAsia" w:ascii="宋体" w:hAnsi="宋体" w:cs="宋体"/>
          <w:color w:val="000000"/>
          <w:kern w:val="0"/>
          <w:sz w:val="24"/>
        </w:rPr>
        <w:t>表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 xml:space="preserve"> 1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t>.1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end"/>
      </w:r>
      <w:r>
        <w:rPr>
          <w:rFonts w:hint="eastAsia" w:ascii="宋体" w:hAnsi="宋体" w:cs="宋体"/>
          <w:color w:val="000000"/>
          <w:kern w:val="0"/>
          <w:sz w:val="24"/>
        </w:rPr>
        <w:t>所显示的面向用户的术语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、</w:t>
      </w:r>
      <w:r>
        <w:rPr>
          <w:rFonts w:hint="eastAsia" w:ascii="宋体" w:hAnsi="宋体" w:cs="宋体"/>
          <w:color w:val="000000"/>
          <w:kern w:val="0"/>
          <w:sz w:val="24"/>
        </w:rPr>
        <w:t>定义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包括通用词语在本文档中的专用解释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</w:p>
    <w:p>
      <w:pPr>
        <w:pStyle w:val="4"/>
        <w:spacing w:after="0" w:line="240" w:lineRule="auto"/>
        <w:jc w:val="center"/>
        <w:rPr>
          <w:rFonts w:hint="eastAsia" w:ascii="宋体" w:hAnsi="宋体" w:cs="宋体"/>
          <w:color w:val="000000"/>
          <w:sz w:val="24"/>
          <w:szCs w:val="24"/>
        </w:rPr>
      </w:pPr>
      <w:bookmarkStart w:id="0" w:name="_Ref108322324"/>
      <w:r>
        <w:rPr>
          <w:rFonts w:hint="eastAsia" w:ascii="宋体" w:hAnsi="宋体" w:cs="宋体"/>
          <w:color w:val="000000"/>
          <w:sz w:val="24"/>
          <w:szCs w:val="24"/>
        </w:rPr>
        <w:t>表</w: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t xml:space="preserve"> 1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>.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begin"/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SEQ </w:instrText>
      </w:r>
      <w:r>
        <w:rPr>
          <w:rFonts w:hint="eastAsia" w:ascii="宋体" w:hAnsi="宋体" w:cs="宋体"/>
          <w:color w:val="000000"/>
          <w:sz w:val="24"/>
          <w:szCs w:val="24"/>
        </w:rPr>
        <w:instrText xml:space="preserve">表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\* ARABIC \s 1</w:instrTex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</w:instrTex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separate"/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>1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end"/>
      </w:r>
      <w:bookmarkEnd w:id="0"/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 xml:space="preserve"> </w:t>
      </w:r>
      <w:r>
        <w:rPr>
          <w:rFonts w:hint="eastAsia" w:ascii="宋体" w:hAnsi="宋体" w:cs="宋体"/>
          <w:color w:val="000000"/>
          <w:sz w:val="24"/>
          <w:szCs w:val="24"/>
        </w:rPr>
        <w:t>术语</w: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t>/</w:t>
      </w:r>
      <w:r>
        <w:rPr>
          <w:rFonts w:hint="eastAsia" w:ascii="宋体" w:hAnsi="宋体" w:cs="宋体"/>
          <w:color w:val="000000"/>
          <w:sz w:val="24"/>
          <w:szCs w:val="24"/>
        </w:rPr>
        <w:t>定义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tbl>
      <w:tblPr>
        <w:tblStyle w:val="6"/>
        <w:tblW w:w="8238" w:type="dxa"/>
        <w:tblInd w:w="15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48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  <w:tblHeader/>
        </w:trPr>
        <w:tc>
          <w:tcPr>
            <w:tcW w:w="1758" w:type="dxa"/>
            <w:shd w:val="clear" w:color="auto" w:fill="E0E0E0"/>
            <w:vAlign w:val="center"/>
          </w:tcPr>
          <w:p>
            <w:pPr>
              <w:jc w:val="center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术语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/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定义</w:t>
            </w:r>
          </w:p>
        </w:tc>
        <w:tc>
          <w:tcPr>
            <w:tcW w:w="6480" w:type="dxa"/>
            <w:shd w:val="clear" w:color="auto" w:fill="E0E0E0"/>
            <w:vAlign w:val="center"/>
          </w:tcPr>
          <w:p>
            <w:pPr>
              <w:jc w:val="center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说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vAlign w:val="center"/>
          </w:tcPr>
          <w:p>
            <w:pPr>
              <w:spacing w:line="0" w:lineRule="atLeast"/>
              <w:ind w:firstLine="240" w:firstLineChars="100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开发方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软工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2017-3B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组成员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vAlign w:val="center"/>
          </w:tcPr>
          <w:p>
            <w:pPr>
              <w:spacing w:line="0" w:lineRule="atLeast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户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企业公司员工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eastAsia="zh-CN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  <w:t>包括“管理员”、“部长”、“部员”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vAlign w:val="center"/>
          </w:tcPr>
          <w:p>
            <w:pPr>
              <w:spacing w:line="0" w:lineRule="atLeast"/>
              <w:ind w:firstLine="240" w:firstLineChars="100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用例图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反映用户与系统交互情况的一种图形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常用于需求分析</w:t>
            </w:r>
          </w:p>
        </w:tc>
      </w:tr>
    </w:tbl>
    <w:p>
      <w:pPr>
        <w:pStyle w:val="2"/>
        <w:spacing w:before="312" w:beforeLines="100" w:after="312" w:afterLines="100" w:line="360" w:lineRule="auto"/>
        <w:rPr>
          <w:rFonts w:hint="eastAsia" w:ascii="Malgun Gothic Semilight" w:hAnsi="Malgun Gothic Semilight" w:eastAsia="Malgun Gothic Semilight" w:cs="Malgun Gothic Semilight"/>
          <w:kern w:val="0"/>
        </w:rPr>
      </w:pPr>
      <w:r>
        <w:rPr>
          <w:rFonts w:hint="eastAsia" w:ascii="Malgun Gothic Semilight" w:hAnsi="Malgun Gothic Semilight" w:eastAsia="Malgun Gothic Semilight" w:cs="Malgun Gothic Semilight"/>
          <w:kern w:val="0"/>
        </w:rPr>
        <w:t xml:space="preserve">2 </w:t>
      </w:r>
      <w:r>
        <w:rPr>
          <w:rFonts w:hint="eastAsia" w:ascii="宋体" w:hAnsi="宋体" w:cs="宋体"/>
          <w:kern w:val="0"/>
        </w:rPr>
        <w:t>任务概述</w:t>
      </w:r>
    </w:p>
    <w:p>
      <w:pPr>
        <w:pStyle w:val="3"/>
        <w:rPr>
          <w:rFonts w:hint="eastAsia" w:ascii="Malgun Gothic Semilight" w:hAnsi="Malgun Gothic Semilight" w:eastAsia="Malgun Gothic Semilight" w:cs="Malgun Gothic Semilight"/>
          <w:kern w:val="0"/>
        </w:rPr>
      </w:pPr>
      <w:r>
        <w:rPr>
          <w:rFonts w:hint="eastAsia" w:ascii="Malgun Gothic Semilight" w:hAnsi="Malgun Gothic Semilight" w:eastAsia="Malgun Gothic Semilight" w:cs="Malgun Gothic Semilight"/>
          <w:kern w:val="0"/>
        </w:rPr>
        <w:t>2.1</w:t>
      </w:r>
      <w:r>
        <w:rPr>
          <w:rFonts w:hint="eastAsia" w:ascii="宋体" w:hAnsi="宋体" w:eastAsia="宋体" w:cs="宋体"/>
          <w:kern w:val="0"/>
        </w:rPr>
        <w:t>目标</w:t>
      </w:r>
    </w:p>
    <w:p>
      <w:pPr>
        <w:rPr>
          <w:rFonts w:hint="eastAsia" w:ascii="Malgun Gothic Semilight" w:hAnsi="Malgun Gothic Semilight" w:eastAsia="Malgun Gothic Semilight" w:cs="Malgun Gothic Semilight"/>
          <w:sz w:val="28"/>
        </w:rPr>
      </w:pPr>
      <w:r>
        <w:rPr>
          <w:rFonts w:hint="eastAsia" w:ascii="宋体" w:hAnsi="宋体" w:cs="宋体"/>
          <w:sz w:val="28"/>
        </w:rPr>
        <w:t>本产品基于前言描述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，</w:t>
      </w:r>
      <w:r>
        <w:rPr>
          <w:rFonts w:hint="eastAsia" w:ascii="宋体" w:hAnsi="宋体" w:cs="宋体"/>
          <w:sz w:val="28"/>
        </w:rPr>
        <w:t>希望构建专用于企业内部沟通交流的软件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。</w:t>
      </w:r>
      <w:r>
        <w:rPr>
          <w:rFonts w:hint="eastAsia" w:ascii="宋体" w:hAnsi="宋体" w:cs="宋体"/>
          <w:sz w:val="28"/>
        </w:rPr>
        <w:t>关于软件分别有网页版和移动设备版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，</w:t>
      </w:r>
      <w:r>
        <w:rPr>
          <w:rFonts w:hint="eastAsia" w:ascii="宋体" w:hAnsi="宋体" w:cs="宋体"/>
          <w:sz w:val="28"/>
        </w:rPr>
        <w:t>使用范围广泛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。</w:t>
      </w:r>
    </w:p>
    <w:p>
      <w:pPr>
        <w:rPr>
          <w:rFonts w:hint="eastAsia" w:ascii="Malgun Gothic Semilight" w:hAnsi="Malgun Gothic Semilight" w:eastAsia="Malgun Gothic Semilight" w:cs="Malgun Gothic Semilight"/>
          <w:sz w:val="28"/>
        </w:rPr>
      </w:pPr>
      <w:r>
        <w:rPr>
          <w:rFonts w:hint="eastAsia" w:ascii="宋体" w:hAnsi="宋体" w:cs="宋体"/>
          <w:sz w:val="28"/>
        </w:rPr>
        <w:t>为了更好的开发产品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，</w:t>
      </w:r>
      <w:r>
        <w:rPr>
          <w:rFonts w:hint="eastAsia" w:ascii="宋体" w:hAnsi="宋体" w:cs="宋体"/>
          <w:sz w:val="28"/>
        </w:rPr>
        <w:t>针对企业内部将用户分为管理员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、</w:t>
      </w:r>
      <w:r>
        <w:rPr>
          <w:rFonts w:hint="eastAsia" w:ascii="宋体" w:hAnsi="宋体" w:cs="宋体"/>
          <w:sz w:val="28"/>
        </w:rPr>
        <w:t>部长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、</w:t>
      </w:r>
      <w:r>
        <w:rPr>
          <w:rFonts w:hint="eastAsia" w:ascii="宋体" w:hAnsi="宋体" w:cs="宋体"/>
          <w:sz w:val="28"/>
        </w:rPr>
        <w:t>部员三个等级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，</w:t>
      </w:r>
      <w:r>
        <w:rPr>
          <w:rFonts w:hint="eastAsia" w:ascii="宋体" w:hAnsi="宋体" w:cs="宋体"/>
          <w:sz w:val="28"/>
        </w:rPr>
        <w:t>从而使权限以及功能简单分明</w:t>
      </w:r>
      <w:r>
        <w:rPr>
          <w:rFonts w:hint="eastAsia" w:ascii="Malgun Gothic Semilight" w:hAnsi="Malgun Gothic Semilight" w:eastAsia="Malgun Gothic Semilight" w:cs="Malgun Gothic Semilight"/>
          <w:sz w:val="28"/>
        </w:rPr>
        <w:t>。</w:t>
      </w:r>
    </w:p>
    <w:p>
      <w:pPr>
        <w:pStyle w:val="3"/>
        <w:rPr>
          <w:rFonts w:hint="eastAsia" w:ascii="Malgun Gothic Semilight" w:hAnsi="Malgun Gothic Semilight" w:eastAsia="Malgun Gothic Semilight" w:cs="Malgun Gothic Semilight"/>
          <w:kern w:val="0"/>
        </w:rPr>
      </w:pPr>
      <w:r>
        <w:rPr>
          <w:rFonts w:hint="eastAsia" w:ascii="Malgun Gothic Semilight" w:hAnsi="Malgun Gothic Semilight" w:eastAsia="Malgun Gothic Semilight" w:cs="Malgun Gothic Semilight"/>
          <w:kern w:val="0"/>
        </w:rPr>
        <w:t>2.2</w:t>
      </w:r>
      <w:r>
        <w:rPr>
          <w:rFonts w:hint="eastAsia" w:ascii="宋体" w:hAnsi="宋体" w:eastAsia="宋体" w:cs="宋体"/>
          <w:kern w:val="0"/>
        </w:rPr>
        <w:t>假定和约束</w:t>
      </w:r>
    </w:p>
    <w:p>
      <w:pPr>
        <w:spacing w:line="360" w:lineRule="auto"/>
        <w:ind w:firstLine="480" w:firstLineChars="200"/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本文档经双方确认后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开发方依据本文档进行下阶段工作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  <w:r>
        <w:rPr>
          <w:rFonts w:hint="eastAsia" w:ascii="宋体" w:hAnsi="宋体" w:cs="宋体"/>
          <w:color w:val="000000"/>
          <w:kern w:val="0"/>
          <w:sz w:val="24"/>
        </w:rPr>
        <w:t>若中途需求发生变更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则双方重新沟通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具体解决方案另行协商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</w:p>
    <w:p>
      <w:pPr>
        <w:rPr>
          <w:rFonts w:hint="eastAsia" w:asciiTheme="minorEastAsia" w:hAnsiTheme="minorEastAsia" w:cstheme="minorEastAsia"/>
          <w:b/>
          <w:bCs/>
          <w:sz w:val="44"/>
          <w:szCs w:val="4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44"/>
          <w:szCs w:val="44"/>
          <w:lang w:val="en-US" w:eastAsia="zh-CN"/>
        </w:rPr>
        <w:t>3 原型设计</w:t>
      </w:r>
    </w:p>
    <w:p>
      <w:pP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  <w:t>3.1 APP端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以Android端为例，IOS端类似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登录界面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包含基本的记住密码和自动登录功能</w:t>
      </w:r>
      <w:bookmarkStart w:id="1" w:name="_GoBack"/>
      <w:bookmarkEnd w:id="1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移动端不包含注册功能,所有新员工的注册都需要由管理员在web端进行操作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817370" cy="3258185"/>
            <wp:effectExtent l="0" t="0" r="1143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聊天管理界面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796415" cy="3098800"/>
            <wp:effectExtent l="0" t="0" r="13335" b="6350"/>
            <wp:docPr id="43" name="图片 43" descr="Screenshot_2017-07-13-22-40-34-052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17-07-13-22-40-34-052_nju.internalch"/>
                    <pic:cNvPicPr>
                      <a:picLocks noChangeAspect="1"/>
                    </pic:cNvPicPr>
                  </pic:nvPicPr>
                  <pic:blipFill>
                    <a:blip r:embed="rId5"/>
                    <a:srcRect t="2997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点击界面左上的菜单按钮,弹出功能列表,可以切换主界面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965325" cy="3387090"/>
            <wp:effectExtent l="0" t="0" r="15875" b="3810"/>
            <wp:docPr id="57" name="图片 57" descr="Screenshot_2017-07-13-22-41-52-53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Screenshot_2017-07-13-22-41-52-530_nju.internalch"/>
                    <pic:cNvPicPr>
                      <a:picLocks noChangeAspect="1"/>
                    </pic:cNvPicPr>
                  </pic:nvPicPr>
                  <pic:blipFill>
                    <a:blip r:embed="rId7"/>
                    <a:srcRect t="3093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点击界面右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下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的新建按钮,可以选择发起群聊或者发起私聊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发起群聊界面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1545590" cy="1644650"/>
            <wp:effectExtent l="0" t="0" r="16510" b="12700"/>
            <wp:docPr id="56" name="图片 56" descr="Screenshot_2017-07-13-23-13-40-073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creenshot_2017-07-13-23-13-40-073_nju.internalch"/>
                    <pic:cNvPicPr>
                      <a:picLocks noChangeAspect="1"/>
                    </pic:cNvPicPr>
                  </pic:nvPicPr>
                  <pic:blipFill>
                    <a:blip r:embed="rId8"/>
                    <a:srcRect t="2898" b="37004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发起私聊界面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 w:firstLine="416" w:firstLineChars="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2044065" cy="2355850"/>
            <wp:effectExtent l="0" t="0" r="13335" b="6350"/>
            <wp:docPr id="55" name="图片 55" descr="Screenshot_2017-07-13-22-41-46-04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creenshot_2017-07-13-22-41-46-041_nju.internalch"/>
                    <pic:cNvPicPr>
                      <a:picLocks noChangeAspect="1"/>
                    </pic:cNvPicPr>
                  </pic:nvPicPr>
                  <pic:blipFill>
                    <a:blip r:embed="rId9"/>
                    <a:srcRect t="2906" b="32288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点击界面中的聊天记录,可以继续该聊天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548130" cy="2677795"/>
            <wp:effectExtent l="0" t="0" r="13970" b="8255"/>
            <wp:docPr id="47" name="图片 47" descr="Screenshot_2017-07-13-22-40-54-90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17-07-13-22-40-54-901_nju.internalch"/>
                    <pic:cNvPicPr>
                      <a:picLocks noChangeAspect="1"/>
                    </pic:cNvPicPr>
                  </pic:nvPicPr>
                  <pic:blipFill>
                    <a:blip r:embed="rId10"/>
                    <a:srcRect t="2706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聊天详情(以群聊为例)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任务管理界面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任务分为待处理任务(只要是没有结束的任务都会在待处理任务的列表中)和历史任务(已经结束了的任务,成功或失败均可),在自己新增了待处理任务后会推送到系统的通知栏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2678430" cy="2080260"/>
            <wp:effectExtent l="0" t="0" r="7620" b="15240"/>
            <wp:docPr id="70" name="图片 70" descr="Screenshot_2017-07-13-23-40-00-356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Screenshot_2017-07-13-23-40-00-356_nju.internalch"/>
                    <pic:cNvPicPr>
                      <a:picLocks noChangeAspect="1"/>
                    </pic:cNvPicPr>
                  </pic:nvPicPr>
                  <pic:blipFill>
                    <a:blip r:embed="rId11"/>
                    <a:srcRect t="2691" b="53633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任务管理主界面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点击任务记录可以查看任务的详情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在任务详情的界面可以查看任务的具体信息,以及任务的具体进展,当任务轮到自己处理的时候,可以选择同意或者拒绝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1873885" cy="3233420"/>
            <wp:effectExtent l="0" t="0" r="12065" b="5080"/>
            <wp:docPr id="62" name="图片 62" descr="Screenshot_2017-07-13-22-42-15-27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Screenshot_2017-07-13-22-42-15-274_nju.internalch"/>
                    <pic:cNvPicPr>
                      <a:picLocks noChangeAspect="1"/>
                    </pic:cNvPicPr>
                  </pic:nvPicPr>
                  <pic:blipFill>
                    <a:blip r:embed="rId12"/>
                    <a:srcRect t="2940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任务管理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页面右上角可以开始新任务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2030730" cy="2306955"/>
            <wp:effectExtent l="0" t="0" r="7620" b="17145"/>
            <wp:docPr id="61" name="图片 61" descr="Screenshot_2017-07-13-22-41-59-78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Screenshot_2017-07-13-22-41-59-780_nju.internalch"/>
                    <pic:cNvPicPr>
                      <a:picLocks noChangeAspect="1"/>
                    </pic:cNvPicPr>
                  </pic:nvPicPr>
                  <pic:blipFill>
                    <a:blip r:embed="rId13"/>
                    <a:srcRect t="2684" b="33415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查看通知界面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通知分为未读通知和历史通知,在通知收到后会自动推送到系统的通知栏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090420" cy="207645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rcRect b="27505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个人账户设置界面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 w:firstLine="416" w:firstLineChars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中文：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485900" cy="2296160"/>
            <wp:effectExtent l="0" t="0" r="0" b="8890"/>
            <wp:docPr id="66" name="图片 66" descr="Screenshot_2017-07-13-22-42-48-109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creenshot_2017-07-13-22-42-48-109_nju.internalch"/>
                    <pic:cNvPicPr>
                      <a:picLocks noChangeAspect="1"/>
                    </pic:cNvPicPr>
                  </pic:nvPicPr>
                  <pic:blipFill>
                    <a:blip r:embed="rId15"/>
                    <a:srcRect t="3336" b="977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 w:firstLine="416" w:firstLineChars="0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英文：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 w:firstLine="416" w:firstLineChars="0"/>
        <w:rPr>
          <w:rFonts w:hint="eastAsia" w:asciiTheme="majorEastAsia" w:hAnsiTheme="majorEastAsia" w:eastAsiaTheme="majorEastAsia" w:cstheme="majorEastAsia"/>
          <w:sz w:val="28"/>
          <w:szCs w:val="28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586865" cy="2449195"/>
            <wp:effectExtent l="0" t="0" r="13335" b="8255"/>
            <wp:docPr id="71" name="图片 71" descr="Screenshot_2017-07-13-23-42-51-03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Screenshot_2017-07-13-23-42-51-034_nju.internalch"/>
                    <pic:cNvPicPr>
                      <a:picLocks noChangeAspect="1"/>
                    </pic:cNvPicPr>
                  </pic:nvPicPr>
                  <pic:blipFill>
                    <a:blip r:embed="rId16"/>
                    <a:srcRect t="4413" b="8825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修改密码或者CHANGE PASSWORD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1671320" cy="2026920"/>
            <wp:effectExtent l="0" t="0" r="5080" b="11430"/>
            <wp:docPr id="69" name="图片 69" descr="Screenshot_2017-07-13-22-43-04-81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creenshot_2017-07-13-22-43-04-811_nju.internalch"/>
                    <pic:cNvPicPr>
                      <a:picLocks noChangeAspect="1"/>
                    </pic:cNvPicPr>
                  </pic:nvPicPr>
                  <pic:blipFill>
                    <a:blip r:embed="rId17"/>
                    <a:srcRect t="3437" b="28545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更改头像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 w:firstLine="416" w:firstLineChars="0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点击用户头像进行更换头像，界面：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 w:firstLine="416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1842135" cy="2950845"/>
            <wp:effectExtent l="0" t="0" r="5715" b="1905"/>
            <wp:docPr id="68" name="图片 68" descr="Screenshot_2017-07-13-22-43-11-365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Screenshot_2017-07-13-22-43-11-365_nju.internalch"/>
                    <pic:cNvPicPr>
                      <a:picLocks noChangeAspect="1"/>
                    </pic:cNvPicPr>
                  </pic:nvPicPr>
                  <pic:blipFill>
                    <a:blip r:embed="rId18"/>
                    <a:srcRect t="3552" b="6350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3.2 web端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1登陆退出功能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I.登录界面：打开浏览器，输入网页网址，则打开网页，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浏览器显示登录界面。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输入用户名及密码，进行验证。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输入示例及显示示例如下：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475990" cy="384746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Ii.输入用户名及密码，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若验证失败，则显示：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485515" cy="40093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rcRect b="1745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75965" cy="4485640"/>
            <wp:effectExtent l="0" t="0" r="63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rcRect t="6918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若验证成功，则登录成功并跳转到网页首页：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（*下图中任务列表及通知列表内容为示例内容）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7325" cy="2360930"/>
            <wp:effectExtent l="0" t="0" r="952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2"/>
                    <a:srcRect t="71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Iii.登录跳转成功后，若点击首页右上角用户名或者头像，会有退出选项：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1495425" cy="108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rcRect l="3232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asciiTheme="minorAscii"/>
          <w:sz w:val="28"/>
          <w:szCs w:val="28"/>
          <w:lang w:val="en-US" w:eastAsia="zh-CN"/>
        </w:rPr>
      </w:pPr>
      <w:r>
        <w:rPr>
          <w:rFonts w:hint="eastAsia" w:asciiTheme="minorAscii"/>
          <w:sz w:val="28"/>
          <w:szCs w:val="28"/>
          <w:lang w:val="en-US" w:eastAsia="zh-CN"/>
        </w:rPr>
        <w:t>若点击，则退回到登录页面。</w:t>
      </w:r>
    </w:p>
    <w:p>
      <w:pPr>
        <w:numPr>
          <w:ilvl w:val="0"/>
          <w:numId w:val="0"/>
        </w:numPr>
        <w:ind w:left="1260" w:leftChars="0"/>
        <w:rPr>
          <w:rFonts w:hint="eastAsia" w:asciiTheme="minorAscii"/>
          <w:sz w:val="28"/>
          <w:szCs w:val="28"/>
          <w:lang w:val="en-US" w:eastAsia="zh-CN"/>
        </w:rPr>
      </w:pPr>
      <w:r>
        <w:rPr>
          <w:rFonts w:hint="eastAsia" w:asciiTheme="minorAscii"/>
          <w:sz w:val="28"/>
          <w:szCs w:val="28"/>
          <w:lang w:val="en-US" w:eastAsia="zh-CN"/>
        </w:rPr>
        <w:t>重新登录成功则进入首页。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2通知管理功能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点击“通知管理”左侧栏，或者点击首页的“发布通知”则进入通知管理功能页面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（*通知内容及接受部门为示例内容）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8595" cy="1722120"/>
            <wp:effectExtent l="0" t="0" r="825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rcRect t="8501" b="216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新建通知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点击“新建”，进入新建通知功能。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输入框分三个，分别输入内容为“接收部门”、“标题”及“具体内容”。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其中接收部门可为一个或多个，不能为空；标题不能为空；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2880" cy="2414905"/>
            <wp:effectExtent l="0" t="0" r="13970" b="444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接收部门可选公司内部部门名称，下图为选择示例：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4310" cy="1506855"/>
            <wp:effectExtent l="0" t="0" r="2540" b="171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内容编辑使用markdown形式，下图给出输入示例内容，以及点击</w:t>
      </w:r>
      <w:r>
        <w:drawing>
          <wp:inline distT="0" distB="0" distL="114300" distR="114300">
            <wp:extent cx="266700" cy="295275"/>
            <wp:effectExtent l="0" t="0" r="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t>后显示示例内容：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2589530</wp:posOffset>
                </wp:positionH>
                <wp:positionV relativeFrom="paragraph">
                  <wp:posOffset>1346200</wp:posOffset>
                </wp:positionV>
                <wp:extent cx="514350" cy="0"/>
                <wp:effectExtent l="0" t="48895" r="0" b="6540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32530" y="265684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3.9pt;margin-top:106pt;height:0pt;width:40.5pt;z-index:251658240;mso-width-relative:page;mso-height-relative:page;" filled="f" stroked="t" coordsize="21600,21600" o:gfxdata="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AGCzdzYAAAACwEAAA8AAAAAAAAAAQAgAAAAIgAAAGRycy9kb3ducmV2LnhtbFBLAQIU&#10;ABQAAAAIAIdO4kDJ+NGB8wEAAJsDAAAOAAAAAAAAAAEAIAAAACcBAABkcnMvZTJvRG9jLnhtbFBL&#10;BQYAAAAABgAGAFkBAACMBQAAAAA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981200" cy="2542540"/>
            <wp:effectExtent l="0" t="0" r="0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2599690"/>
            <wp:effectExtent l="0" t="0" r="9525" b="1016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点击“发送”，则跳出提示框：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1135" cy="2145030"/>
            <wp:effectExtent l="0" t="0" r="5715" b="762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查看通知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以内容示例为例，当编辑通知完成并发送成功，返回通知管理界面。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点击“所有”，则显示中可看到新发出的通知条：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00015" cy="3533140"/>
            <wp:effectExtent l="0" t="0" r="635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点击“发送”，则显示发送的通知条：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952240" cy="23812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点击该通知条，进入查看内容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3515" cy="2131060"/>
            <wp:effectExtent l="0" t="0" r="13335" b="254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点击箭头返回，点击“已读”，则显示已读通知条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66465" cy="1790700"/>
            <wp:effectExtent l="0" t="0" r="63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3用户管理功能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点击“用户管理”左侧栏，进入企业员工管理页面。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除左侧栏外，页面从左到右分为三块。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（*员工信息、部门列表的内容为示例内容）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8595" cy="2367915"/>
            <wp:effectExtent l="0" t="0" r="825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rcRect t="71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部门成员信息查看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点击部门列表中的部门名称，则在第二块显示该部门所有员工列表，点击某个部门名称，则在中间部分显示部门所有成员。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下图示例点击“总经理”，则显示：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6690" cy="1407160"/>
            <wp:effectExtent l="0" t="0" r="10160" b="254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点击董事会成员列表中的“caocun”，则在最右侧显示该成员所有信息：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6690" cy="1946910"/>
            <wp:effectExtent l="0" t="0" r="10160" b="152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部门成员信息编辑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点击员工信息上的“编辑”按钮，即</w:t>
      </w:r>
      <w:r>
        <w:drawing>
          <wp:inline distT="0" distB="0" distL="114300" distR="114300">
            <wp:extent cx="476250" cy="257810"/>
            <wp:effectExtent l="0" t="0" r="0" b="889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则进入成员信息编辑功能界面。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在示例中，点击成员“jaggggg”，则有下图示例：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1770" cy="1813560"/>
            <wp:effectExtent l="0" t="0" r="5080" b="1524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rcRect t="103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编辑后点击“确定”，即</w:t>
      </w:r>
      <w:r>
        <w:drawing>
          <wp:inline distT="0" distB="0" distL="114300" distR="114300">
            <wp:extent cx="381000" cy="257175"/>
            <wp:effectExtent l="0" t="0" r="0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则弹出显示：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6690" cy="1792605"/>
            <wp:effectExtent l="0" t="0" r="10160" b="1714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rcRect t="100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点击“确认”，则成功修改成员信息。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部门成员删除</w:t>
      </w:r>
    </w:p>
    <w:p>
      <w:pPr>
        <w:numPr>
          <w:ilvl w:val="0"/>
          <w:numId w:val="0"/>
        </w:numPr>
        <w:ind w:left="1260" w:leftChars="0"/>
      </w:pPr>
      <w:r>
        <w:rPr>
          <w:rFonts w:hint="eastAsia"/>
          <w:sz w:val="28"/>
          <w:szCs w:val="36"/>
          <w:lang w:val="en-US" w:eastAsia="zh-CN"/>
        </w:rPr>
        <w:t>在示例中最右侧的员工信息显示处，点击</w:t>
      </w:r>
      <w:r>
        <w:drawing>
          <wp:inline distT="0" distB="0" distL="114300" distR="114300">
            <wp:extent cx="295275" cy="285750"/>
            <wp:effectExtent l="0" t="0" r="952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则弹出提示警示，如下图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863465" cy="2418715"/>
            <wp:effectExtent l="0" t="0" r="13335" b="63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rcRect t="4668" b="964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rPr>
          <w:rFonts w:hint="eastAsia"/>
          <w:sz w:val="28"/>
          <w:szCs w:val="36"/>
          <w:lang w:val="en-US" w:eastAsia="zh-CN"/>
        </w:rPr>
        <w:t>在示例中最右侧的员工信息编辑处，点击</w:t>
      </w:r>
      <w:r>
        <w:drawing>
          <wp:inline distT="0" distB="0" distL="114300" distR="114300">
            <wp:extent cx="295275" cy="285750"/>
            <wp:effectExtent l="0" t="0" r="9525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则停止员工信息编辑，弹出提示警示，如下图：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59605" cy="1725295"/>
            <wp:effectExtent l="0" t="0" r="1714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rcRect t="858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部门成员新建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点击页面左下角的“新建用户”，即</w:t>
      </w:r>
      <w:r>
        <w:drawing>
          <wp:inline distT="0" distB="0" distL="114300" distR="114300">
            <wp:extent cx="781050" cy="238125"/>
            <wp:effectExtent l="0" t="0" r="0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点击后弹出新建用户框，则进入新建成员功能，示例如图：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4785" cy="1936115"/>
            <wp:effectExtent l="0" t="0" r="1206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rcRect t="77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输入成员姓名，点击确认，点击“用户管理”并点击新用户所在的部门则可看到成功在该部门添加成员。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675" cy="1757680"/>
            <wp:effectExtent l="0" t="0" r="3175" b="1397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rcRect b="275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4部门管理功能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点击左侧栏“部门结构”，则进入部门管理页面。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除左侧栏外，页面分为三个部分，即快捷操作按钮部分、部门结构树部分及部门信息部分。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（*部门结构树、树的内容、部门信息等都为示例内容）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4785" cy="2286000"/>
            <wp:effectExtent l="0" t="0" r="1206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rcRect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快捷操作功能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点击“展开全部”，则显示：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1135" cy="1820545"/>
            <wp:effectExtent l="0" t="0" r="571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rcRect t="94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其他快捷操作示例略。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部门信息查看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点击部门结构树中的一个部门，则在最右侧显示部门信息，示例如下：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4785" cy="1911985"/>
            <wp:effectExtent l="0" t="0" r="12065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rcRect t="90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部门信息编辑</w:t>
      </w:r>
    </w:p>
    <w:p>
      <w:pPr>
        <w:numPr>
          <w:ilvl w:val="0"/>
          <w:numId w:val="0"/>
        </w:numPr>
        <w:ind w:left="1260" w:leftChars="0"/>
      </w:pPr>
      <w:r>
        <w:rPr>
          <w:rFonts w:hint="eastAsia"/>
          <w:sz w:val="28"/>
          <w:szCs w:val="36"/>
          <w:lang w:val="en-US" w:eastAsia="zh-CN"/>
        </w:rPr>
        <w:t>在4.1.4.2示例中，点击“副总经理3”后，在最右侧处点击“编辑”按钮，即</w:t>
      </w:r>
      <w:r>
        <w:drawing>
          <wp:inline distT="0" distB="0" distL="114300" distR="114300">
            <wp:extent cx="552450" cy="371475"/>
            <wp:effectExtent l="0" t="0" r="0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则最右侧信息显示部分成为信息编辑部分，示例如图：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4310" cy="23412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rcRect t="53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在此处，部门部长可更改，部门简述可更改。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点击“确定”，则弹出显示：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4190365" cy="2047875"/>
            <wp:effectExtent l="0" t="0" r="635" b="952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点击“确认”则成功修改部门相关信息。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</w:t>
      </w:r>
      <w:r>
        <w:rPr>
          <w:sz w:val="28"/>
          <w:szCs w:val="36"/>
        </w:rPr>
        <w:drawing>
          <wp:inline distT="0" distB="0" distL="114300" distR="114300">
            <wp:extent cx="295275" cy="285750"/>
            <wp:effectExtent l="0" t="0" r="9525" b="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t>则弹出警示：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若决定删除该部门，则需要转到“用户管理”界面，删除该部门内部成员，再到部门结构管理处删除。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47465" cy="2400300"/>
            <wp:effectExtent l="0" t="0" r="635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5任务管理功能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点击左侧栏“任务管理”，则进入任务管理页面。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除左侧栏外，页面分为两个部分，即任务列表部分及编辑或者新建任务部分。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（*任务列表及任务信息为示例内容）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7325" cy="1788160"/>
            <wp:effectExtent l="0" t="0" r="9525" b="254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新建任务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点击“新建任务”按钮，则左右显示新建任务操作页面。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输入任务名称，添加任务XML图，则完成新建任务操作。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其中“选择文件”已限制为XML图文件。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示例如下：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3515" cy="1334770"/>
            <wp:effectExtent l="0" t="0" r="13335" b="1778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编辑任务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点击左侧任务列表中的一个任务条上的“编辑”按钮，进入任务编辑页面。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5420" cy="1305560"/>
            <wp:effectExtent l="0" t="0" r="11430" b="889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删除任务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点击左侧任务列表中的一个任务条上的“删除”按钮，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6 个人设置功能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点击左侧栏“个人设置”则进入个人设置功能界面，即：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（*输入框内为示例内容）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9865" cy="1790065"/>
            <wp:effectExtent l="0" t="0" r="698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8"/>
                    <a:srcRect t="8299" b="96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点击内容框，则开始修改。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其中邮箱、备用邮箱、联系方式、备用联系方式输入格式受限，若格式错误则框体颜色变红，并且无法保存修改。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若输入密码和确认密码不同，则无法保存修改。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8595" cy="2017395"/>
            <wp:effectExtent l="0" t="0" r="8255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9"/>
                    <a:srcRect t="66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</w:pP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82121"/>
    <w:multiLevelType w:val="multilevel"/>
    <w:tmpl w:val="596821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968212C"/>
    <w:multiLevelType w:val="multilevel"/>
    <w:tmpl w:val="5968212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9682137"/>
    <w:multiLevelType w:val="multilevel"/>
    <w:tmpl w:val="596821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682142"/>
    <w:multiLevelType w:val="multilevel"/>
    <w:tmpl w:val="596821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68214D"/>
    <w:multiLevelType w:val="multilevel"/>
    <w:tmpl w:val="596821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9682158"/>
    <w:multiLevelType w:val="multilevel"/>
    <w:tmpl w:val="596821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59682163"/>
    <w:multiLevelType w:val="multilevel"/>
    <w:tmpl w:val="5968216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968216E"/>
    <w:multiLevelType w:val="multilevel"/>
    <w:tmpl w:val="596821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59682179"/>
    <w:multiLevelType w:val="multilevel"/>
    <w:tmpl w:val="5968217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59682184"/>
    <w:multiLevelType w:val="multilevel"/>
    <w:tmpl w:val="596821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5968218F"/>
    <w:multiLevelType w:val="multilevel"/>
    <w:tmpl w:val="596821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59682581"/>
    <w:multiLevelType w:val="multilevel"/>
    <w:tmpl w:val="5968258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968263F"/>
    <w:multiLevelType w:val="singleLevel"/>
    <w:tmpl w:val="5968263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7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9"/>
  </w:num>
  <w:num w:numId="12">
    <w:abstractNumId w:val="10"/>
  </w:num>
  <w:num w:numId="13">
    <w:abstractNumId w:val="2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C35594"/>
    <w:rsid w:val="74483A00"/>
    <w:rsid w:val="77C3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0"/>
    <w:pPr>
      <w:widowControl/>
      <w:spacing w:after="120" w:afterLines="0" w:line="360" w:lineRule="auto"/>
      <w:jc w:val="left"/>
    </w:pPr>
    <w:rPr>
      <w:rFonts w:ascii="Arial" w:hAnsi="Arial"/>
      <w:kern w:val="0"/>
      <w:sz w:val="18"/>
      <w:szCs w:val="20"/>
    </w:rPr>
  </w:style>
  <w:style w:type="paragraph" w:customStyle="1" w:styleId="7">
    <w:name w:val="_Style 4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2017-07-14T01:26:00Z</dcterms:created>
  <dc:creator>zero</dc:creator>
  <cp:lastModifiedBy>zero</cp:lastModifiedBy>
  <dcterms:modified xsi:type="dcterms:W3CDTF">2017-07-14T01:55:11Z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