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7urdng99y53" w:id="0"/>
      <w:bookmarkEnd w:id="0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азвание задачи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Схема концептуальной архитектуры открытия депозитов для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MVP</w:t>
      </w: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hjk0fkfyohdk" w:id="1"/>
      <w:bookmarkEnd w:id="1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Каспранский</w:t>
      </w: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anumrh8zrui" w:id="2"/>
      <w:bookmarkEnd w:id="2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ата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3.01.2025</w:t>
      </w:r>
    </w:p>
    <w:p>
      <w:pPr>
        <w:pStyle w:val="Normal.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fxc9a45514" w:id="3"/>
      <w:bookmarkEnd w:id="3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ункциональные требования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3"/>
        <w:gridCol w:w="1984"/>
        <w:gridCol w:w="1701"/>
        <w:gridCol w:w="4642"/>
      </w:tblGrid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Действующие лица или системы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Use Case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сайт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Регистрация в интернет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банке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Регистрация в интернет банке и получение доступа к личному кабинету</w:t>
            </w:r>
          </w:p>
        </w:tc>
      </w:tr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сайт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Получение</w:t>
            </w:r>
            <w:r>
              <w:rPr>
                <w:shd w:val="nil" w:color="auto" w:fill="auto"/>
                <w:rtl w:val="0"/>
                <w:lang w:val="ru-RU"/>
              </w:rPr>
              <w:t xml:space="preserve"> списка доступных депозитов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 xml:space="preserve">Клиент </w:t>
            </w:r>
            <w:r>
              <w:rPr>
                <w:shd w:val="nil" w:color="auto" w:fill="auto"/>
                <w:rtl w:val="0"/>
                <w:lang w:val="ru-RU"/>
              </w:rPr>
              <w:t>заходит</w:t>
            </w:r>
            <w:r>
              <w:rPr>
                <w:shd w:val="nil" w:color="auto" w:fill="auto"/>
                <w:rtl w:val="0"/>
                <w:lang w:val="ru-RU"/>
              </w:rPr>
              <w:t xml:space="preserve"> на сайт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переходит на страницу депозитов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shd w:val="nil" w:color="auto" w:fill="auto"/>
                <w:rtl w:val="0"/>
                <w:lang w:val="ru-RU"/>
              </w:rPr>
              <w:t xml:space="preserve"> видит список доступных депозитов с актуальными ставками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сайт</w:t>
            </w:r>
            <w:r>
              <w:rPr>
                <w:shd w:val="nil" w:color="auto" w:fill="auto"/>
              </w:rPr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Отправка заявки на депозит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Клиент вводит свой данные и отправляет заявку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Интернет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банк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АБС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Передача заявки в АБС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Интернет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банк передает данные заявки в АБС для обработки</w:t>
            </w:r>
          </w:p>
        </w:tc>
      </w:tr>
      <w:tr>
        <w:tblPrEx>
          <w:shd w:val="clear" w:color="auto" w:fill="ced7e7"/>
        </w:tblPrEx>
        <w:trPr>
          <w:trHeight w:val="1902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Менеджер</w:t>
            </w:r>
            <w:r>
              <w:rPr>
                <w:shd w:val="nil" w:color="auto" w:fill="auto"/>
                <w:rtl w:val="0"/>
                <w:lang w:val="ru-RU"/>
              </w:rPr>
              <w:t xml:space="preserve">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АБС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Связь с клиентом для подтверждения</w:t>
            </w:r>
            <w:r>
              <w:rPr>
                <w:shd w:val="nil" w:color="auto" w:fill="auto"/>
                <w:rtl w:val="0"/>
                <w:lang w:val="ru-RU"/>
              </w:rPr>
              <w:t xml:space="preserve"> и предложения особых условий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tl w:val="0"/>
                <w:lang w:val="ru-RU"/>
              </w:rPr>
              <w:t>Менеджер</w:t>
            </w:r>
            <w:r>
              <w:rPr>
                <w:shd w:val="nil" w:color="auto" w:fill="auto"/>
                <w:rtl w:val="0"/>
                <w:lang w:val="ru-RU"/>
              </w:rPr>
              <w:t xml:space="preserve">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</w:t>
            </w:r>
            <w:r>
              <w:rPr>
                <w:shd w:val="nil" w:color="auto" w:fill="auto"/>
                <w:rtl w:val="0"/>
                <w:lang w:val="ru-RU"/>
              </w:rPr>
              <w:t xml:space="preserve"> видит заявку в АБС и</w:t>
            </w:r>
            <w:r>
              <w:rPr>
                <w:shd w:val="nil" w:color="auto" w:fill="auto"/>
                <w:rtl w:val="0"/>
                <w:lang w:val="ru-RU"/>
              </w:rPr>
              <w:t xml:space="preserve"> связывается с клиентом для уточнения деталей</w:t>
            </w:r>
            <w:r>
              <w:rPr>
                <w:shd w:val="nil" w:color="auto" w:fill="auto"/>
                <w:rtl w:val="0"/>
                <w:lang w:val="ru-RU"/>
              </w:rPr>
              <w:t xml:space="preserve"> и предложения особых условий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Менеджер бэк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офиса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АБС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Обработка заявки на депозит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Менеджер обрабатывает заявку в АБС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67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9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Менеджер бэк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офиса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АБС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Формирование персональных ставок</w:t>
            </w:r>
          </w:p>
        </w:tc>
        <w:tc>
          <w:tcPr>
            <w:tcW w:type="dxa" w:w="4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загружает персональные ставки в АБС</w:t>
            </w:r>
          </w:p>
        </w:tc>
      </w:tr>
    </w:tbl>
    <w:p>
      <w:pPr>
        <w:pStyle w:val="heading 3"/>
        <w:widowControl w:val="0"/>
        <w:spacing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8xz25hbrgql" w:id="4"/>
      <w:bookmarkEnd w:id="4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ефункциональные требования</w:t>
      </w: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4"/>
        <w:gridCol w:w="8346"/>
      </w:tblGrid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Требование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 xml:space="preserve">Работа </w:t>
            </w:r>
            <w:r>
              <w:rPr>
                <w:shd w:val="nil" w:color="auto" w:fill="auto"/>
                <w:rtl w:val="0"/>
                <w:lang w:val="ru-RU"/>
              </w:rPr>
              <w:t>24/7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 xml:space="preserve">Доступность системы </w:t>
            </w:r>
            <w:r>
              <w:rPr>
                <w:shd w:val="nil" w:color="auto" w:fill="auto"/>
                <w:rtl w:val="0"/>
                <w:lang w:val="ru-RU"/>
              </w:rPr>
              <w:t>99,9%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 xml:space="preserve">Отклик по операциям максимально быстрый и занимает миллисекунды не более </w:t>
            </w:r>
            <w:r>
              <w:rPr>
                <w:shd w:val="nil" w:color="auto" w:fill="auto"/>
                <w:rtl w:val="0"/>
                <w:lang w:val="ru-RU"/>
              </w:rPr>
              <w:t xml:space="preserve">1000 </w:t>
            </w:r>
            <w:r>
              <w:rPr>
                <w:shd w:val="nil" w:color="auto" w:fill="auto"/>
                <w:rtl w:val="0"/>
                <w:lang w:val="ru-RU"/>
              </w:rPr>
              <w:t>мс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 xml:space="preserve">При использовании новых технологий в </w:t>
            </w:r>
            <w:r>
              <w:rPr>
                <w:shd w:val="nil" w:color="auto" w:fill="auto"/>
                <w:rtl w:val="0"/>
                <w:lang w:val="ru-RU"/>
              </w:rPr>
              <w:t xml:space="preserve">MVP </w:t>
            </w:r>
            <w:r>
              <w:rPr>
                <w:shd w:val="nil" w:color="auto" w:fill="auto"/>
                <w:rtl w:val="0"/>
                <w:lang w:val="ru-RU"/>
              </w:rPr>
              <w:t>нужно учесть совместимость с существующими платформами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Шифрование данных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Нужно использовать принятую в банке системы дизайна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Предпочтительно нужно использовать технологии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уже используемые в банке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 xml:space="preserve">Добавить поддержку микросервисов и </w:t>
            </w:r>
            <w:r>
              <w:rPr>
                <w:shd w:val="nil" w:color="auto" w:fill="auto"/>
                <w:rtl w:val="0"/>
                <w:lang w:val="ru-RU"/>
              </w:rPr>
              <w:t>Kafka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Предусмотреть работу интернет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 xml:space="preserve">банка сразу из </w:t>
            </w:r>
            <w:r>
              <w:rPr>
                <w:shd w:val="nil" w:color="auto" w:fill="auto"/>
                <w:rtl w:val="0"/>
                <w:lang w:val="ru-RU"/>
              </w:rPr>
              <w:t>2</w:t>
            </w:r>
            <w:r>
              <w:rPr>
                <w:shd w:val="nil" w:color="auto" w:fill="auto"/>
                <w:rtl w:val="0"/>
                <w:lang w:val="ru-RU"/>
              </w:rPr>
              <w:t>х ЦОД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67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83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Масштабируемость систем для поддержки увеличения потока пользователей</w:t>
            </w:r>
          </w:p>
        </w:tc>
      </w:tr>
    </w:tbl>
    <w:p>
      <w:pPr>
        <w:pStyle w:val="heading 3"/>
        <w:widowControl w:val="0"/>
        <w:spacing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</w:pP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Решение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Liberation Sans" w:cs="Liberation Sans" w:hAnsi="Liberation Sans" w:eastAsia="Liberation Sans"/>
          <w:sz w:val="23"/>
          <w:szCs w:val="23"/>
          <w:u w:color="000000"/>
          <w:rtl w:val="0"/>
          <w:lang w:val="ru-RU"/>
        </w:rPr>
      </w:pP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обеспечения новых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бизнес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и</w:t>
      </w:r>
      <w:r>
        <w:rPr>
          <w:rFonts w:ascii="Liberation Sans" w:cs="Liberation Sans" w:hAnsi="Liberation Sans" w:eastAsia="Liberation Sans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их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отказоустойчивости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предлагается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добавить брокер сообщений</w:t>
      </w:r>
      <w:r>
        <w:rPr>
          <w:rFonts w:ascii="Liberation Sans" w:cs="Liberation Sans" w:hAnsi="Liberation Sans" w:eastAsia="Liberation Sans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требованиях указано что лучше использовать </w:t>
      </w:r>
      <w:r>
        <w:rPr>
          <w:rFonts w:ascii="Liberation Sans" w:cs="Liberation Sans" w:hAnsi="Liberation Sans" w:eastAsia="Liberation Sans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Kafka </w:t>
      </w:r>
      <w:r>
        <w:rPr>
          <w:rFonts w:ascii="Liberation Sans" w:cs="Liberation Sans" w:hAnsi="Liberation Sans" w:eastAsia="Liberation Sans" w:hint="default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перспективу</w:t>
      </w:r>
      <w:r>
        <w:rPr>
          <w:rFonts w:ascii="Liberation Sans" w:cs="Liberation Sans" w:hAnsi="Liberation Sans" w:eastAsia="Liberation Sans"/>
          <w:outline w:val="0"/>
          <w:color w:val="000000"/>
          <w:sz w:val="23"/>
          <w:szCs w:val="23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Liberation Sans" w:cs="Liberation Sans" w:hAnsi="Liberation Sans" w:eastAsia="Liberation Sans" w:hint="default"/>
          <w:sz w:val="23"/>
          <w:szCs w:val="23"/>
          <w:u w:color="000000"/>
          <w:rtl w:val="0"/>
          <w:lang w:val="ru-RU"/>
        </w:rPr>
        <w:t xml:space="preserve">Через </w:t>
      </w:r>
      <w:r>
        <w:rPr>
          <w:rFonts w:ascii="Liberation Sans" w:cs="Liberation Sans" w:hAnsi="Liberation Sans" w:eastAsia="Liberation Sans" w:hint="default"/>
          <w:sz w:val="23"/>
          <w:szCs w:val="23"/>
          <w:u w:color="000000"/>
          <w:rtl w:val="0"/>
          <w:lang w:val="ru-RU"/>
        </w:rPr>
        <w:t>брокер</w:t>
      </w:r>
      <w:r>
        <w:rPr>
          <w:rFonts w:ascii="Liberation Sans" w:cs="Liberation Sans" w:hAnsi="Liberation Sans" w:eastAsia="Liberation Sans" w:hint="default"/>
          <w:sz w:val="23"/>
          <w:szCs w:val="23"/>
          <w:u w:color="000000"/>
          <w:rtl w:val="0"/>
          <w:lang w:val="ru-RU"/>
        </w:rPr>
        <w:t xml:space="preserve"> будем прогонять все заявки на депозиты</w:t>
      </w:r>
      <w:r>
        <w:rPr>
          <w:rFonts w:ascii="Liberation Sans" w:cs="Liberation Sans" w:hAnsi="Liberation Sans" w:eastAsia="Liberation Sans"/>
          <w:sz w:val="23"/>
          <w:szCs w:val="23"/>
          <w:u w:color="000000"/>
          <w:rtl w:val="0"/>
          <w:lang w:val="ru-RU"/>
        </w:rPr>
        <w:t xml:space="preserve">, </w:t>
      </w:r>
      <w:r>
        <w:rPr>
          <w:rFonts w:ascii="Liberation Sans" w:cs="Liberation Sans" w:hAnsi="Liberation Sans" w:eastAsia="Liberation Sans" w:hint="default"/>
          <w:sz w:val="23"/>
          <w:szCs w:val="23"/>
          <w:u w:color="000000"/>
          <w:rtl w:val="0"/>
          <w:lang w:val="ru-RU"/>
        </w:rPr>
        <w:t>а так же процесс изменения ставок</w:t>
      </w:r>
      <w:r>
        <w:rPr>
          <w:rFonts w:ascii="Liberation Sans" w:cs="Liberation Sans" w:hAnsi="Liberation Sans" w:eastAsia="Liberation Sans"/>
          <w:sz w:val="23"/>
          <w:szCs w:val="23"/>
          <w:u w:color="000000"/>
          <w:rtl w:val="0"/>
          <w:lang w:val="ru-RU"/>
        </w:rPr>
        <w:t>.</w:t>
      </w:r>
    </w:p>
    <w:p>
      <w:pPr>
        <w:pStyle w:val="Normal.0"/>
        <w:spacing w:before="240" w:after="240"/>
      </w:pPr>
      <w:r>
        <w:rPr>
          <w:rtl w:val="0"/>
          <w:lang w:val="ru-RU"/>
        </w:rPr>
        <w:t>Предлагается добавить микросервис</w:t>
      </w:r>
      <w:r>
        <w:rPr>
          <w:rtl w:val="0"/>
          <w:lang w:val="ru-RU"/>
        </w:rPr>
        <w:t>ы</w:t>
      </w:r>
      <w:r>
        <w:rPr>
          <w:rtl w:val="0"/>
          <w:lang w:val="ru-RU"/>
        </w:rPr>
        <w:t xml:space="preserve"> для</w:t>
      </w:r>
      <w:r>
        <w:rPr>
          <w:rtl w:val="0"/>
          <w:lang w:val="ru-RU"/>
        </w:rPr>
        <w:t xml:space="preserve"> горизонтального масштабирования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и взаимодействия с брокером сообщений</w:t>
      </w:r>
      <w:r>
        <w:rPr>
          <w:rtl w:val="0"/>
          <w:lang w:val="ru-RU"/>
        </w:rPr>
        <w:t>.</w:t>
      </w:r>
    </w:p>
    <w:p>
      <w:pPr>
        <w:pStyle w:val="heading 3"/>
        <w:jc w:val="center"/>
      </w:pPr>
      <w:r>
        <w:rPr>
          <w:sz w:val="22"/>
          <w:szCs w:val="22"/>
          <w:rtl w:val="0"/>
          <w:lang w:val="ru-RU"/>
        </w:rPr>
        <w:t>C4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Context</w:t>
      </w:r>
      <w:r>
        <w:rPr>
          <w:sz w:val="22"/>
          <w:szCs w:val="2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323317</wp:posOffset>
            </wp:positionH>
            <wp:positionV relativeFrom="line">
              <wp:posOffset>195931</wp:posOffset>
            </wp:positionV>
            <wp:extent cx="5068365" cy="263321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0"/>
                <wp:lineTo x="0" y="21640"/>
                <wp:lineTo x="0" y="0"/>
              </wp:wrapPolygon>
            </wp:wrapThrough>
            <wp:docPr id="1073741825" name="officeArt object" descr="c4_context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4_context.drawio.png" descr="c4_context.drawi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365" cy="26332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rtl w:val="0"/>
          <w:lang w:val="ru-RU"/>
        </w:rPr>
        <w:t>C4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ru-RU"/>
        </w:rPr>
        <w:t>Container</w:t>
      </w:r>
      <w:r>
        <w:rPr>
          <w:b w:val="1"/>
          <w:bCs w:val="1"/>
          <w:sz w:val="22"/>
          <w:szCs w:val="22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365760</wp:posOffset>
            </wp:positionV>
            <wp:extent cx="5727700" cy="31487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c4_container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4_container.drawio.png" descr="c4_container.drawi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48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</w:p>
    <w:p>
      <w:pPr>
        <w:pStyle w:val="heading 3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jrr7veeh80c" w:id="5"/>
      <w:bookmarkEnd w:id="5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льтернативы</w:t>
      </w:r>
    </w:p>
    <w:p>
      <w:pPr>
        <w:pStyle w:val="Normal.0"/>
        <w:spacing w:before="240" w:after="240"/>
      </w:pP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Реализовать АБС на новом технологическом стеке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взамен устаревшего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Пересмотреть технологический стэк и автоматизацию для всей системы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такое решение несет за собой большие затраты 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ресурс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ам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Недостатки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ограничения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риски</w:t>
      </w:r>
    </w:p>
    <w:p>
      <w:pPr>
        <w:pStyle w:val="Normal.0"/>
        <w:spacing w:before="12" w:after="12" w:line="240" w:lineRule="auto"/>
        <w:rPr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ru-RU"/>
        </w:rPr>
        <w:t xml:space="preserve">Возможные задержки в интеграции </w:t>
      </w:r>
      <w:r>
        <w:rPr>
          <w:rtl w:val="0"/>
          <w:lang w:val="ru-RU"/>
        </w:rPr>
        <w:t>новых систем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ребуется переработка существующих систем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2" w:after="12" w:line="240" w:lineRule="auto"/>
      </w:pP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Брокер сообщений становится критически важной частью системы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необходимо обеспечить его отказоустойчивость</w:t>
      </w:r>
      <w:r>
        <w:rPr>
          <w:caps w:val="0"/>
          <w:smallCaps w:val="0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2" w:after="12" w:line="240" w:lineRule="auto"/>
        <w:rPr>
          <w:rFonts w:ascii="Verdana" w:cs="Verdana" w:hAnsi="Verdana" w:eastAsia="Verdana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Из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технологического стека АБС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может масштабироваться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полностью горизонтально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180"/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Зависимость от существующих систем подрядчиков и бэк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офиса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что усложняет скорость развертывания изменений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Liberation Sans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