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7urdng99y53" w:id="0"/>
      <w:bookmarkEnd w:id="0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азвание задачи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Передача ставок в кол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центр</w:t>
      </w: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Автор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Евгений Каспранский</w:t>
      </w: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anumrh8zrui" w:id="1"/>
      <w:bookmarkEnd w:id="1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ата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3.01.2025</w:t>
      </w: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3"/>
        <w:keepNext w:val="0"/>
        <w:keepLines w:val="0"/>
        <w:spacing w:before="280"/>
      </w:pPr>
      <w:bookmarkStart w:name="_bfxc9a45514" w:id="2"/>
      <w:bookmarkEnd w:id="2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ункциональные требования</w:t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99"/>
        <w:gridCol w:w="2126"/>
        <w:gridCol w:w="1843"/>
        <w:gridCol w:w="4394"/>
      </w:tblGrid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2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Действующие лица или системы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Use Case</w:t>
            </w:r>
          </w:p>
        </w:tc>
        <w:tc>
          <w:tcPr>
            <w:tcW w:type="dxa" w:w="439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2177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Менеджер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Система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АБС</w:t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Консультация по текущим ставкам в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центре</w:t>
            </w:r>
          </w:p>
        </w:tc>
        <w:tc>
          <w:tcPr>
            <w:tcW w:type="dxa" w:w="439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Клиент звонит в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 xml:space="preserve">центр чтобы узнать текущие ставки банка 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 xml:space="preserve">Менеджер </w:t>
            </w:r>
            <w:r>
              <w:rPr>
                <w:shd w:val="nil" w:color="auto" w:fill="auto"/>
                <w:rtl w:val="0"/>
                <w:lang w:val="ru-RU"/>
              </w:rPr>
              <w:t>просматривает</w:t>
            </w:r>
            <w:r>
              <w:rPr>
                <w:shd w:val="nil" w:color="auto" w:fill="auto"/>
                <w:rtl w:val="0"/>
                <w:lang w:val="ru-RU"/>
              </w:rPr>
              <w:t xml:space="preserve"> текущие ставки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полученные</w:t>
            </w:r>
            <w:r>
              <w:rPr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из </w:t>
            </w:r>
            <w:r>
              <w:rPr>
                <w:shd w:val="nil" w:color="auto" w:fill="auto"/>
                <w:rtl w:val="0"/>
                <w:lang w:val="ru-RU"/>
              </w:rPr>
              <w:t>систем</w:t>
            </w:r>
            <w:r>
              <w:rPr>
                <w:shd w:val="nil" w:color="auto" w:fill="auto"/>
                <w:rtl w:val="0"/>
                <w:lang w:val="ru-RU"/>
              </w:rPr>
              <w:t>ы</w:t>
            </w:r>
            <w:r>
              <w:rPr>
                <w:shd w:val="nil" w:color="auto" w:fill="auto"/>
                <w:rtl w:val="0"/>
                <w:lang w:val="ru-RU"/>
              </w:rPr>
              <w:t xml:space="preserve"> АБС</w:t>
            </w:r>
          </w:p>
          <w:p>
            <w:pPr>
              <w:pStyle w:val="List Paragraph"/>
              <w:numPr>
                <w:ilvl w:val="0"/>
                <w:numId w:val="1"/>
              </w:numPr>
              <w:bidi w:val="0"/>
              <w:ind w:right="0"/>
              <w:jc w:val="left"/>
              <w:rPr>
                <w:rtl w:val="0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Менеджер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 сообщает ставки клиенту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1902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12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ru-RU"/>
              </w:rPr>
              <w:t>Менеджер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партнерского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</w:t>
            </w:r>
            <w:r>
              <w:rPr>
                <w:shd w:val="nil" w:color="auto" w:fill="auto"/>
              </w:rPr>
            </w:r>
          </w:p>
        </w:tc>
        <w:tc>
          <w:tcPr>
            <w:tcW w:type="dxa" w:w="1843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Консультация по текущим ставкам в партнерском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центре</w:t>
            </w:r>
          </w:p>
        </w:tc>
        <w:tc>
          <w:tcPr>
            <w:tcW w:type="dxa" w:w="439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List Paragraph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Клиент звонит в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 xml:space="preserve">центр чтобы узнать текущие ставки банка 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Менеджер партнерского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 открывает файл со ставками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полученный по </w:t>
            </w:r>
            <w:r>
              <w:rPr>
                <w:shd w:val="nil" w:color="auto" w:fill="auto"/>
                <w:rtl w:val="0"/>
                <w:lang w:val="ru-RU"/>
              </w:rPr>
              <w:t>SFTP</w:t>
            </w:r>
          </w:p>
          <w:p>
            <w:pPr>
              <w:pStyle w:val="List Paragraph"/>
              <w:numPr>
                <w:ilvl w:val="0"/>
                <w:numId w:val="2"/>
              </w:numPr>
              <w:bidi w:val="0"/>
              <w:ind w:right="0"/>
              <w:jc w:val="left"/>
              <w:rPr>
                <w:rtl w:val="0"/>
                <w:lang w:val="ru-RU"/>
              </w:rPr>
            </w:pPr>
            <w:r>
              <w:rPr>
                <w:shd w:val="nil" w:color="auto" w:fill="auto"/>
                <w:rtl w:val="0"/>
                <w:lang w:val="ru-RU"/>
              </w:rPr>
              <w:t>Менеджер партнерского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 сообщает ставки клиенту</w:t>
            </w:r>
          </w:p>
        </w:tc>
      </w:tr>
    </w:tbl>
    <w:p>
      <w:pPr>
        <w:pStyle w:val="Normal.0"/>
        <w:widowControl w:val="0"/>
        <w:spacing w:before="240" w:after="240" w:line="240" w:lineRule="auto"/>
      </w:pPr>
    </w:p>
    <w:p>
      <w:pPr>
        <w:pStyle w:val="heading 3"/>
        <w:keepNext w:val="0"/>
        <w:keepLines w:val="0"/>
        <w:spacing w:before="280"/>
      </w:pPr>
    </w:p>
    <w:p>
      <w:pPr>
        <w:pStyle w:val="heading 3"/>
        <w:keepNext w:val="0"/>
        <w:keepLines w:val="0"/>
        <w:spacing w:before="280"/>
      </w:pPr>
      <w:bookmarkStart w:name="_u8xz25hbrgql" w:id="3"/>
      <w:bookmarkEnd w:id="3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ефункциональные требования</w:t>
      </w:r>
    </w:p>
    <w:tbl>
      <w:tblPr>
        <w:tblW w:w="81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99"/>
        <w:gridCol w:w="7491"/>
      </w:tblGrid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749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Требование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749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 может быть перегружен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необходимо подключить партнерский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749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40"/>
            </w:pPr>
            <w:r>
              <w:rPr>
                <w:shd w:val="nil" w:color="auto" w:fill="auto"/>
                <w:rtl w:val="0"/>
                <w:lang w:val="ru-RU"/>
              </w:rPr>
              <w:t>Организация безопасного канала передачи данных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749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40"/>
            </w:pPr>
            <w:r>
              <w:rPr>
                <w:shd w:val="nil" w:color="auto" w:fill="auto"/>
                <w:rtl w:val="0"/>
                <w:lang w:val="ru-RU"/>
              </w:rPr>
              <w:t xml:space="preserve">Передача актуальных ставок не должна превышать </w:t>
            </w:r>
            <w:r>
              <w:rPr>
                <w:shd w:val="nil" w:color="auto" w:fill="auto"/>
                <w:rtl w:val="0"/>
                <w:lang w:val="ru-RU"/>
              </w:rPr>
              <w:t xml:space="preserve">10 </w:t>
            </w:r>
            <w:r>
              <w:rPr>
                <w:shd w:val="nil" w:color="auto" w:fill="auto"/>
                <w:rtl w:val="0"/>
                <w:lang w:val="ru-RU"/>
              </w:rPr>
              <w:t>минут с момента их изменения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69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749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spacing w:after="140"/>
            </w:pPr>
            <w:r>
              <w:rPr>
                <w:shd w:val="nil" w:color="auto" w:fill="auto"/>
                <w:rtl w:val="0"/>
                <w:lang w:val="ru-RU"/>
              </w:rPr>
              <w:t xml:space="preserve">Доступность </w:t>
            </w:r>
            <w:r>
              <w:rPr>
                <w:shd w:val="nil" w:color="auto" w:fill="auto"/>
                <w:rtl w:val="0"/>
                <w:lang w:val="ru-RU"/>
              </w:rPr>
              <w:t xml:space="preserve">99.9% </w:t>
            </w:r>
            <w:r>
              <w:rPr>
                <w:shd w:val="nil" w:color="auto" w:fill="auto"/>
                <w:rtl w:val="0"/>
                <w:lang w:val="ru-RU"/>
              </w:rPr>
              <w:t>для взаимодействия 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центра с системой ставок</w:t>
            </w:r>
          </w:p>
        </w:tc>
      </w:tr>
    </w:tbl>
    <w:p>
      <w:pPr>
        <w:pStyle w:val="Normal.0"/>
        <w:widowControl w:val="0"/>
        <w:spacing w:before="240" w:after="240" w:line="240" w:lineRule="auto"/>
      </w:pPr>
    </w:p>
    <w:p>
      <w:pPr>
        <w:pStyle w:val="Normal.0"/>
      </w:pP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qmphm5d6rvi3" w:id="4"/>
      <w:bookmarkEnd w:id="4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ешение</w:t>
      </w:r>
    </w:p>
    <w:p>
      <w:pPr>
        <w:pStyle w:val="Normal.0"/>
        <w:rPr>
          <w:lang w:val="en-US"/>
        </w:rPr>
      </w:pPr>
      <w:r>
        <w:rPr>
          <w:rtl w:val="0"/>
          <w:lang w:val="ru-RU"/>
        </w:rPr>
        <w:t>Передача информации в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центр партнера предлагается по электронной почте через файл по </w:t>
      </w:r>
      <w:r>
        <w:rPr>
          <w:rtl w:val="0"/>
          <w:lang w:val="ru-RU"/>
        </w:rPr>
        <w:t xml:space="preserve">SFTP, </w:t>
      </w:r>
      <w:r>
        <w:rPr>
          <w:rtl w:val="0"/>
          <w:lang w:val="ru-RU"/>
        </w:rPr>
        <w:t>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нет возможности вызова </w:t>
      </w:r>
      <w:r>
        <w:rPr>
          <w:rtl w:val="0"/>
          <w:lang w:val="en-US"/>
        </w:rPr>
        <w:t>API.</w:t>
      </w:r>
    </w:p>
    <w:p>
      <w:pPr>
        <w:pStyle w:val="Normal.0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shd w:val="nil" w:color="auto" w:fill="auto"/>
          <w:rtl w:val="0"/>
          <w:lang w:val="ru-RU"/>
        </w:rPr>
        <w:t>Для передачи ставок в</w:t>
      </w:r>
      <w:r>
        <w:rPr>
          <w:shd w:val="nil" w:color="auto" w:fill="auto"/>
          <w:rtl w:val="0"/>
          <w:lang w:val="ru-RU"/>
        </w:rPr>
        <w:t xml:space="preserve"> свой</w:t>
      </w:r>
      <w:r>
        <w:rPr>
          <w:shd w:val="nil" w:color="auto" w:fill="auto"/>
          <w:rtl w:val="0"/>
          <w:lang w:val="ru-RU"/>
        </w:rPr>
        <w:t xml:space="preserve"> кол</w:t>
      </w:r>
      <w:r>
        <w:rPr>
          <w:shd w:val="nil" w:color="auto" w:fill="auto"/>
          <w:rtl w:val="0"/>
          <w:lang w:val="ru-RU"/>
        </w:rPr>
        <w:t>-</w:t>
      </w:r>
      <w:r>
        <w:rPr>
          <w:shd w:val="nil" w:color="auto" w:fill="auto"/>
          <w:rtl w:val="0"/>
          <w:lang w:val="ru-RU"/>
        </w:rPr>
        <w:t xml:space="preserve">центр предлагается использовать очередь в </w:t>
      </w:r>
      <w:r>
        <w:rPr>
          <w:shd w:val="nil" w:color="auto" w:fill="auto"/>
          <w:rtl w:val="0"/>
          <w:lang w:val="ru-RU"/>
        </w:rPr>
        <w:t>kafka</w:t>
      </w:r>
      <w:r>
        <w:rPr>
          <w:shd w:val="nil" w:color="auto" w:fill="auto"/>
          <w:rtl w:val="0"/>
          <w:lang w:val="ru-RU"/>
        </w:rPr>
        <w:t xml:space="preserve">. </w:t>
      </w:r>
      <w:r>
        <w:rPr>
          <w:shd w:val="nil" w:color="auto" w:fill="auto"/>
          <w:rtl w:val="0"/>
          <w:lang w:val="ru-RU"/>
        </w:rPr>
        <w:t>К</w:t>
      </w:r>
      <w:r>
        <w:rPr>
          <w:shd w:val="nil" w:color="auto" w:fill="auto"/>
          <w:rtl w:val="0"/>
          <w:lang w:val="ru-RU"/>
        </w:rPr>
        <w:t>ол</w:t>
      </w:r>
      <w:r>
        <w:rPr>
          <w:shd w:val="nil" w:color="auto" w:fill="auto"/>
          <w:rtl w:val="0"/>
          <w:lang w:val="ru-RU"/>
        </w:rPr>
        <w:t>-</w:t>
      </w:r>
      <w:r>
        <w:rPr>
          <w:shd w:val="nil" w:color="auto" w:fill="auto"/>
          <w:rtl w:val="0"/>
          <w:lang w:val="ru-RU"/>
        </w:rPr>
        <w:t xml:space="preserve">центр будет получать данные из </w:t>
      </w:r>
      <w:r>
        <w:rPr>
          <w:shd w:val="nil" w:color="auto" w:fill="auto"/>
          <w:rtl w:val="0"/>
          <w:lang w:val="ru-RU"/>
        </w:rPr>
        <w:t xml:space="preserve">kafka </w:t>
      </w:r>
      <w:r>
        <w:rPr>
          <w:shd w:val="nil" w:color="auto" w:fill="auto"/>
          <w:rtl w:val="0"/>
          <w:lang w:val="ru-RU"/>
        </w:rPr>
        <w:t xml:space="preserve">и </w:t>
      </w:r>
      <w:r>
        <w:rPr>
          <w:shd w:val="nil" w:color="auto" w:fill="auto"/>
          <w:rtl w:val="0"/>
          <w:lang w:val="ru-RU"/>
        </w:rPr>
        <w:t>загружать себе в систему</w:t>
      </w:r>
      <w:r>
        <w:rPr>
          <w:shd w:val="nil" w:color="auto" w:fill="auto"/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C4 Context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1241624</wp:posOffset>
            </wp:positionH>
            <wp:positionV relativeFrom="line">
              <wp:posOffset>168702</wp:posOffset>
            </wp:positionV>
            <wp:extent cx="3231751" cy="5727700"/>
            <wp:effectExtent l="0" t="0" r="0" b="0"/>
            <wp:wrapThrough wrapText="bothSides" distL="152400" distR="152400">
              <wp:wrapPolygon edited="1">
                <wp:start x="0" y="0"/>
                <wp:lineTo x="21608" y="0"/>
                <wp:lineTo x="21608" y="21600"/>
                <wp:lineTo x="0" y="21600"/>
                <wp:lineTo x="0" y="0"/>
              </wp:wrapPolygon>
            </wp:wrapThrough>
            <wp:docPr id="1073741825" name="officeArt object" descr="c4_context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4_context.drawio.png" descr="c4_context.drawi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751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C4 Container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85957</wp:posOffset>
            </wp:positionH>
            <wp:positionV relativeFrom="line">
              <wp:posOffset>274320</wp:posOffset>
            </wp:positionV>
            <wp:extent cx="5543085" cy="5727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с4_container.draw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4_container.drawio.png" descr="с4_container.drawi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085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b w:val="1"/>
          <w:bCs w:val="1"/>
        </w:rPr>
      </w:pPr>
    </w:p>
    <w:p>
      <w:pPr>
        <w:pStyle w:val="Normal.0"/>
      </w:pPr>
    </w:p>
    <w:p>
      <w:pPr>
        <w:pStyle w:val="heading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jrr7veeh80c" w:id="5"/>
      <w:bookmarkEnd w:id="5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льтернативы</w:t>
      </w:r>
    </w:p>
    <w:p>
      <w:pPr>
        <w:pStyle w:val="Normal.0"/>
        <w:numPr>
          <w:ilvl w:val="0"/>
          <w:numId w:val="4"/>
        </w:numPr>
      </w:pPr>
      <w:r>
        <w:rPr>
          <w:rtl w:val="0"/>
          <w:lang w:val="ru-RU"/>
        </w:rPr>
        <w:t>Реализовать предоставление доступа сотрудников партнерского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центра через </w:t>
      </w:r>
      <w:r>
        <w:rPr>
          <w:rtl w:val="0"/>
          <w:lang w:val="ru-RU"/>
        </w:rPr>
        <w:t xml:space="preserve">API </w:t>
      </w:r>
      <w:r>
        <w:rPr>
          <w:rtl w:val="0"/>
          <w:lang w:val="ru-RU"/>
        </w:rPr>
        <w:t>к системе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центра банка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просмотра ставок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numPr>
          <w:ilvl w:val="0"/>
          <w:numId w:val="4"/>
        </w:numPr>
      </w:pPr>
      <w:r>
        <w:rPr>
          <w:rtl w:val="0"/>
          <w:lang w:val="ru-RU"/>
        </w:rPr>
        <w:t>П</w:t>
      </w:r>
      <w:r>
        <w:rPr>
          <w:rtl w:val="0"/>
          <w:lang w:val="ru-RU"/>
        </w:rPr>
        <w:t>ереда</w:t>
      </w:r>
      <w:r>
        <w:rPr>
          <w:rtl w:val="0"/>
          <w:lang w:val="ru-RU"/>
        </w:rPr>
        <w:t>вать</w:t>
      </w:r>
      <w:r>
        <w:rPr>
          <w:rtl w:val="0"/>
          <w:lang w:val="ru-RU"/>
        </w:rPr>
        <w:t xml:space="preserve"> став</w:t>
      </w:r>
      <w:r>
        <w:rPr>
          <w:rtl w:val="0"/>
          <w:lang w:val="ru-RU"/>
        </w:rPr>
        <w:t>ки</w:t>
      </w:r>
      <w:r>
        <w:rPr>
          <w:rtl w:val="0"/>
          <w:lang w:val="ru-RU"/>
        </w:rPr>
        <w:t xml:space="preserve"> в партнерский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центр </w:t>
      </w:r>
      <w:r>
        <w:rPr>
          <w:rtl w:val="0"/>
          <w:lang w:val="ru-RU"/>
        </w:rPr>
        <w:t>через свой</w:t>
      </w:r>
      <w:r>
        <w:rPr>
          <w:rtl w:val="0"/>
          <w:lang w:val="ru-RU"/>
        </w:rPr>
        <w:t xml:space="preserve">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центр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numPr>
          <w:ilvl w:val="0"/>
          <w:numId w:val="4"/>
        </w:numPr>
      </w:pPr>
      <w:r>
        <w:rPr>
          <w:shd w:val="nil" w:color="auto" w:fill="auto"/>
          <w:rtl w:val="0"/>
          <w:lang w:val="ru-RU"/>
        </w:rPr>
        <w:t>Можно вместо хранения данных по ставкам в кол</w:t>
      </w:r>
      <w:r>
        <w:rPr>
          <w:shd w:val="nil" w:color="auto" w:fill="auto"/>
          <w:rtl w:val="0"/>
          <w:lang w:val="ru-RU"/>
        </w:rPr>
        <w:t>-</w:t>
      </w:r>
      <w:r>
        <w:rPr>
          <w:shd w:val="nil" w:color="auto" w:fill="auto"/>
          <w:rtl w:val="0"/>
          <w:lang w:val="ru-RU"/>
        </w:rPr>
        <w:t xml:space="preserve">центре </w:t>
      </w:r>
      <w:r>
        <w:rPr>
          <w:shd w:val="nil" w:color="auto" w:fill="auto"/>
          <w:rtl w:val="0"/>
          <w:lang w:val="ru-RU"/>
        </w:rPr>
        <w:t>обращаться</w:t>
      </w:r>
      <w:r>
        <w:rPr>
          <w:shd w:val="nil" w:color="auto" w:fill="auto"/>
          <w:rtl w:val="0"/>
          <w:lang w:val="ru-RU"/>
        </w:rPr>
        <w:t xml:space="preserve"> в </w:t>
      </w:r>
      <w:r>
        <w:rPr>
          <w:shd w:val="nil" w:color="auto" w:fill="auto"/>
          <w:rtl w:val="0"/>
          <w:lang w:val="en-US"/>
        </w:rPr>
        <w:t>api</w:t>
      </w:r>
      <w:r>
        <w:rPr>
          <w:shd w:val="nil" w:color="auto" w:fill="auto"/>
          <w:rtl w:val="0"/>
          <w:lang w:val="ru-RU"/>
        </w:rPr>
        <w:t xml:space="preserve"> депозитов</w:t>
      </w:r>
      <w:r>
        <w:rPr>
          <w:shd w:val="nil" w:color="auto" w:fill="auto"/>
          <w:rtl w:val="0"/>
          <w:lang w:val="ru-RU"/>
        </w:rPr>
        <w:t>.</w:t>
      </w:r>
    </w:p>
    <w:p>
      <w:pPr>
        <w:pStyle w:val="Normal.0"/>
        <w:spacing w:before="240" w:after="240"/>
      </w:pPr>
    </w:p>
    <w:p>
      <w:pPr>
        <w:pStyle w:val="Normal.0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Недостатки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</w:t>
      </w:r>
    </w:p>
    <w:p>
      <w:pPr>
        <w:pStyle w:val="Normal.0"/>
      </w:pPr>
      <w:r>
        <w:rPr>
          <w:rtl w:val="0"/>
        </w:rPr>
        <w:t>Партнёрский кол</w:t>
      </w:r>
      <w:r>
        <w:rPr>
          <w:rtl w:val="0"/>
        </w:rPr>
        <w:t>-</w:t>
      </w:r>
      <w:r>
        <w:rPr>
          <w:rtl w:val="0"/>
        </w:rPr>
        <w:t>центр может получать данные только через файлы</w:t>
      </w:r>
      <w:r>
        <w:rPr>
          <w:rtl w:val="0"/>
        </w:rPr>
        <w:t>.</w:t>
      </w:r>
    </w:p>
    <w:p>
      <w:pPr>
        <w:pStyle w:val="Normal.0"/>
        <w:rPr>
          <w:rFonts w:ascii="Verdana" w:cs="Verdana" w:hAnsi="Verdana" w:eastAsia="Verdana"/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</w:rPr>
        <w:t>Нужно поддерживать два кол</w:t>
      </w:r>
      <w:r>
        <w:rPr>
          <w:rtl w:val="0"/>
        </w:rPr>
        <w:t>-</w:t>
      </w:r>
      <w:r>
        <w:rPr>
          <w:rtl w:val="0"/>
        </w:rPr>
        <w:t>центра свой и партнёрский</w:t>
      </w:r>
      <w:r>
        <w:rPr>
          <w:rtl w:val="0"/>
        </w:rPr>
        <w:t>.</w:t>
      </w:r>
    </w:p>
    <w:p>
      <w:pPr>
        <w:pStyle w:val="Normal.0"/>
        <w:spacing w:before="240" w:after="240"/>
      </w:pPr>
      <w:r>
        <w:rPr>
          <w:rtl w:val="0"/>
          <w:lang w:val="ru-RU"/>
        </w:rPr>
        <w:t>Есть риски расхождения и задержи в обновлении данных между нашим и партнерским 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центром</w:t>
      </w:r>
      <w:r>
        <w:rPr>
          <w:rtl w:val="0"/>
          <w:lang w:val="en-US"/>
        </w:rPr>
        <w:t>.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ru-RU"/>
      <w14:textFill>
        <w14:solidFill>
          <w14:srgbClr w14:val="434343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