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Benchmarking Financiero — Comparadores Online</w:t>
      </w:r>
    </w:p>
    <w:p>
      <w:pPr>
        <w:spacing w:after="4000"/>
      </w:pPr>
      <w:r>
        <w:rPr>
          <w:i/>
          <w:color w:val="595959"/>
        </w:rPr>
        <w:t>Contraste de ratios financieros con empresas comparables — TFM (fuente: SABI/Informa, ejercicio 2024)</w:t>
      </w:r>
    </w:p>
    <w:p>
      <w:pPr>
        <w:pStyle w:val="Heading1"/>
      </w:pPr>
      <w:r>
        <w:t>1. Empresas analizadas y metodología</w:t>
      </w:r>
    </w:p>
    <w:p>
      <w:pPr>
        <w:spacing w:after="160"/>
      </w:pPr>
      <w:r>
        <w:rPr>
          <w:b w:val="0"/>
          <w:i w:val="0"/>
          <w:sz w:val="20"/>
        </w:rPr>
        <w:t>Se han analizado cuatro empresas del sector de comparadores online (seguros, energía, telecomunicaciones y servicios del hogar), utilizando datos oficiales de cuentas anuales depositadas en el Registro Mercantil (fuente: base de datos SABI/Informa - Bureau van Dijk). Se ha tomado el último ejercicio cerrado y disponible con datos completos para el cálculo de los 11 ratios: el ejercicio 2024 en las cuatro empresas.</w:t>
      </w:r>
    </w:p>
    <w:tbl>
      <w:tblPr>
        <w:tblStyle w:val="TableGrid"/>
        <w:tblW w:type="auto" w:w="0"/>
        <w:jc w:val="center"/>
        <w:tblLook w:firstColumn="1" w:firstRow="1" w:lastColumn="0" w:lastRow="0" w:noHBand="0" w:noVBand="1" w:val="04A0"/>
      </w:tblPr>
      <w:tblGrid>
        <w:gridCol w:w="2545"/>
        <w:gridCol w:w="2545"/>
        <w:gridCol w:w="2545"/>
        <w:gridCol w:w="2545"/>
      </w:tblGrid>
      <w:tr>
        <w:tc>
          <w:tcPr>
            <w:tcW w:type="dxa" w:w="1584"/>
            <w:shd w:val="clear" w:color="auto" w:fill="4472C4"/>
          </w:tcPr>
          <w:p>
            <w:pPr>
              <w:jc w:val="center"/>
            </w:pPr>
            <w:r>
              <w:rPr>
                <w:color w:val="FFFFFF"/>
              </w:rPr>
            </w:r>
            <w:r>
              <w:rPr>
                <w:b/>
                <w:sz w:val="18"/>
              </w:rPr>
              <w:t>Empresa</w:t>
            </w:r>
          </w:p>
        </w:tc>
        <w:tc>
          <w:tcPr>
            <w:tcW w:type="dxa" w:w="2880"/>
            <w:shd w:val="clear" w:color="auto" w:fill="4472C4"/>
          </w:tcPr>
          <w:p>
            <w:pPr>
              <w:jc w:val="center"/>
            </w:pPr>
            <w:r>
              <w:rPr>
                <w:color w:val="FFFFFF"/>
              </w:rPr>
            </w:r>
            <w:r>
              <w:rPr>
                <w:b/>
                <w:sz w:val="18"/>
              </w:rPr>
              <w:t>Razón social</w:t>
            </w:r>
          </w:p>
        </w:tc>
        <w:tc>
          <w:tcPr>
            <w:tcW w:type="dxa" w:w="4896"/>
            <w:shd w:val="clear" w:color="auto" w:fill="4472C4"/>
          </w:tcPr>
          <w:p>
            <w:pPr>
              <w:jc w:val="center"/>
            </w:pPr>
            <w:r>
              <w:rPr>
                <w:color w:val="FFFFFF"/>
              </w:rPr>
            </w:r>
            <w:r>
              <w:rPr>
                <w:b/>
                <w:sz w:val="18"/>
              </w:rPr>
              <w:t>Actividad</w:t>
            </w:r>
          </w:p>
        </w:tc>
        <w:tc>
          <w:tcPr>
            <w:tcW w:type="dxa" w:w="2160"/>
            <w:shd w:val="clear" w:color="auto" w:fill="4472C4"/>
          </w:tcPr>
          <w:p>
            <w:pPr>
              <w:jc w:val="center"/>
            </w:pPr>
            <w:r>
              <w:rPr>
                <w:color w:val="FFFFFF"/>
              </w:rPr>
            </w:r>
            <w:r>
              <w:rPr>
                <w:b/>
                <w:sz w:val="18"/>
              </w:rPr>
              <w:t>Cifra de ventas 2024 (EUR)</w:t>
            </w:r>
          </w:p>
        </w:tc>
      </w:tr>
      <w:tr>
        <w:tc>
          <w:tcPr>
            <w:tcW w:type="dxa" w:w="1584"/>
          </w:tcPr>
          <w:p>
            <w:r/>
            <w:r>
              <w:rPr>
                <w:b w:val="0"/>
                <w:sz w:val="18"/>
              </w:rPr>
              <w:t>Grupo Tasfor</w:t>
            </w:r>
          </w:p>
        </w:tc>
        <w:tc>
          <w:tcPr>
            <w:tcW w:type="dxa" w:w="2880"/>
          </w:tcPr>
          <w:p>
            <w:pPr>
              <w:jc w:val="center"/>
            </w:pPr>
            <w:r/>
            <w:r>
              <w:rPr>
                <w:b w:val="0"/>
                <w:sz w:val="18"/>
              </w:rPr>
              <w:t>GRUPO TASFOR MARKETING Y PUBLICIDAD SOCIEDAD LIMITADA.</w:t>
            </w:r>
          </w:p>
        </w:tc>
        <w:tc>
          <w:tcPr>
            <w:tcW w:type="dxa" w:w="4896"/>
          </w:tcPr>
          <w:p>
            <w:pPr>
              <w:jc w:val="center"/>
            </w:pPr>
            <w:r/>
            <w:r>
              <w:rPr>
                <w:b w:val="0"/>
                <w:sz w:val="18"/>
              </w:rPr>
              <w:t>Intermediación comercial / agencia de publicidad y marketing (CNAE 46.19, 73.11)</w:t>
            </w:r>
          </w:p>
        </w:tc>
        <w:tc>
          <w:tcPr>
            <w:tcW w:type="dxa" w:w="2160"/>
          </w:tcPr>
          <w:p>
            <w:pPr>
              <w:jc w:val="center"/>
            </w:pPr>
            <w:r/>
            <w:r>
              <w:rPr>
                <w:b w:val="0"/>
                <w:sz w:val="18"/>
              </w:rPr>
              <w:t>1,893,477</w:t>
            </w:r>
          </w:p>
        </w:tc>
      </w:tr>
      <w:tr>
        <w:tc>
          <w:tcPr>
            <w:tcW w:type="dxa" w:w="1584"/>
          </w:tcPr>
          <w:p>
            <w:r/>
            <w:r>
              <w:rPr>
                <w:b w:val="0"/>
                <w:sz w:val="18"/>
              </w:rPr>
              <w:t>Rastreator</w:t>
            </w:r>
          </w:p>
        </w:tc>
        <w:tc>
          <w:tcPr>
            <w:tcW w:type="dxa" w:w="2880"/>
          </w:tcPr>
          <w:p>
            <w:pPr>
              <w:jc w:val="center"/>
            </w:pPr>
            <w:r/>
            <w:r>
              <w:rPr>
                <w:b w:val="0"/>
                <w:sz w:val="18"/>
              </w:rPr>
              <w:t>RASTREATOR COMPARADOR CORREDURIA DE SEGUROS S.L.U.</w:t>
            </w:r>
          </w:p>
        </w:tc>
        <w:tc>
          <w:tcPr>
            <w:tcW w:type="dxa" w:w="4896"/>
          </w:tcPr>
          <w:p>
            <w:pPr>
              <w:jc w:val="center"/>
            </w:pPr>
            <w:r/>
            <w:r>
              <w:rPr>
                <w:b w:val="0"/>
                <w:sz w:val="18"/>
              </w:rPr>
              <w:t>Correduría de seguros — comparador de seguros online (CNAE 66.22)</w:t>
            </w:r>
          </w:p>
        </w:tc>
        <w:tc>
          <w:tcPr>
            <w:tcW w:type="dxa" w:w="2160"/>
          </w:tcPr>
          <w:p>
            <w:pPr>
              <w:jc w:val="center"/>
            </w:pPr>
            <w:r/>
            <w:r>
              <w:rPr>
                <w:b w:val="0"/>
                <w:sz w:val="18"/>
              </w:rPr>
              <w:t>34,805,639</w:t>
            </w:r>
          </w:p>
        </w:tc>
      </w:tr>
      <w:tr>
        <w:tc>
          <w:tcPr>
            <w:tcW w:type="dxa" w:w="1584"/>
          </w:tcPr>
          <w:p>
            <w:r/>
            <w:r>
              <w:rPr>
                <w:b w:val="0"/>
                <w:sz w:val="18"/>
              </w:rPr>
              <w:t>Selectra (Profielectra SL)</w:t>
            </w:r>
          </w:p>
        </w:tc>
        <w:tc>
          <w:tcPr>
            <w:tcW w:type="dxa" w:w="2880"/>
          </w:tcPr>
          <w:p>
            <w:pPr>
              <w:jc w:val="center"/>
            </w:pPr>
            <w:r/>
            <w:r>
              <w:rPr>
                <w:b w:val="0"/>
                <w:sz w:val="18"/>
              </w:rPr>
              <w:t>PROFIELECTRA SL.</w:t>
            </w:r>
          </w:p>
        </w:tc>
        <w:tc>
          <w:tcPr>
            <w:tcW w:type="dxa" w:w="4896"/>
          </w:tcPr>
          <w:p>
            <w:pPr>
              <w:jc w:val="center"/>
            </w:pPr>
            <w:r/>
            <w:r>
              <w:rPr>
                <w:b w:val="0"/>
                <w:sz w:val="18"/>
              </w:rPr>
              <w:t>Comparador online de tarifas de energía, telecomunicaciones, alarmas y servicios del hogar</w:t>
            </w:r>
          </w:p>
        </w:tc>
        <w:tc>
          <w:tcPr>
            <w:tcW w:type="dxa" w:w="2160"/>
          </w:tcPr>
          <w:p>
            <w:pPr>
              <w:jc w:val="center"/>
            </w:pPr>
            <w:r/>
            <w:r>
              <w:rPr>
                <w:b w:val="0"/>
                <w:sz w:val="18"/>
              </w:rPr>
              <w:t>38,923,197</w:t>
            </w:r>
          </w:p>
        </w:tc>
      </w:tr>
      <w:tr>
        <w:tc>
          <w:tcPr>
            <w:tcW w:type="dxa" w:w="1584"/>
          </w:tcPr>
          <w:p>
            <w:r/>
            <w:r>
              <w:rPr>
                <w:b w:val="0"/>
                <w:sz w:val="18"/>
              </w:rPr>
              <w:t>Watiofy</w:t>
            </w:r>
          </w:p>
        </w:tc>
        <w:tc>
          <w:tcPr>
            <w:tcW w:type="dxa" w:w="2880"/>
          </w:tcPr>
          <w:p>
            <w:pPr>
              <w:jc w:val="center"/>
            </w:pPr>
            <w:r/>
            <w:r>
              <w:rPr>
                <w:b w:val="0"/>
                <w:sz w:val="18"/>
              </w:rPr>
              <w:t>WATIOFY SL.</w:t>
            </w:r>
          </w:p>
        </w:tc>
        <w:tc>
          <w:tcPr>
            <w:tcW w:type="dxa" w:w="4896"/>
          </w:tcPr>
          <w:p>
            <w:pPr>
              <w:jc w:val="center"/>
            </w:pPr>
            <w:r/>
            <w:r>
              <w:rPr>
                <w:b w:val="0"/>
                <w:sz w:val="18"/>
              </w:rPr>
              <w:t>Intermediación y venta online mediante comparación digital (CNAE 46.19)</w:t>
            </w:r>
          </w:p>
        </w:tc>
        <w:tc>
          <w:tcPr>
            <w:tcW w:type="dxa" w:w="2160"/>
          </w:tcPr>
          <w:p>
            <w:pPr>
              <w:jc w:val="center"/>
            </w:pPr>
            <w:r/>
            <w:r>
              <w:rPr>
                <w:b w:val="0"/>
                <w:sz w:val="18"/>
              </w:rPr>
              <w:t>139,934</w:t>
            </w:r>
          </w:p>
        </w:tc>
      </w:tr>
    </w:tbl>
    <w:p>
      <w:pPr>
        <w:spacing w:after="80"/>
      </w:pPr>
    </w:p>
    <w:p>
      <w:pPr>
        <w:spacing w:after="160"/>
      </w:pPr>
      <w:r>
        <w:rPr>
          <w:b w:val="0"/>
          <w:i w:val="0"/>
          <w:sz w:val="20"/>
        </w:rPr>
        <w:t>Los ratios se han calculado aplicando exactamente las mismas fórmulas empleadas en el módulo calculos_ratios.py de la aplicación del TFM, sobre las partidas de balance y cuenta de resultados de cada empresa, para garantizar la comparabilidad metodológica entre el benchmarking externo y los resultados que la herramienta genera para el caso de estudio propio.</w:t>
      </w:r>
    </w:p>
    <w:p>
      <w:pPr>
        <w:spacing w:after="160"/>
      </w:pPr>
      <w:r>
        <w:rPr>
          <w:b w:val="0"/>
          <w:i w:val="0"/>
          <w:sz w:val="20"/>
        </w:rPr>
        <w:t>Nota metodológica: Watiofy presenta una facturación entre 13 y 280 veces inferior a las otras tres empresas (139.934 € frente a 1,9-38,9 M€) y una estructura de activo atípica para un comparador online (96,9% del activo es inmovilizado, con un activo corriente casi inexistente), lo que sugiere una fase de actividad muy inicial o una situación puntual poco representativa del sector. Por ello se presenta la media del conjunto de las 4 empresas y, de forma adicional, la media de las 3 empresas de tamaño y estructura comparable (Tasfor, Rastreator, Selectra), que se recomienda usar como referencia principal.</w:t>
      </w:r>
    </w:p>
    <w:p>
      <w:pPr>
        <w:pStyle w:val="Heading1"/>
      </w:pPr>
      <w:r>
        <w:t>2. Cifras clave del balance y la cuenta de resultados (2024)</w:t>
      </w:r>
    </w:p>
    <w:tbl>
      <w:tblPr>
        <w:tblStyle w:val="TableGrid"/>
        <w:tblW w:type="auto" w:w="0"/>
        <w:jc w:val="center"/>
        <w:tblLook w:firstColumn="1" w:firstRow="1" w:lastColumn="0" w:lastRow="0" w:noHBand="0" w:noVBand="1" w:val="04A0"/>
      </w:tblPr>
      <w:tblGrid>
        <w:gridCol w:w="2036"/>
        <w:gridCol w:w="2036"/>
        <w:gridCol w:w="2036"/>
        <w:gridCol w:w="2036"/>
        <w:gridCol w:w="2036"/>
      </w:tblGrid>
      <w:tr>
        <w:tc>
          <w:tcPr>
            <w:tcW w:type="dxa" w:w="3168"/>
            <w:shd w:val="clear" w:color="auto" w:fill="4472C4"/>
          </w:tcPr>
          <w:p>
            <w:pPr>
              <w:jc w:val="center"/>
            </w:pPr>
            <w:r>
              <w:rPr>
                <w:color w:val="FFFFFF"/>
              </w:rPr>
            </w:r>
            <w:r>
              <w:rPr>
                <w:b/>
                <w:sz w:val="18"/>
              </w:rPr>
              <w:t>Partida (EUR)</w:t>
            </w:r>
          </w:p>
        </w:tc>
        <w:tc>
          <w:tcPr>
            <w:tcW w:type="dxa" w:w="2232"/>
            <w:shd w:val="clear" w:color="auto" w:fill="4472C4"/>
          </w:tcPr>
          <w:p>
            <w:pPr>
              <w:jc w:val="center"/>
            </w:pPr>
            <w:r>
              <w:rPr>
                <w:color w:val="FFFFFF"/>
              </w:rPr>
            </w:r>
            <w:r>
              <w:rPr>
                <w:b/>
                <w:sz w:val="18"/>
              </w:rPr>
              <w:t>Grupo Tasfor</w:t>
            </w:r>
          </w:p>
        </w:tc>
        <w:tc>
          <w:tcPr>
            <w:tcW w:type="dxa" w:w="2232"/>
            <w:shd w:val="clear" w:color="auto" w:fill="4472C4"/>
          </w:tcPr>
          <w:p>
            <w:pPr>
              <w:jc w:val="center"/>
            </w:pPr>
            <w:r>
              <w:rPr>
                <w:color w:val="FFFFFF"/>
              </w:rPr>
            </w:r>
            <w:r>
              <w:rPr>
                <w:b/>
                <w:sz w:val="18"/>
              </w:rPr>
              <w:t>Rastreator</w:t>
            </w:r>
          </w:p>
        </w:tc>
        <w:tc>
          <w:tcPr>
            <w:tcW w:type="dxa" w:w="2232"/>
            <w:shd w:val="clear" w:color="auto" w:fill="4472C4"/>
          </w:tcPr>
          <w:p>
            <w:pPr>
              <w:jc w:val="center"/>
            </w:pPr>
            <w:r>
              <w:rPr>
                <w:color w:val="FFFFFF"/>
              </w:rPr>
            </w:r>
            <w:r>
              <w:rPr>
                <w:b/>
                <w:sz w:val="18"/>
              </w:rPr>
              <w:t>Selectra (Profielectra SL)</w:t>
            </w:r>
          </w:p>
        </w:tc>
        <w:tc>
          <w:tcPr>
            <w:tcW w:type="dxa" w:w="2232"/>
            <w:shd w:val="clear" w:color="auto" w:fill="4472C4"/>
          </w:tcPr>
          <w:p>
            <w:pPr>
              <w:jc w:val="center"/>
            </w:pPr>
            <w:r>
              <w:rPr>
                <w:color w:val="FFFFFF"/>
              </w:rPr>
            </w:r>
            <w:r>
              <w:rPr>
                <w:b/>
                <w:sz w:val="18"/>
              </w:rPr>
              <w:t>Watiofy</w:t>
            </w:r>
          </w:p>
        </w:tc>
      </w:tr>
      <w:tr>
        <w:tc>
          <w:tcPr>
            <w:tcW w:type="dxa" w:w="3168"/>
          </w:tcPr>
          <w:p>
            <w:r/>
            <w:r>
              <w:rPr>
                <w:b w:val="0"/>
                <w:sz w:val="18"/>
              </w:rPr>
              <w:t>Cifra de Ventas</w:t>
            </w:r>
          </w:p>
        </w:tc>
        <w:tc>
          <w:tcPr>
            <w:tcW w:type="dxa" w:w="2232"/>
          </w:tcPr>
          <w:p>
            <w:pPr>
              <w:jc w:val="center"/>
            </w:pPr>
            <w:r/>
            <w:r>
              <w:rPr>
                <w:b w:val="0"/>
                <w:sz w:val="18"/>
              </w:rPr>
              <w:t>1,893,477</w:t>
            </w:r>
          </w:p>
        </w:tc>
        <w:tc>
          <w:tcPr>
            <w:tcW w:type="dxa" w:w="2232"/>
          </w:tcPr>
          <w:p>
            <w:pPr>
              <w:jc w:val="center"/>
            </w:pPr>
            <w:r/>
            <w:r>
              <w:rPr>
                <w:b w:val="0"/>
                <w:sz w:val="18"/>
              </w:rPr>
              <w:t>34,805,639</w:t>
            </w:r>
          </w:p>
        </w:tc>
        <w:tc>
          <w:tcPr>
            <w:tcW w:type="dxa" w:w="2232"/>
          </w:tcPr>
          <w:p>
            <w:pPr>
              <w:jc w:val="center"/>
            </w:pPr>
            <w:r/>
            <w:r>
              <w:rPr>
                <w:b w:val="0"/>
                <w:sz w:val="18"/>
              </w:rPr>
              <w:t>38,923,197</w:t>
            </w:r>
          </w:p>
        </w:tc>
        <w:tc>
          <w:tcPr>
            <w:tcW w:type="dxa" w:w="2232"/>
          </w:tcPr>
          <w:p>
            <w:pPr>
              <w:jc w:val="center"/>
            </w:pPr>
            <w:r/>
            <w:r>
              <w:rPr>
                <w:b w:val="0"/>
                <w:sz w:val="18"/>
              </w:rPr>
              <w:t>139,934</w:t>
            </w:r>
          </w:p>
        </w:tc>
      </w:tr>
      <w:tr>
        <w:tc>
          <w:tcPr>
            <w:tcW w:type="dxa" w:w="3168"/>
          </w:tcPr>
          <w:p>
            <w:r/>
            <w:r>
              <w:rPr>
                <w:b w:val="0"/>
                <w:sz w:val="18"/>
              </w:rPr>
              <w:t>EBIT</w:t>
            </w:r>
          </w:p>
        </w:tc>
        <w:tc>
          <w:tcPr>
            <w:tcW w:type="dxa" w:w="2232"/>
          </w:tcPr>
          <w:p>
            <w:pPr>
              <w:jc w:val="center"/>
            </w:pPr>
            <w:r/>
            <w:r>
              <w:rPr>
                <w:b w:val="0"/>
                <w:sz w:val="18"/>
              </w:rPr>
              <w:t>225,446</w:t>
            </w:r>
          </w:p>
        </w:tc>
        <w:tc>
          <w:tcPr>
            <w:tcW w:type="dxa" w:w="2232"/>
          </w:tcPr>
          <w:p>
            <w:pPr>
              <w:jc w:val="center"/>
            </w:pPr>
            <w:r/>
            <w:r>
              <w:rPr>
                <w:b w:val="0"/>
                <w:sz w:val="18"/>
              </w:rPr>
              <w:t>5,822,342</w:t>
            </w:r>
          </w:p>
        </w:tc>
        <w:tc>
          <w:tcPr>
            <w:tcW w:type="dxa" w:w="2232"/>
          </w:tcPr>
          <w:p>
            <w:pPr>
              <w:jc w:val="center"/>
            </w:pPr>
            <w:r/>
            <w:r>
              <w:rPr>
                <w:b w:val="0"/>
                <w:sz w:val="18"/>
              </w:rPr>
              <w:t>1,698,661</w:t>
            </w:r>
          </w:p>
        </w:tc>
        <w:tc>
          <w:tcPr>
            <w:tcW w:type="dxa" w:w="2232"/>
          </w:tcPr>
          <w:p>
            <w:pPr>
              <w:jc w:val="center"/>
            </w:pPr>
            <w:r/>
            <w:r>
              <w:rPr>
                <w:b w:val="0"/>
                <w:sz w:val="18"/>
              </w:rPr>
              <w:t>8,660</w:t>
            </w:r>
          </w:p>
        </w:tc>
      </w:tr>
      <w:tr>
        <w:tc>
          <w:tcPr>
            <w:tcW w:type="dxa" w:w="3168"/>
          </w:tcPr>
          <w:p>
            <w:r/>
            <w:r>
              <w:rPr>
                <w:b w:val="0"/>
                <w:sz w:val="18"/>
              </w:rPr>
              <w:t>EBITDA</w:t>
            </w:r>
          </w:p>
        </w:tc>
        <w:tc>
          <w:tcPr>
            <w:tcW w:type="dxa" w:w="2232"/>
          </w:tcPr>
          <w:p>
            <w:pPr>
              <w:jc w:val="center"/>
            </w:pPr>
            <w:r/>
            <w:r>
              <w:rPr>
                <w:b w:val="0"/>
                <w:sz w:val="18"/>
              </w:rPr>
              <w:t>239,895</w:t>
            </w:r>
          </w:p>
        </w:tc>
        <w:tc>
          <w:tcPr>
            <w:tcW w:type="dxa" w:w="2232"/>
          </w:tcPr>
          <w:p>
            <w:pPr>
              <w:jc w:val="center"/>
            </w:pPr>
            <w:r/>
            <w:r>
              <w:rPr>
                <w:b w:val="0"/>
                <w:sz w:val="18"/>
              </w:rPr>
              <w:t>7,725,169</w:t>
            </w:r>
          </w:p>
        </w:tc>
        <w:tc>
          <w:tcPr>
            <w:tcW w:type="dxa" w:w="2232"/>
          </w:tcPr>
          <w:p>
            <w:pPr>
              <w:jc w:val="center"/>
            </w:pPr>
            <w:r/>
            <w:r>
              <w:rPr>
                <w:b w:val="0"/>
                <w:sz w:val="18"/>
              </w:rPr>
              <w:t>1,979,544</w:t>
            </w:r>
          </w:p>
        </w:tc>
        <w:tc>
          <w:tcPr>
            <w:tcW w:type="dxa" w:w="2232"/>
          </w:tcPr>
          <w:p>
            <w:pPr>
              <w:jc w:val="center"/>
            </w:pPr>
            <w:r/>
            <w:r>
              <w:rPr>
                <w:b w:val="0"/>
                <w:sz w:val="18"/>
              </w:rPr>
              <w:t>51,187</w:t>
            </w:r>
          </w:p>
        </w:tc>
      </w:tr>
      <w:tr>
        <w:tc>
          <w:tcPr>
            <w:tcW w:type="dxa" w:w="3168"/>
          </w:tcPr>
          <w:p>
            <w:r/>
            <w:r>
              <w:rPr>
                <w:b w:val="0"/>
                <w:sz w:val="18"/>
              </w:rPr>
              <w:t>Resultado del Ejercicio</w:t>
            </w:r>
          </w:p>
        </w:tc>
        <w:tc>
          <w:tcPr>
            <w:tcW w:type="dxa" w:w="2232"/>
          </w:tcPr>
          <w:p>
            <w:pPr>
              <w:jc w:val="center"/>
            </w:pPr>
            <w:r/>
            <w:r>
              <w:rPr>
                <w:b w:val="0"/>
                <w:sz w:val="18"/>
              </w:rPr>
              <w:t>170,221</w:t>
            </w:r>
          </w:p>
        </w:tc>
        <w:tc>
          <w:tcPr>
            <w:tcW w:type="dxa" w:w="2232"/>
          </w:tcPr>
          <w:p>
            <w:pPr>
              <w:jc w:val="center"/>
            </w:pPr>
            <w:r/>
            <w:r>
              <w:rPr>
                <w:b w:val="0"/>
                <w:sz w:val="18"/>
              </w:rPr>
              <w:t>4,504,782</w:t>
            </w:r>
          </w:p>
        </w:tc>
        <w:tc>
          <w:tcPr>
            <w:tcW w:type="dxa" w:w="2232"/>
          </w:tcPr>
          <w:p>
            <w:pPr>
              <w:jc w:val="center"/>
            </w:pPr>
            <w:r/>
            <w:r>
              <w:rPr>
                <w:b w:val="0"/>
                <w:sz w:val="18"/>
              </w:rPr>
              <w:t>2,753,424</w:t>
            </w:r>
          </w:p>
        </w:tc>
        <w:tc>
          <w:tcPr>
            <w:tcW w:type="dxa" w:w="2232"/>
          </w:tcPr>
          <w:p>
            <w:pPr>
              <w:jc w:val="center"/>
            </w:pPr>
            <w:r/>
            <w:r>
              <w:rPr>
                <w:b w:val="0"/>
                <w:sz w:val="18"/>
              </w:rPr>
              <w:t>4,966</w:t>
            </w:r>
          </w:p>
        </w:tc>
      </w:tr>
      <w:tr>
        <w:tc>
          <w:tcPr>
            <w:tcW w:type="dxa" w:w="3168"/>
          </w:tcPr>
          <w:p>
            <w:r/>
            <w:r>
              <w:rPr>
                <w:b w:val="0"/>
                <w:sz w:val="18"/>
              </w:rPr>
              <w:t>Total Activo</w:t>
            </w:r>
          </w:p>
        </w:tc>
        <w:tc>
          <w:tcPr>
            <w:tcW w:type="dxa" w:w="2232"/>
          </w:tcPr>
          <w:p>
            <w:pPr>
              <w:jc w:val="center"/>
            </w:pPr>
            <w:r/>
            <w:r>
              <w:rPr>
                <w:b w:val="0"/>
                <w:sz w:val="18"/>
              </w:rPr>
              <w:t>773,673</w:t>
            </w:r>
          </w:p>
        </w:tc>
        <w:tc>
          <w:tcPr>
            <w:tcW w:type="dxa" w:w="2232"/>
          </w:tcPr>
          <w:p>
            <w:pPr>
              <w:jc w:val="center"/>
            </w:pPr>
            <w:r/>
            <w:r>
              <w:rPr>
                <w:b w:val="0"/>
                <w:sz w:val="18"/>
              </w:rPr>
              <w:t>26,616,240</w:t>
            </w:r>
          </w:p>
        </w:tc>
        <w:tc>
          <w:tcPr>
            <w:tcW w:type="dxa" w:w="2232"/>
          </w:tcPr>
          <w:p>
            <w:pPr>
              <w:jc w:val="center"/>
            </w:pPr>
            <w:r/>
            <w:r>
              <w:rPr>
                <w:b w:val="0"/>
                <w:sz w:val="18"/>
              </w:rPr>
              <w:t>20,708,113</w:t>
            </w:r>
          </w:p>
        </w:tc>
        <w:tc>
          <w:tcPr>
            <w:tcW w:type="dxa" w:w="2232"/>
          </w:tcPr>
          <w:p>
            <w:pPr>
              <w:jc w:val="center"/>
            </w:pPr>
            <w:r/>
            <w:r>
              <w:rPr>
                <w:b w:val="0"/>
                <w:sz w:val="18"/>
              </w:rPr>
              <w:t>748,298</w:t>
            </w:r>
          </w:p>
        </w:tc>
      </w:tr>
      <w:tr>
        <w:tc>
          <w:tcPr>
            <w:tcW w:type="dxa" w:w="3168"/>
          </w:tcPr>
          <w:p>
            <w:r/>
            <w:r>
              <w:rPr>
                <w:b w:val="0"/>
                <w:sz w:val="18"/>
              </w:rPr>
              <w:t>Fondos Propios</w:t>
            </w:r>
          </w:p>
        </w:tc>
        <w:tc>
          <w:tcPr>
            <w:tcW w:type="dxa" w:w="2232"/>
          </w:tcPr>
          <w:p>
            <w:pPr>
              <w:jc w:val="center"/>
            </w:pPr>
            <w:r/>
            <w:r>
              <w:rPr>
                <w:b w:val="0"/>
                <w:sz w:val="18"/>
              </w:rPr>
              <w:t>440,404</w:t>
            </w:r>
          </w:p>
        </w:tc>
        <w:tc>
          <w:tcPr>
            <w:tcW w:type="dxa" w:w="2232"/>
          </w:tcPr>
          <w:p>
            <w:pPr>
              <w:jc w:val="center"/>
            </w:pPr>
            <w:r/>
            <w:r>
              <w:rPr>
                <w:b w:val="0"/>
                <w:sz w:val="18"/>
              </w:rPr>
              <w:t>20,459,841</w:t>
            </w:r>
          </w:p>
        </w:tc>
        <w:tc>
          <w:tcPr>
            <w:tcW w:type="dxa" w:w="2232"/>
          </w:tcPr>
          <w:p>
            <w:pPr>
              <w:jc w:val="center"/>
            </w:pPr>
            <w:r/>
            <w:r>
              <w:rPr>
                <w:b w:val="0"/>
                <w:sz w:val="18"/>
              </w:rPr>
              <w:t>16,155,767</w:t>
            </w:r>
          </w:p>
        </w:tc>
        <w:tc>
          <w:tcPr>
            <w:tcW w:type="dxa" w:w="2232"/>
          </w:tcPr>
          <w:p>
            <w:pPr>
              <w:jc w:val="center"/>
            </w:pPr>
            <w:r/>
            <w:r>
              <w:rPr>
                <w:b w:val="0"/>
                <w:sz w:val="18"/>
              </w:rPr>
              <w:t>526,745</w:t>
            </w:r>
          </w:p>
        </w:tc>
      </w:tr>
      <w:tr>
        <w:tc>
          <w:tcPr>
            <w:tcW w:type="dxa" w:w="3168"/>
          </w:tcPr>
          <w:p>
            <w:r/>
            <w:r>
              <w:rPr>
                <w:b w:val="0"/>
                <w:sz w:val="18"/>
              </w:rPr>
              <w:t>Activo No Corriente</w:t>
            </w:r>
          </w:p>
        </w:tc>
        <w:tc>
          <w:tcPr>
            <w:tcW w:type="dxa" w:w="2232"/>
          </w:tcPr>
          <w:p>
            <w:pPr>
              <w:jc w:val="center"/>
            </w:pPr>
            <w:r/>
            <w:r>
              <w:rPr>
                <w:b w:val="0"/>
                <w:sz w:val="18"/>
              </w:rPr>
              <w:t>92,427</w:t>
            </w:r>
          </w:p>
        </w:tc>
        <w:tc>
          <w:tcPr>
            <w:tcW w:type="dxa" w:w="2232"/>
          </w:tcPr>
          <w:p>
            <w:pPr>
              <w:jc w:val="center"/>
            </w:pPr>
            <w:r/>
            <w:r>
              <w:rPr>
                <w:b w:val="0"/>
                <w:sz w:val="18"/>
              </w:rPr>
              <w:t>12,943,615</w:t>
            </w:r>
          </w:p>
        </w:tc>
        <w:tc>
          <w:tcPr>
            <w:tcW w:type="dxa" w:w="2232"/>
          </w:tcPr>
          <w:p>
            <w:pPr>
              <w:jc w:val="center"/>
            </w:pPr>
            <w:r/>
            <w:r>
              <w:rPr>
                <w:b w:val="0"/>
                <w:sz w:val="18"/>
              </w:rPr>
              <w:t>8,627,534</w:t>
            </w:r>
          </w:p>
        </w:tc>
        <w:tc>
          <w:tcPr>
            <w:tcW w:type="dxa" w:w="2232"/>
          </w:tcPr>
          <w:p>
            <w:pPr>
              <w:jc w:val="center"/>
            </w:pPr>
            <w:r/>
            <w:r>
              <w:rPr>
                <w:b w:val="0"/>
                <w:sz w:val="18"/>
              </w:rPr>
              <w:t>725,030</w:t>
            </w:r>
          </w:p>
        </w:tc>
      </w:tr>
      <w:tr>
        <w:tc>
          <w:tcPr>
            <w:tcW w:type="dxa" w:w="3168"/>
          </w:tcPr>
          <w:p>
            <w:r/>
            <w:r>
              <w:rPr>
                <w:b w:val="0"/>
                <w:sz w:val="18"/>
              </w:rPr>
              <w:t>Activo Corriente</w:t>
            </w:r>
          </w:p>
        </w:tc>
        <w:tc>
          <w:tcPr>
            <w:tcW w:type="dxa" w:w="2232"/>
          </w:tcPr>
          <w:p>
            <w:pPr>
              <w:jc w:val="center"/>
            </w:pPr>
            <w:r/>
            <w:r>
              <w:rPr>
                <w:b w:val="0"/>
                <w:sz w:val="18"/>
              </w:rPr>
              <w:t>681,246</w:t>
            </w:r>
          </w:p>
        </w:tc>
        <w:tc>
          <w:tcPr>
            <w:tcW w:type="dxa" w:w="2232"/>
          </w:tcPr>
          <w:p>
            <w:pPr>
              <w:jc w:val="center"/>
            </w:pPr>
            <w:r/>
            <w:r>
              <w:rPr>
                <w:b w:val="0"/>
                <w:sz w:val="18"/>
              </w:rPr>
              <w:t>13,672,625</w:t>
            </w:r>
          </w:p>
        </w:tc>
        <w:tc>
          <w:tcPr>
            <w:tcW w:type="dxa" w:w="2232"/>
          </w:tcPr>
          <w:p>
            <w:pPr>
              <w:jc w:val="center"/>
            </w:pPr>
            <w:r/>
            <w:r>
              <w:rPr>
                <w:b w:val="0"/>
                <w:sz w:val="18"/>
              </w:rPr>
              <w:t>12,080,579</w:t>
            </w:r>
          </w:p>
        </w:tc>
        <w:tc>
          <w:tcPr>
            <w:tcW w:type="dxa" w:w="2232"/>
          </w:tcPr>
          <w:p>
            <w:pPr>
              <w:jc w:val="center"/>
            </w:pPr>
            <w:r/>
            <w:r>
              <w:rPr>
                <w:b w:val="0"/>
                <w:sz w:val="18"/>
              </w:rPr>
              <w:t>23,268</w:t>
            </w:r>
          </w:p>
        </w:tc>
      </w:tr>
      <w:tr>
        <w:tc>
          <w:tcPr>
            <w:tcW w:type="dxa" w:w="3168"/>
          </w:tcPr>
          <w:p>
            <w:r/>
            <w:r>
              <w:rPr>
                <w:b w:val="0"/>
                <w:sz w:val="18"/>
              </w:rPr>
              <w:t>Pasivo No Corriente</w:t>
            </w:r>
          </w:p>
        </w:tc>
        <w:tc>
          <w:tcPr>
            <w:tcW w:type="dxa" w:w="2232"/>
          </w:tcPr>
          <w:p>
            <w:pPr>
              <w:jc w:val="center"/>
            </w:pPr>
            <w:r/>
            <w:r>
              <w:rPr>
                <w:b w:val="0"/>
                <w:sz w:val="18"/>
              </w:rPr>
              <w:t>141,297</w:t>
            </w:r>
          </w:p>
        </w:tc>
        <w:tc>
          <w:tcPr>
            <w:tcW w:type="dxa" w:w="2232"/>
          </w:tcPr>
          <w:p>
            <w:pPr>
              <w:jc w:val="center"/>
            </w:pPr>
            <w:r/>
            <w:r>
              <w:rPr>
                <w:b w:val="0"/>
                <w:sz w:val="18"/>
              </w:rPr>
              <w:t>366,409</w:t>
            </w:r>
          </w:p>
        </w:tc>
        <w:tc>
          <w:tcPr>
            <w:tcW w:type="dxa" w:w="2232"/>
          </w:tcPr>
          <w:p>
            <w:pPr>
              <w:jc w:val="center"/>
            </w:pPr>
            <w:r/>
            <w:r>
              <w:rPr>
                <w:b w:val="0"/>
                <w:sz w:val="18"/>
              </w:rPr>
              <w:t>26,251</w:t>
            </w:r>
          </w:p>
        </w:tc>
        <w:tc>
          <w:tcPr>
            <w:tcW w:type="dxa" w:w="2232"/>
          </w:tcPr>
          <w:p>
            <w:pPr>
              <w:jc w:val="center"/>
            </w:pPr>
            <w:r/>
            <w:r>
              <w:rPr>
                <w:b w:val="0"/>
                <w:sz w:val="18"/>
              </w:rPr>
              <w:t>131,151</w:t>
            </w:r>
          </w:p>
        </w:tc>
      </w:tr>
      <w:tr>
        <w:tc>
          <w:tcPr>
            <w:tcW w:type="dxa" w:w="3168"/>
          </w:tcPr>
          <w:p>
            <w:r/>
            <w:r>
              <w:rPr>
                <w:b w:val="0"/>
                <w:sz w:val="18"/>
              </w:rPr>
              <w:t>Pasivo Corriente</w:t>
            </w:r>
          </w:p>
        </w:tc>
        <w:tc>
          <w:tcPr>
            <w:tcW w:type="dxa" w:w="2232"/>
          </w:tcPr>
          <w:p>
            <w:pPr>
              <w:jc w:val="center"/>
            </w:pPr>
            <w:r/>
            <w:r>
              <w:rPr>
                <w:b w:val="0"/>
                <w:sz w:val="18"/>
              </w:rPr>
              <w:t>191,972</w:t>
            </w:r>
          </w:p>
        </w:tc>
        <w:tc>
          <w:tcPr>
            <w:tcW w:type="dxa" w:w="2232"/>
          </w:tcPr>
          <w:p>
            <w:pPr>
              <w:jc w:val="center"/>
            </w:pPr>
            <w:r/>
            <w:r>
              <w:rPr>
                <w:b w:val="0"/>
                <w:sz w:val="18"/>
              </w:rPr>
              <w:t>5,789,990</w:t>
            </w:r>
          </w:p>
        </w:tc>
        <w:tc>
          <w:tcPr>
            <w:tcW w:type="dxa" w:w="2232"/>
          </w:tcPr>
          <w:p>
            <w:pPr>
              <w:jc w:val="center"/>
            </w:pPr>
            <w:r/>
            <w:r>
              <w:rPr>
                <w:b w:val="0"/>
                <w:sz w:val="18"/>
              </w:rPr>
              <w:t>4,526,095</w:t>
            </w:r>
          </w:p>
        </w:tc>
        <w:tc>
          <w:tcPr>
            <w:tcW w:type="dxa" w:w="2232"/>
          </w:tcPr>
          <w:p>
            <w:pPr>
              <w:jc w:val="center"/>
            </w:pPr>
            <w:r/>
            <w:r>
              <w:rPr>
                <w:b w:val="0"/>
                <w:sz w:val="18"/>
              </w:rPr>
              <w:t>90,402</w:t>
            </w:r>
          </w:p>
        </w:tc>
      </w:tr>
      <w:tr>
        <w:tc>
          <w:tcPr>
            <w:tcW w:type="dxa" w:w="3168"/>
          </w:tcPr>
          <w:p>
            <w:r/>
            <w:r>
              <w:rPr>
                <w:b w:val="0"/>
                <w:sz w:val="18"/>
              </w:rPr>
              <w:t>Tesorería</w:t>
            </w:r>
          </w:p>
        </w:tc>
        <w:tc>
          <w:tcPr>
            <w:tcW w:type="dxa" w:w="2232"/>
          </w:tcPr>
          <w:p>
            <w:pPr>
              <w:jc w:val="center"/>
            </w:pPr>
            <w:r/>
            <w:r>
              <w:rPr>
                <w:b w:val="0"/>
                <w:sz w:val="18"/>
              </w:rPr>
              <w:t>544,715</w:t>
            </w:r>
          </w:p>
        </w:tc>
        <w:tc>
          <w:tcPr>
            <w:tcW w:type="dxa" w:w="2232"/>
          </w:tcPr>
          <w:p>
            <w:pPr>
              <w:jc w:val="center"/>
            </w:pPr>
            <w:r/>
            <w:r>
              <w:rPr>
                <w:b w:val="0"/>
                <w:sz w:val="18"/>
              </w:rPr>
              <w:t>2,677,596</w:t>
            </w:r>
          </w:p>
        </w:tc>
        <w:tc>
          <w:tcPr>
            <w:tcW w:type="dxa" w:w="2232"/>
          </w:tcPr>
          <w:p>
            <w:pPr>
              <w:jc w:val="center"/>
            </w:pPr>
            <w:r/>
            <w:r>
              <w:rPr>
                <w:b w:val="0"/>
                <w:sz w:val="18"/>
              </w:rPr>
              <w:t>3,598,297</w:t>
            </w:r>
          </w:p>
        </w:tc>
        <w:tc>
          <w:tcPr>
            <w:tcW w:type="dxa" w:w="2232"/>
          </w:tcPr>
          <w:p>
            <w:pPr>
              <w:jc w:val="center"/>
            </w:pPr>
            <w:r/>
            <w:r>
              <w:rPr>
                <w:b w:val="0"/>
                <w:sz w:val="18"/>
              </w:rPr>
              <w:t>9,518</w:t>
            </w:r>
          </w:p>
        </w:tc>
      </w:tr>
    </w:tbl>
    <w:p>
      <w:pPr>
        <w:spacing w:after="80"/>
      </w:pPr>
    </w:p>
    <w:p>
      <w:pPr>
        <w:pStyle w:val="Heading1"/>
      </w:pPr>
      <w:r>
        <w:t>3. Ratios financieros calculados (2024)</w:t>
      </w:r>
    </w:p>
    <w:tbl>
      <w:tblPr>
        <w:tblStyle w:val="TableGrid"/>
        <w:tblW w:type="auto" w:w="0"/>
        <w:jc w:val="center"/>
        <w:tblLook w:firstColumn="1" w:firstRow="1" w:lastColumn="0" w:lastRow="0" w:noHBand="0" w:noVBand="1" w:val="04A0"/>
      </w:tblPr>
      <w:tblGrid>
        <w:gridCol w:w="1273"/>
        <w:gridCol w:w="1273"/>
        <w:gridCol w:w="1273"/>
        <w:gridCol w:w="1273"/>
        <w:gridCol w:w="1273"/>
        <w:gridCol w:w="1273"/>
        <w:gridCol w:w="1273"/>
        <w:gridCol w:w="1273"/>
      </w:tblGrid>
      <w:tr>
        <w:tc>
          <w:tcPr>
            <w:tcW w:type="dxa" w:w="2736"/>
            <w:shd w:val="clear" w:color="auto" w:fill="4472C4"/>
          </w:tcPr>
          <w:p>
            <w:pPr>
              <w:jc w:val="center"/>
            </w:pPr>
            <w:r>
              <w:rPr>
                <w:color w:val="FFFFFF"/>
              </w:rPr>
            </w:r>
            <w:r>
              <w:rPr>
                <w:b/>
                <w:sz w:val="18"/>
              </w:rPr>
              <w:t>Ratio</w:t>
            </w:r>
          </w:p>
        </w:tc>
        <w:tc>
          <w:tcPr>
            <w:tcW w:type="dxa" w:w="1368"/>
            <w:shd w:val="clear" w:color="auto" w:fill="4472C4"/>
          </w:tcPr>
          <w:p>
            <w:pPr>
              <w:jc w:val="center"/>
            </w:pPr>
            <w:r>
              <w:rPr>
                <w:color w:val="FFFFFF"/>
              </w:rPr>
            </w:r>
            <w:r>
              <w:rPr>
                <w:b/>
                <w:sz w:val="18"/>
              </w:rPr>
              <w:t>Grupo Tasfor</w:t>
            </w:r>
          </w:p>
        </w:tc>
        <w:tc>
          <w:tcPr>
            <w:tcW w:type="dxa" w:w="1368"/>
            <w:shd w:val="clear" w:color="auto" w:fill="4472C4"/>
          </w:tcPr>
          <w:p>
            <w:pPr>
              <w:jc w:val="center"/>
            </w:pPr>
            <w:r>
              <w:rPr>
                <w:color w:val="FFFFFF"/>
              </w:rPr>
            </w:r>
            <w:r>
              <w:rPr>
                <w:b/>
                <w:sz w:val="18"/>
              </w:rPr>
              <w:t>Rastreator</w:t>
            </w:r>
          </w:p>
        </w:tc>
        <w:tc>
          <w:tcPr>
            <w:tcW w:type="dxa" w:w="1368"/>
            <w:shd w:val="clear" w:color="auto" w:fill="4472C4"/>
          </w:tcPr>
          <w:p>
            <w:pPr>
              <w:jc w:val="center"/>
            </w:pPr>
            <w:r>
              <w:rPr>
                <w:color w:val="FFFFFF"/>
              </w:rPr>
            </w:r>
            <w:r>
              <w:rPr>
                <w:b/>
                <w:sz w:val="18"/>
              </w:rPr>
              <w:t>Selectra (Profielectra SL)</w:t>
            </w:r>
          </w:p>
        </w:tc>
        <w:tc>
          <w:tcPr>
            <w:tcW w:type="dxa" w:w="1368"/>
            <w:shd w:val="clear" w:color="auto" w:fill="4472C4"/>
          </w:tcPr>
          <w:p>
            <w:pPr>
              <w:jc w:val="center"/>
            </w:pPr>
            <w:r>
              <w:rPr>
                <w:color w:val="FFFFFF"/>
              </w:rPr>
            </w:r>
            <w:r>
              <w:rPr>
                <w:b/>
                <w:sz w:val="18"/>
              </w:rPr>
              <w:t>Watiofy</w:t>
            </w:r>
          </w:p>
        </w:tc>
        <w:tc>
          <w:tcPr>
            <w:tcW w:type="dxa" w:w="1368"/>
            <w:shd w:val="clear" w:color="auto" w:fill="4472C4"/>
          </w:tcPr>
          <w:p>
            <w:pPr>
              <w:jc w:val="center"/>
            </w:pPr>
            <w:r>
              <w:rPr>
                <w:color w:val="FFFFFF"/>
              </w:rPr>
            </w:r>
            <w:r>
              <w:rPr>
                <w:b/>
                <w:sz w:val="18"/>
              </w:rPr>
              <w:t>Media (4)</w:t>
            </w:r>
          </w:p>
        </w:tc>
        <w:tc>
          <w:tcPr>
            <w:tcW w:type="dxa" w:w="1656"/>
            <w:shd w:val="clear" w:color="auto" w:fill="4472C4"/>
          </w:tcPr>
          <w:p>
            <w:pPr>
              <w:jc w:val="center"/>
            </w:pPr>
            <w:r>
              <w:rPr>
                <w:color w:val="FFFFFF"/>
              </w:rPr>
            </w:r>
            <w:r>
              <w:rPr>
                <w:b/>
                <w:sz w:val="18"/>
              </w:rPr>
              <w:t>Media sin Watiofy</w:t>
            </w:r>
          </w:p>
        </w:tc>
        <w:tc>
          <w:tcPr>
            <w:tcW w:type="dxa" w:w="1224"/>
            <w:shd w:val="clear" w:color="auto" w:fill="4472C4"/>
          </w:tcPr>
          <w:p>
            <w:pPr>
              <w:jc w:val="center"/>
            </w:pPr>
            <w:r>
              <w:rPr>
                <w:color w:val="FFFFFF"/>
              </w:rPr>
            </w:r>
            <w:r>
              <w:rPr>
                <w:b/>
                <w:sz w:val="18"/>
              </w:rPr>
              <w:t>Mediana</w:t>
            </w:r>
          </w:p>
        </w:tc>
      </w:tr>
      <w:tr>
        <w:tc>
          <w:tcPr>
            <w:tcW w:type="dxa" w:w="2736"/>
          </w:tcPr>
          <w:p>
            <w:r/>
            <w:r>
              <w:rPr>
                <w:b w:val="0"/>
                <w:sz w:val="18"/>
              </w:rPr>
              <w:t>Nivel de Endeudamiento (%)</w:t>
            </w:r>
          </w:p>
        </w:tc>
        <w:tc>
          <w:tcPr>
            <w:tcW w:type="dxa" w:w="1368"/>
          </w:tcPr>
          <w:p>
            <w:pPr>
              <w:jc w:val="center"/>
            </w:pPr>
            <w:r/>
            <w:r>
              <w:rPr>
                <w:b w:val="0"/>
                <w:sz w:val="18"/>
              </w:rPr>
              <w:t>43.08</w:t>
            </w:r>
          </w:p>
        </w:tc>
        <w:tc>
          <w:tcPr>
            <w:tcW w:type="dxa" w:w="1368"/>
          </w:tcPr>
          <w:p>
            <w:pPr>
              <w:jc w:val="center"/>
            </w:pPr>
            <w:r/>
            <w:r>
              <w:rPr>
                <w:b w:val="0"/>
                <w:sz w:val="18"/>
              </w:rPr>
              <w:t>23.13</w:t>
            </w:r>
          </w:p>
        </w:tc>
        <w:tc>
          <w:tcPr>
            <w:tcW w:type="dxa" w:w="1368"/>
          </w:tcPr>
          <w:p>
            <w:pPr>
              <w:jc w:val="center"/>
            </w:pPr>
            <w:r/>
            <w:r>
              <w:rPr>
                <w:b w:val="0"/>
                <w:sz w:val="18"/>
              </w:rPr>
              <w:t>21.98</w:t>
            </w:r>
          </w:p>
        </w:tc>
        <w:tc>
          <w:tcPr>
            <w:tcW w:type="dxa" w:w="1368"/>
          </w:tcPr>
          <w:p>
            <w:pPr>
              <w:jc w:val="center"/>
            </w:pPr>
            <w:r/>
            <w:r>
              <w:rPr>
                <w:b w:val="0"/>
                <w:sz w:val="18"/>
              </w:rPr>
              <w:t>29.61</w:t>
            </w:r>
          </w:p>
        </w:tc>
        <w:tc>
          <w:tcPr>
            <w:tcW w:type="dxa" w:w="1368"/>
          </w:tcPr>
          <w:p>
            <w:pPr>
              <w:jc w:val="center"/>
            </w:pPr>
            <w:r/>
            <w:r>
              <w:rPr>
                <w:b w:val="0"/>
                <w:sz w:val="18"/>
              </w:rPr>
              <w:t>29.45</w:t>
            </w:r>
          </w:p>
        </w:tc>
        <w:tc>
          <w:tcPr>
            <w:tcW w:type="dxa" w:w="1656"/>
          </w:tcPr>
          <w:p>
            <w:pPr>
              <w:jc w:val="center"/>
            </w:pPr>
            <w:r/>
            <w:r>
              <w:rPr>
                <w:b w:val="0"/>
                <w:sz w:val="18"/>
              </w:rPr>
              <w:t>29.40</w:t>
            </w:r>
          </w:p>
        </w:tc>
        <w:tc>
          <w:tcPr>
            <w:tcW w:type="dxa" w:w="1224"/>
          </w:tcPr>
          <w:p>
            <w:pPr>
              <w:jc w:val="center"/>
            </w:pPr>
            <w:r/>
            <w:r>
              <w:rPr>
                <w:b w:val="0"/>
                <w:sz w:val="18"/>
              </w:rPr>
              <w:t>26.37</w:t>
            </w:r>
          </w:p>
        </w:tc>
      </w:tr>
      <w:tr>
        <w:tc>
          <w:tcPr>
            <w:tcW w:type="dxa" w:w="2736"/>
          </w:tcPr>
          <w:p>
            <w:r/>
            <w:r>
              <w:rPr>
                <w:b w:val="0"/>
                <w:sz w:val="18"/>
              </w:rPr>
              <w:t>Ratio Endeudamiento Total (%)</w:t>
            </w:r>
          </w:p>
        </w:tc>
        <w:tc>
          <w:tcPr>
            <w:tcW w:type="dxa" w:w="1368"/>
          </w:tcPr>
          <w:p>
            <w:pPr>
              <w:jc w:val="center"/>
            </w:pPr>
            <w:r/>
            <w:r>
              <w:rPr>
                <w:b w:val="0"/>
                <w:sz w:val="18"/>
              </w:rPr>
              <w:t>75.67</w:t>
            </w:r>
          </w:p>
        </w:tc>
        <w:tc>
          <w:tcPr>
            <w:tcW w:type="dxa" w:w="1368"/>
          </w:tcPr>
          <w:p>
            <w:pPr>
              <w:jc w:val="center"/>
            </w:pPr>
            <w:r/>
            <w:r>
              <w:rPr>
                <w:b w:val="0"/>
                <w:sz w:val="18"/>
              </w:rPr>
              <w:t>30.09</w:t>
            </w:r>
          </w:p>
        </w:tc>
        <w:tc>
          <w:tcPr>
            <w:tcW w:type="dxa" w:w="1368"/>
          </w:tcPr>
          <w:p>
            <w:pPr>
              <w:jc w:val="center"/>
            </w:pPr>
            <w:r/>
            <w:r>
              <w:rPr>
                <w:b w:val="0"/>
                <w:sz w:val="18"/>
              </w:rPr>
              <w:t>28.18</w:t>
            </w:r>
          </w:p>
        </w:tc>
        <w:tc>
          <w:tcPr>
            <w:tcW w:type="dxa" w:w="1368"/>
          </w:tcPr>
          <w:p>
            <w:pPr>
              <w:jc w:val="center"/>
            </w:pPr>
            <w:r/>
            <w:r>
              <w:rPr>
                <w:b w:val="0"/>
                <w:sz w:val="18"/>
              </w:rPr>
              <w:t>42.06</w:t>
            </w:r>
          </w:p>
        </w:tc>
        <w:tc>
          <w:tcPr>
            <w:tcW w:type="dxa" w:w="1368"/>
          </w:tcPr>
          <w:p>
            <w:pPr>
              <w:jc w:val="center"/>
            </w:pPr>
            <w:r/>
            <w:r>
              <w:rPr>
                <w:b w:val="0"/>
                <w:sz w:val="18"/>
              </w:rPr>
              <w:t>44.00</w:t>
            </w:r>
          </w:p>
        </w:tc>
        <w:tc>
          <w:tcPr>
            <w:tcW w:type="dxa" w:w="1656"/>
          </w:tcPr>
          <w:p>
            <w:pPr>
              <w:jc w:val="center"/>
            </w:pPr>
            <w:r/>
            <w:r>
              <w:rPr>
                <w:b w:val="0"/>
                <w:sz w:val="18"/>
              </w:rPr>
              <w:t>44.65</w:t>
            </w:r>
          </w:p>
        </w:tc>
        <w:tc>
          <w:tcPr>
            <w:tcW w:type="dxa" w:w="1224"/>
          </w:tcPr>
          <w:p>
            <w:pPr>
              <w:jc w:val="center"/>
            </w:pPr>
            <w:r/>
            <w:r>
              <w:rPr>
                <w:b w:val="0"/>
                <w:sz w:val="18"/>
              </w:rPr>
              <w:t>36.08</w:t>
            </w:r>
          </w:p>
        </w:tc>
      </w:tr>
      <w:tr>
        <w:tc>
          <w:tcPr>
            <w:tcW w:type="dxa" w:w="2736"/>
          </w:tcPr>
          <w:p>
            <w:r/>
            <w:r>
              <w:rPr>
                <w:b w:val="0"/>
                <w:sz w:val="18"/>
              </w:rPr>
              <w:t>Solvencia Total</w:t>
            </w:r>
          </w:p>
        </w:tc>
        <w:tc>
          <w:tcPr>
            <w:tcW w:type="dxa" w:w="1368"/>
          </w:tcPr>
          <w:p>
            <w:pPr>
              <w:jc w:val="center"/>
            </w:pPr>
            <w:r/>
            <w:r>
              <w:rPr>
                <w:b w:val="0"/>
                <w:sz w:val="18"/>
              </w:rPr>
              <w:t>2.32</w:t>
            </w:r>
          </w:p>
        </w:tc>
        <w:tc>
          <w:tcPr>
            <w:tcW w:type="dxa" w:w="1368"/>
          </w:tcPr>
          <w:p>
            <w:pPr>
              <w:jc w:val="center"/>
            </w:pPr>
            <w:r/>
            <w:r>
              <w:rPr>
                <w:b w:val="0"/>
                <w:sz w:val="18"/>
              </w:rPr>
              <w:t>4.32</w:t>
            </w:r>
          </w:p>
        </w:tc>
        <w:tc>
          <w:tcPr>
            <w:tcW w:type="dxa" w:w="1368"/>
          </w:tcPr>
          <w:p>
            <w:pPr>
              <w:jc w:val="center"/>
            </w:pPr>
            <w:r/>
            <w:r>
              <w:rPr>
                <w:b w:val="0"/>
                <w:sz w:val="18"/>
              </w:rPr>
              <w:t>4.55</w:t>
            </w:r>
          </w:p>
        </w:tc>
        <w:tc>
          <w:tcPr>
            <w:tcW w:type="dxa" w:w="1368"/>
          </w:tcPr>
          <w:p>
            <w:pPr>
              <w:jc w:val="center"/>
            </w:pPr>
            <w:r/>
            <w:r>
              <w:rPr>
                <w:b w:val="0"/>
                <w:sz w:val="18"/>
              </w:rPr>
              <w:t>3.38</w:t>
            </w:r>
          </w:p>
        </w:tc>
        <w:tc>
          <w:tcPr>
            <w:tcW w:type="dxa" w:w="1368"/>
          </w:tcPr>
          <w:p>
            <w:pPr>
              <w:jc w:val="center"/>
            </w:pPr>
            <w:r/>
            <w:r>
              <w:rPr>
                <w:b w:val="0"/>
                <w:sz w:val="18"/>
              </w:rPr>
              <w:t>3.64</w:t>
            </w:r>
          </w:p>
        </w:tc>
        <w:tc>
          <w:tcPr>
            <w:tcW w:type="dxa" w:w="1656"/>
          </w:tcPr>
          <w:p>
            <w:pPr>
              <w:jc w:val="center"/>
            </w:pPr>
            <w:r/>
            <w:r>
              <w:rPr>
                <w:b w:val="0"/>
                <w:sz w:val="18"/>
              </w:rPr>
              <w:t>3.73</w:t>
            </w:r>
          </w:p>
        </w:tc>
        <w:tc>
          <w:tcPr>
            <w:tcW w:type="dxa" w:w="1224"/>
          </w:tcPr>
          <w:p>
            <w:pPr>
              <w:jc w:val="center"/>
            </w:pPr>
            <w:r/>
            <w:r>
              <w:rPr>
                <w:b w:val="0"/>
                <w:sz w:val="18"/>
              </w:rPr>
              <w:t>3.85</w:t>
            </w:r>
          </w:p>
        </w:tc>
      </w:tr>
      <w:tr>
        <w:tc>
          <w:tcPr>
            <w:tcW w:type="dxa" w:w="2736"/>
          </w:tcPr>
          <w:p>
            <w:r/>
            <w:r>
              <w:rPr>
                <w:b w:val="0"/>
                <w:sz w:val="18"/>
              </w:rPr>
              <w:t>Ratio de Madurez (%)</w:t>
            </w:r>
          </w:p>
        </w:tc>
        <w:tc>
          <w:tcPr>
            <w:tcW w:type="dxa" w:w="1368"/>
          </w:tcPr>
          <w:p>
            <w:pPr>
              <w:jc w:val="center"/>
            </w:pPr>
            <w:r/>
            <w:r>
              <w:rPr>
                <w:b w:val="0"/>
                <w:sz w:val="18"/>
              </w:rPr>
              <w:t>11.95</w:t>
            </w:r>
          </w:p>
        </w:tc>
        <w:tc>
          <w:tcPr>
            <w:tcW w:type="dxa" w:w="1368"/>
          </w:tcPr>
          <w:p>
            <w:pPr>
              <w:jc w:val="center"/>
            </w:pPr>
            <w:r/>
            <w:r>
              <w:rPr>
                <w:b w:val="0"/>
                <w:sz w:val="18"/>
              </w:rPr>
              <w:t>48.63</w:t>
            </w:r>
          </w:p>
        </w:tc>
        <w:tc>
          <w:tcPr>
            <w:tcW w:type="dxa" w:w="1368"/>
          </w:tcPr>
          <w:p>
            <w:pPr>
              <w:jc w:val="center"/>
            </w:pPr>
            <w:r/>
            <w:r>
              <w:rPr>
                <w:b w:val="0"/>
                <w:sz w:val="18"/>
              </w:rPr>
              <w:t>41.66</w:t>
            </w:r>
          </w:p>
        </w:tc>
        <w:tc>
          <w:tcPr>
            <w:tcW w:type="dxa" w:w="1368"/>
          </w:tcPr>
          <w:p>
            <w:pPr>
              <w:jc w:val="center"/>
            </w:pPr>
            <w:r/>
            <w:r>
              <w:rPr>
                <w:b w:val="0"/>
                <w:sz w:val="18"/>
              </w:rPr>
              <w:t>96.89</w:t>
            </w:r>
          </w:p>
        </w:tc>
        <w:tc>
          <w:tcPr>
            <w:tcW w:type="dxa" w:w="1368"/>
          </w:tcPr>
          <w:p>
            <w:pPr>
              <w:jc w:val="center"/>
            </w:pPr>
            <w:r/>
            <w:r>
              <w:rPr>
                <w:b w:val="0"/>
                <w:sz w:val="18"/>
              </w:rPr>
              <w:t>49.78</w:t>
            </w:r>
          </w:p>
        </w:tc>
        <w:tc>
          <w:tcPr>
            <w:tcW w:type="dxa" w:w="1656"/>
          </w:tcPr>
          <w:p>
            <w:pPr>
              <w:jc w:val="center"/>
            </w:pPr>
            <w:r/>
            <w:r>
              <w:rPr>
                <w:b w:val="0"/>
                <w:sz w:val="18"/>
              </w:rPr>
              <w:t>34.08</w:t>
            </w:r>
          </w:p>
        </w:tc>
        <w:tc>
          <w:tcPr>
            <w:tcW w:type="dxa" w:w="1224"/>
          </w:tcPr>
          <w:p>
            <w:pPr>
              <w:jc w:val="center"/>
            </w:pPr>
            <w:r/>
            <w:r>
              <w:rPr>
                <w:b w:val="0"/>
                <w:sz w:val="18"/>
              </w:rPr>
              <w:t>45.14</w:t>
            </w:r>
          </w:p>
        </w:tc>
      </w:tr>
      <w:tr>
        <w:tc>
          <w:tcPr>
            <w:tcW w:type="dxa" w:w="2736"/>
          </w:tcPr>
          <w:p>
            <w:r/>
            <w:r>
              <w:rPr>
                <w:b w:val="0"/>
                <w:sz w:val="18"/>
              </w:rPr>
              <w:t>ROA (%)</w:t>
            </w:r>
          </w:p>
        </w:tc>
        <w:tc>
          <w:tcPr>
            <w:tcW w:type="dxa" w:w="1368"/>
          </w:tcPr>
          <w:p>
            <w:pPr>
              <w:jc w:val="center"/>
            </w:pPr>
            <w:r/>
            <w:r>
              <w:rPr>
                <w:b w:val="0"/>
                <w:sz w:val="18"/>
              </w:rPr>
              <w:t>29.14</w:t>
            </w:r>
          </w:p>
        </w:tc>
        <w:tc>
          <w:tcPr>
            <w:tcW w:type="dxa" w:w="1368"/>
          </w:tcPr>
          <w:p>
            <w:pPr>
              <w:jc w:val="center"/>
            </w:pPr>
            <w:r/>
            <w:r>
              <w:rPr>
                <w:b w:val="0"/>
                <w:sz w:val="18"/>
              </w:rPr>
              <w:t>21.88</w:t>
            </w:r>
          </w:p>
        </w:tc>
        <w:tc>
          <w:tcPr>
            <w:tcW w:type="dxa" w:w="1368"/>
          </w:tcPr>
          <w:p>
            <w:pPr>
              <w:jc w:val="center"/>
            </w:pPr>
            <w:r/>
            <w:r>
              <w:rPr>
                <w:b w:val="0"/>
                <w:sz w:val="18"/>
              </w:rPr>
              <w:t>8.20</w:t>
            </w:r>
          </w:p>
        </w:tc>
        <w:tc>
          <w:tcPr>
            <w:tcW w:type="dxa" w:w="1368"/>
          </w:tcPr>
          <w:p>
            <w:pPr>
              <w:jc w:val="center"/>
            </w:pPr>
            <w:r/>
            <w:r>
              <w:rPr>
                <w:b w:val="0"/>
                <w:sz w:val="18"/>
              </w:rPr>
              <w:t>1.16</w:t>
            </w:r>
          </w:p>
        </w:tc>
        <w:tc>
          <w:tcPr>
            <w:tcW w:type="dxa" w:w="1368"/>
          </w:tcPr>
          <w:p>
            <w:pPr>
              <w:jc w:val="center"/>
            </w:pPr>
            <w:r/>
            <w:r>
              <w:rPr>
                <w:b w:val="0"/>
                <w:sz w:val="18"/>
              </w:rPr>
              <w:t>15.09</w:t>
            </w:r>
          </w:p>
        </w:tc>
        <w:tc>
          <w:tcPr>
            <w:tcW w:type="dxa" w:w="1656"/>
          </w:tcPr>
          <w:p>
            <w:pPr>
              <w:jc w:val="center"/>
            </w:pPr>
            <w:r/>
            <w:r>
              <w:rPr>
                <w:b w:val="0"/>
                <w:sz w:val="18"/>
              </w:rPr>
              <w:t>19.74</w:t>
            </w:r>
          </w:p>
        </w:tc>
        <w:tc>
          <w:tcPr>
            <w:tcW w:type="dxa" w:w="1224"/>
          </w:tcPr>
          <w:p>
            <w:pPr>
              <w:jc w:val="center"/>
            </w:pPr>
            <w:r/>
            <w:r>
              <w:rPr>
                <w:b w:val="0"/>
                <w:sz w:val="18"/>
              </w:rPr>
              <w:t>15.04</w:t>
            </w:r>
          </w:p>
        </w:tc>
      </w:tr>
      <w:tr>
        <w:tc>
          <w:tcPr>
            <w:tcW w:type="dxa" w:w="2736"/>
          </w:tcPr>
          <w:p>
            <w:r/>
            <w:r>
              <w:rPr>
                <w:b w:val="0"/>
                <w:sz w:val="18"/>
              </w:rPr>
              <w:t>ROE (%)</w:t>
            </w:r>
          </w:p>
        </w:tc>
        <w:tc>
          <w:tcPr>
            <w:tcW w:type="dxa" w:w="1368"/>
          </w:tcPr>
          <w:p>
            <w:pPr>
              <w:jc w:val="center"/>
            </w:pPr>
            <w:r/>
            <w:r>
              <w:rPr>
                <w:b w:val="0"/>
                <w:sz w:val="18"/>
              </w:rPr>
              <w:t>38.65</w:t>
            </w:r>
          </w:p>
        </w:tc>
        <w:tc>
          <w:tcPr>
            <w:tcW w:type="dxa" w:w="1368"/>
          </w:tcPr>
          <w:p>
            <w:pPr>
              <w:jc w:val="center"/>
            </w:pPr>
            <w:r/>
            <w:r>
              <w:rPr>
                <w:b w:val="0"/>
                <w:sz w:val="18"/>
              </w:rPr>
              <w:t>22.02</w:t>
            </w:r>
          </w:p>
        </w:tc>
        <w:tc>
          <w:tcPr>
            <w:tcW w:type="dxa" w:w="1368"/>
          </w:tcPr>
          <w:p>
            <w:pPr>
              <w:jc w:val="center"/>
            </w:pPr>
            <w:r/>
            <w:r>
              <w:rPr>
                <w:b w:val="0"/>
                <w:sz w:val="18"/>
              </w:rPr>
              <w:t>17.04</w:t>
            </w:r>
          </w:p>
        </w:tc>
        <w:tc>
          <w:tcPr>
            <w:tcW w:type="dxa" w:w="1368"/>
          </w:tcPr>
          <w:p>
            <w:pPr>
              <w:jc w:val="center"/>
            </w:pPr>
            <w:r/>
            <w:r>
              <w:rPr>
                <w:b w:val="0"/>
                <w:sz w:val="18"/>
              </w:rPr>
              <w:t>0.94</w:t>
            </w:r>
          </w:p>
        </w:tc>
        <w:tc>
          <w:tcPr>
            <w:tcW w:type="dxa" w:w="1368"/>
          </w:tcPr>
          <w:p>
            <w:pPr>
              <w:jc w:val="center"/>
            </w:pPr>
            <w:r/>
            <w:r>
              <w:rPr>
                <w:b w:val="0"/>
                <w:sz w:val="18"/>
              </w:rPr>
              <w:t>19.66</w:t>
            </w:r>
          </w:p>
        </w:tc>
        <w:tc>
          <w:tcPr>
            <w:tcW w:type="dxa" w:w="1656"/>
          </w:tcPr>
          <w:p>
            <w:pPr>
              <w:jc w:val="center"/>
            </w:pPr>
            <w:r/>
            <w:r>
              <w:rPr>
                <w:b w:val="0"/>
                <w:sz w:val="18"/>
              </w:rPr>
              <w:t>25.90</w:t>
            </w:r>
          </w:p>
        </w:tc>
        <w:tc>
          <w:tcPr>
            <w:tcW w:type="dxa" w:w="1224"/>
          </w:tcPr>
          <w:p>
            <w:pPr>
              <w:jc w:val="center"/>
            </w:pPr>
            <w:r/>
            <w:r>
              <w:rPr>
                <w:b w:val="0"/>
                <w:sz w:val="18"/>
              </w:rPr>
              <w:t>19.53</w:t>
            </w:r>
          </w:p>
        </w:tc>
      </w:tr>
      <w:tr>
        <w:tc>
          <w:tcPr>
            <w:tcW w:type="dxa" w:w="2736"/>
          </w:tcPr>
          <w:p>
            <w:r/>
            <w:r>
              <w:rPr>
                <w:b w:val="0"/>
                <w:sz w:val="18"/>
              </w:rPr>
              <w:t>Solvencia Corriente</w:t>
            </w:r>
          </w:p>
        </w:tc>
        <w:tc>
          <w:tcPr>
            <w:tcW w:type="dxa" w:w="1368"/>
          </w:tcPr>
          <w:p>
            <w:pPr>
              <w:jc w:val="center"/>
            </w:pPr>
            <w:r/>
            <w:r>
              <w:rPr>
                <w:b w:val="0"/>
                <w:sz w:val="18"/>
              </w:rPr>
              <w:t>3.55</w:t>
            </w:r>
          </w:p>
        </w:tc>
        <w:tc>
          <w:tcPr>
            <w:tcW w:type="dxa" w:w="1368"/>
          </w:tcPr>
          <w:p>
            <w:pPr>
              <w:jc w:val="center"/>
            </w:pPr>
            <w:r/>
            <w:r>
              <w:rPr>
                <w:b w:val="0"/>
                <w:sz w:val="18"/>
              </w:rPr>
              <w:t>2.36</w:t>
            </w:r>
          </w:p>
        </w:tc>
        <w:tc>
          <w:tcPr>
            <w:tcW w:type="dxa" w:w="1368"/>
          </w:tcPr>
          <w:p>
            <w:pPr>
              <w:jc w:val="center"/>
            </w:pPr>
            <w:r/>
            <w:r>
              <w:rPr>
                <w:b w:val="0"/>
                <w:sz w:val="18"/>
              </w:rPr>
              <w:t>2.67</w:t>
            </w:r>
          </w:p>
        </w:tc>
        <w:tc>
          <w:tcPr>
            <w:tcW w:type="dxa" w:w="1368"/>
          </w:tcPr>
          <w:p>
            <w:pPr>
              <w:jc w:val="center"/>
            </w:pPr>
            <w:r/>
            <w:r>
              <w:rPr>
                <w:b w:val="0"/>
                <w:sz w:val="18"/>
              </w:rPr>
              <w:t>0.26</w:t>
            </w:r>
          </w:p>
        </w:tc>
        <w:tc>
          <w:tcPr>
            <w:tcW w:type="dxa" w:w="1368"/>
          </w:tcPr>
          <w:p>
            <w:pPr>
              <w:jc w:val="center"/>
            </w:pPr>
            <w:r/>
            <w:r>
              <w:rPr>
                <w:b w:val="0"/>
                <w:sz w:val="18"/>
              </w:rPr>
              <w:t>2.21</w:t>
            </w:r>
          </w:p>
        </w:tc>
        <w:tc>
          <w:tcPr>
            <w:tcW w:type="dxa" w:w="1656"/>
          </w:tcPr>
          <w:p>
            <w:pPr>
              <w:jc w:val="center"/>
            </w:pPr>
            <w:r/>
            <w:r>
              <w:rPr>
                <w:b w:val="0"/>
                <w:sz w:val="18"/>
              </w:rPr>
              <w:t>2.86</w:t>
            </w:r>
          </w:p>
        </w:tc>
        <w:tc>
          <w:tcPr>
            <w:tcW w:type="dxa" w:w="1224"/>
          </w:tcPr>
          <w:p>
            <w:pPr>
              <w:jc w:val="center"/>
            </w:pPr>
            <w:r/>
            <w:r>
              <w:rPr>
                <w:b w:val="0"/>
                <w:sz w:val="18"/>
              </w:rPr>
              <w:t>2.51</w:t>
            </w:r>
          </w:p>
        </w:tc>
      </w:tr>
      <w:tr>
        <w:tc>
          <w:tcPr>
            <w:tcW w:type="dxa" w:w="2736"/>
          </w:tcPr>
          <w:p>
            <w:r/>
            <w:r>
              <w:rPr>
                <w:b w:val="0"/>
                <w:sz w:val="18"/>
              </w:rPr>
              <w:t>Disponibilidad Inmediata</w:t>
            </w:r>
          </w:p>
        </w:tc>
        <w:tc>
          <w:tcPr>
            <w:tcW w:type="dxa" w:w="1368"/>
          </w:tcPr>
          <w:p>
            <w:pPr>
              <w:jc w:val="center"/>
            </w:pPr>
            <w:r/>
            <w:r>
              <w:rPr>
                <w:b w:val="0"/>
                <w:sz w:val="18"/>
              </w:rPr>
              <w:t>2.84</w:t>
            </w:r>
          </w:p>
        </w:tc>
        <w:tc>
          <w:tcPr>
            <w:tcW w:type="dxa" w:w="1368"/>
          </w:tcPr>
          <w:p>
            <w:pPr>
              <w:jc w:val="center"/>
            </w:pPr>
            <w:r/>
            <w:r>
              <w:rPr>
                <w:b w:val="0"/>
                <w:sz w:val="18"/>
              </w:rPr>
              <w:t>0.46</w:t>
            </w:r>
          </w:p>
        </w:tc>
        <w:tc>
          <w:tcPr>
            <w:tcW w:type="dxa" w:w="1368"/>
          </w:tcPr>
          <w:p>
            <w:pPr>
              <w:jc w:val="center"/>
            </w:pPr>
            <w:r/>
            <w:r>
              <w:rPr>
                <w:b w:val="0"/>
                <w:sz w:val="18"/>
              </w:rPr>
              <w:t>0.80</w:t>
            </w:r>
          </w:p>
        </w:tc>
        <w:tc>
          <w:tcPr>
            <w:tcW w:type="dxa" w:w="1368"/>
          </w:tcPr>
          <w:p>
            <w:pPr>
              <w:jc w:val="center"/>
            </w:pPr>
            <w:r/>
            <w:r>
              <w:rPr>
                <w:b w:val="0"/>
                <w:sz w:val="18"/>
              </w:rPr>
              <w:t>0.11</w:t>
            </w:r>
          </w:p>
        </w:tc>
        <w:tc>
          <w:tcPr>
            <w:tcW w:type="dxa" w:w="1368"/>
          </w:tcPr>
          <w:p>
            <w:pPr>
              <w:jc w:val="center"/>
            </w:pPr>
            <w:r/>
            <w:r>
              <w:rPr>
                <w:b w:val="0"/>
                <w:sz w:val="18"/>
              </w:rPr>
              <w:t>1.05</w:t>
            </w:r>
          </w:p>
        </w:tc>
        <w:tc>
          <w:tcPr>
            <w:tcW w:type="dxa" w:w="1656"/>
          </w:tcPr>
          <w:p>
            <w:pPr>
              <w:jc w:val="center"/>
            </w:pPr>
            <w:r/>
            <w:r>
              <w:rPr>
                <w:b w:val="0"/>
                <w:sz w:val="18"/>
              </w:rPr>
              <w:t>1.37</w:t>
            </w:r>
          </w:p>
        </w:tc>
        <w:tc>
          <w:tcPr>
            <w:tcW w:type="dxa" w:w="1224"/>
          </w:tcPr>
          <w:p>
            <w:pPr>
              <w:jc w:val="center"/>
            </w:pPr>
            <w:r/>
            <w:r>
              <w:rPr>
                <w:b w:val="0"/>
                <w:sz w:val="18"/>
              </w:rPr>
              <w:t>0.63</w:t>
            </w:r>
          </w:p>
        </w:tc>
      </w:tr>
      <w:tr>
        <w:tc>
          <w:tcPr>
            <w:tcW w:type="dxa" w:w="2736"/>
          </w:tcPr>
          <w:p>
            <w:r/>
            <w:r>
              <w:rPr>
                <w:b w:val="0"/>
                <w:sz w:val="18"/>
              </w:rPr>
              <w:t>EBITDA/Ventas (%)</w:t>
            </w:r>
          </w:p>
        </w:tc>
        <w:tc>
          <w:tcPr>
            <w:tcW w:type="dxa" w:w="1368"/>
          </w:tcPr>
          <w:p>
            <w:pPr>
              <w:jc w:val="center"/>
            </w:pPr>
            <w:r/>
            <w:r>
              <w:rPr>
                <w:b w:val="0"/>
                <w:sz w:val="18"/>
              </w:rPr>
              <w:t>12.67</w:t>
            </w:r>
          </w:p>
        </w:tc>
        <w:tc>
          <w:tcPr>
            <w:tcW w:type="dxa" w:w="1368"/>
          </w:tcPr>
          <w:p>
            <w:pPr>
              <w:jc w:val="center"/>
            </w:pPr>
            <w:r/>
            <w:r>
              <w:rPr>
                <w:b w:val="0"/>
                <w:sz w:val="18"/>
              </w:rPr>
              <w:t>22.20</w:t>
            </w:r>
          </w:p>
        </w:tc>
        <w:tc>
          <w:tcPr>
            <w:tcW w:type="dxa" w:w="1368"/>
          </w:tcPr>
          <w:p>
            <w:pPr>
              <w:jc w:val="center"/>
            </w:pPr>
            <w:r/>
            <w:r>
              <w:rPr>
                <w:b w:val="0"/>
                <w:sz w:val="18"/>
              </w:rPr>
              <w:t>5.09</w:t>
            </w:r>
          </w:p>
        </w:tc>
        <w:tc>
          <w:tcPr>
            <w:tcW w:type="dxa" w:w="1368"/>
          </w:tcPr>
          <w:p>
            <w:pPr>
              <w:jc w:val="center"/>
            </w:pPr>
            <w:r/>
            <w:r>
              <w:rPr>
                <w:b w:val="0"/>
                <w:sz w:val="18"/>
              </w:rPr>
              <w:t>36.58</w:t>
            </w:r>
          </w:p>
        </w:tc>
        <w:tc>
          <w:tcPr>
            <w:tcW w:type="dxa" w:w="1368"/>
          </w:tcPr>
          <w:p>
            <w:pPr>
              <w:jc w:val="center"/>
            </w:pPr>
            <w:r/>
            <w:r>
              <w:rPr>
                <w:b w:val="0"/>
                <w:sz w:val="18"/>
              </w:rPr>
              <w:t>19.13</w:t>
            </w:r>
          </w:p>
        </w:tc>
        <w:tc>
          <w:tcPr>
            <w:tcW w:type="dxa" w:w="1656"/>
          </w:tcPr>
          <w:p>
            <w:pPr>
              <w:jc w:val="center"/>
            </w:pPr>
            <w:r/>
            <w:r>
              <w:rPr>
                <w:b w:val="0"/>
                <w:sz w:val="18"/>
              </w:rPr>
              <w:t>13.32</w:t>
            </w:r>
          </w:p>
        </w:tc>
        <w:tc>
          <w:tcPr>
            <w:tcW w:type="dxa" w:w="1224"/>
          </w:tcPr>
          <w:p>
            <w:pPr>
              <w:jc w:val="center"/>
            </w:pPr>
            <w:r/>
            <w:r>
              <w:rPr>
                <w:b w:val="0"/>
                <w:sz w:val="18"/>
              </w:rPr>
              <w:t>17.43</w:t>
            </w:r>
          </w:p>
        </w:tc>
      </w:tr>
      <w:tr>
        <w:tc>
          <w:tcPr>
            <w:tcW w:type="dxa" w:w="2736"/>
          </w:tcPr>
          <w:p>
            <w:r/>
            <w:r>
              <w:rPr>
                <w:b w:val="0"/>
                <w:sz w:val="18"/>
              </w:rPr>
              <w:t>BAIT/Ventas (%)</w:t>
            </w:r>
          </w:p>
        </w:tc>
        <w:tc>
          <w:tcPr>
            <w:tcW w:type="dxa" w:w="1368"/>
          </w:tcPr>
          <w:p>
            <w:pPr>
              <w:jc w:val="center"/>
            </w:pPr>
            <w:r/>
            <w:r>
              <w:rPr>
                <w:b w:val="0"/>
                <w:sz w:val="18"/>
              </w:rPr>
              <w:t>11.91</w:t>
            </w:r>
          </w:p>
        </w:tc>
        <w:tc>
          <w:tcPr>
            <w:tcW w:type="dxa" w:w="1368"/>
          </w:tcPr>
          <w:p>
            <w:pPr>
              <w:jc w:val="center"/>
            </w:pPr>
            <w:r/>
            <w:r>
              <w:rPr>
                <w:b w:val="0"/>
                <w:sz w:val="18"/>
              </w:rPr>
              <w:t>16.73</w:t>
            </w:r>
          </w:p>
        </w:tc>
        <w:tc>
          <w:tcPr>
            <w:tcW w:type="dxa" w:w="1368"/>
          </w:tcPr>
          <w:p>
            <w:pPr>
              <w:jc w:val="center"/>
            </w:pPr>
            <w:r/>
            <w:r>
              <w:rPr>
                <w:b w:val="0"/>
                <w:sz w:val="18"/>
              </w:rPr>
              <w:t>4.36</w:t>
            </w:r>
          </w:p>
        </w:tc>
        <w:tc>
          <w:tcPr>
            <w:tcW w:type="dxa" w:w="1368"/>
          </w:tcPr>
          <w:p>
            <w:pPr>
              <w:jc w:val="center"/>
            </w:pPr>
            <w:r/>
            <w:r>
              <w:rPr>
                <w:b w:val="0"/>
                <w:sz w:val="18"/>
              </w:rPr>
              <w:t>6.19</w:t>
            </w:r>
          </w:p>
        </w:tc>
        <w:tc>
          <w:tcPr>
            <w:tcW w:type="dxa" w:w="1368"/>
          </w:tcPr>
          <w:p>
            <w:pPr>
              <w:jc w:val="center"/>
            </w:pPr>
            <w:r/>
            <w:r>
              <w:rPr>
                <w:b w:val="0"/>
                <w:sz w:val="18"/>
              </w:rPr>
              <w:t>9.80</w:t>
            </w:r>
          </w:p>
        </w:tc>
        <w:tc>
          <w:tcPr>
            <w:tcW w:type="dxa" w:w="1656"/>
          </w:tcPr>
          <w:p>
            <w:pPr>
              <w:jc w:val="center"/>
            </w:pPr>
            <w:r/>
            <w:r>
              <w:rPr>
                <w:b w:val="0"/>
                <w:sz w:val="18"/>
              </w:rPr>
              <w:t>11.00</w:t>
            </w:r>
          </w:p>
        </w:tc>
        <w:tc>
          <w:tcPr>
            <w:tcW w:type="dxa" w:w="1224"/>
          </w:tcPr>
          <w:p>
            <w:pPr>
              <w:jc w:val="center"/>
            </w:pPr>
            <w:r/>
            <w:r>
              <w:rPr>
                <w:b w:val="0"/>
                <w:sz w:val="18"/>
              </w:rPr>
              <w:t>9.05</w:t>
            </w:r>
          </w:p>
        </w:tc>
      </w:tr>
      <w:tr>
        <w:tc>
          <w:tcPr>
            <w:tcW w:type="dxa" w:w="2736"/>
          </w:tcPr>
          <w:p>
            <w:r/>
            <w:r>
              <w:rPr>
                <w:b w:val="0"/>
                <w:sz w:val="18"/>
              </w:rPr>
              <w:t>Resultado/Ventas (%)</w:t>
            </w:r>
          </w:p>
        </w:tc>
        <w:tc>
          <w:tcPr>
            <w:tcW w:type="dxa" w:w="1368"/>
          </w:tcPr>
          <w:p>
            <w:pPr>
              <w:jc w:val="center"/>
            </w:pPr>
            <w:r/>
            <w:r>
              <w:rPr>
                <w:b w:val="0"/>
                <w:sz w:val="18"/>
              </w:rPr>
              <w:t>8.99</w:t>
            </w:r>
          </w:p>
        </w:tc>
        <w:tc>
          <w:tcPr>
            <w:tcW w:type="dxa" w:w="1368"/>
          </w:tcPr>
          <w:p>
            <w:pPr>
              <w:jc w:val="center"/>
            </w:pPr>
            <w:r/>
            <w:r>
              <w:rPr>
                <w:b w:val="0"/>
                <w:sz w:val="18"/>
              </w:rPr>
              <w:t>12.94</w:t>
            </w:r>
          </w:p>
        </w:tc>
        <w:tc>
          <w:tcPr>
            <w:tcW w:type="dxa" w:w="1368"/>
          </w:tcPr>
          <w:p>
            <w:pPr>
              <w:jc w:val="center"/>
            </w:pPr>
            <w:r/>
            <w:r>
              <w:rPr>
                <w:b w:val="0"/>
                <w:sz w:val="18"/>
              </w:rPr>
              <w:t>7.07</w:t>
            </w:r>
          </w:p>
        </w:tc>
        <w:tc>
          <w:tcPr>
            <w:tcW w:type="dxa" w:w="1368"/>
          </w:tcPr>
          <w:p>
            <w:pPr>
              <w:jc w:val="center"/>
            </w:pPr>
            <w:r/>
            <w:r>
              <w:rPr>
                <w:b w:val="0"/>
                <w:sz w:val="18"/>
              </w:rPr>
              <w:t>3.55</w:t>
            </w:r>
          </w:p>
        </w:tc>
        <w:tc>
          <w:tcPr>
            <w:tcW w:type="dxa" w:w="1368"/>
          </w:tcPr>
          <w:p>
            <w:pPr>
              <w:jc w:val="center"/>
            </w:pPr>
            <w:r/>
            <w:r>
              <w:rPr>
                <w:b w:val="0"/>
                <w:sz w:val="18"/>
              </w:rPr>
              <w:t>8.14</w:t>
            </w:r>
          </w:p>
        </w:tc>
        <w:tc>
          <w:tcPr>
            <w:tcW w:type="dxa" w:w="1656"/>
          </w:tcPr>
          <w:p>
            <w:pPr>
              <w:jc w:val="center"/>
            </w:pPr>
            <w:r/>
            <w:r>
              <w:rPr>
                <w:b w:val="0"/>
                <w:sz w:val="18"/>
              </w:rPr>
              <w:t>9.67</w:t>
            </w:r>
          </w:p>
        </w:tc>
        <w:tc>
          <w:tcPr>
            <w:tcW w:type="dxa" w:w="1224"/>
          </w:tcPr>
          <w:p>
            <w:pPr>
              <w:jc w:val="center"/>
            </w:pPr>
            <w:r/>
            <w:r>
              <w:rPr>
                <w:b w:val="0"/>
                <w:sz w:val="18"/>
              </w:rPr>
              <w:t>8.03</w:t>
            </w:r>
          </w:p>
        </w:tc>
      </w:tr>
    </w:tbl>
    <w:p>
      <w:pPr>
        <w:spacing w:after="80"/>
      </w:pPr>
    </w:p>
    <w:p>
      <w:pPr>
        <w:pStyle w:val="Heading1"/>
      </w:pPr>
      <w:r>
        <w:t>4. Interpretación según las bandas del Glosario del TFM</w:t>
      </w:r>
    </w:p>
    <w:p>
      <w:pPr>
        <w:spacing w:after="160"/>
      </w:pPr>
      <w:r>
        <w:rPr>
          <w:b w:val="0"/>
          <w:i w:val="0"/>
          <w:sz w:val="20"/>
        </w:rPr>
        <w:t>Se interpreta el valor medio de referencia (media de las 3 empresas comparables, excluyendo Watiofy) según las bandas de interpretación ya definidas en el Glosario de Ratios Financieros y 4 Pilares del TFM.</w:t>
      </w:r>
    </w:p>
    <w:tbl>
      <w:tblPr>
        <w:tblStyle w:val="TableGrid"/>
        <w:tblW w:type="auto" w:w="0"/>
        <w:jc w:val="center"/>
        <w:tblLook w:firstColumn="1" w:firstRow="1" w:lastColumn="0" w:lastRow="0" w:noHBand="0" w:noVBand="1" w:val="04A0"/>
      </w:tblPr>
      <w:tblGrid>
        <w:gridCol w:w="3394"/>
        <w:gridCol w:w="3394"/>
        <w:gridCol w:w="3394"/>
      </w:tblGrid>
      <w:tr>
        <w:tc>
          <w:tcPr>
            <w:tcW w:type="dxa" w:w="2736"/>
            <w:shd w:val="clear" w:color="auto" w:fill="4472C4"/>
          </w:tcPr>
          <w:p>
            <w:pPr>
              <w:jc w:val="center"/>
            </w:pPr>
            <w:r>
              <w:rPr>
                <w:color w:val="FFFFFF"/>
              </w:rPr>
            </w:r>
            <w:r>
              <w:rPr>
                <w:b/>
                <w:sz w:val="18"/>
              </w:rPr>
              <w:t>Ratio</w:t>
            </w:r>
          </w:p>
        </w:tc>
        <w:tc>
          <w:tcPr>
            <w:tcW w:type="dxa" w:w="2160"/>
            <w:shd w:val="clear" w:color="auto" w:fill="4472C4"/>
          </w:tcPr>
          <w:p>
            <w:pPr>
              <w:jc w:val="center"/>
            </w:pPr>
            <w:r>
              <w:rPr>
                <w:color w:val="FFFFFF"/>
              </w:rPr>
            </w:r>
            <w:r>
              <w:rPr>
                <w:b/>
                <w:sz w:val="18"/>
              </w:rPr>
              <w:t>Media de referencia (sin Watiofy)</w:t>
            </w:r>
          </w:p>
        </w:tc>
        <w:tc>
          <w:tcPr>
            <w:tcW w:type="dxa" w:w="5904"/>
            <w:shd w:val="clear" w:color="auto" w:fill="4472C4"/>
          </w:tcPr>
          <w:p>
            <w:pPr>
              <w:jc w:val="center"/>
            </w:pPr>
            <w:r>
              <w:rPr>
                <w:color w:val="FFFFFF"/>
              </w:rPr>
            </w:r>
            <w:r>
              <w:rPr>
                <w:b/>
                <w:sz w:val="18"/>
              </w:rPr>
              <w:t>Interpretación según banda del Glosario</w:t>
            </w:r>
          </w:p>
        </w:tc>
      </w:tr>
      <w:tr>
        <w:tc>
          <w:tcPr>
            <w:tcW w:type="dxa" w:w="2736"/>
          </w:tcPr>
          <w:p>
            <w:r/>
            <w:r>
              <w:rPr>
                <w:b w:val="0"/>
                <w:sz w:val="18"/>
              </w:rPr>
              <w:t>Nivel de Endeudamiento (%)</w:t>
            </w:r>
          </w:p>
        </w:tc>
        <w:tc>
          <w:tcPr>
            <w:tcW w:type="dxa" w:w="2160"/>
          </w:tcPr>
          <w:p>
            <w:pPr>
              <w:jc w:val="center"/>
            </w:pPr>
            <w:r/>
            <w:r>
              <w:rPr>
                <w:b w:val="0"/>
                <w:sz w:val="18"/>
              </w:rPr>
              <w:t>29.40</w:t>
            </w:r>
          </w:p>
        </w:tc>
        <w:tc>
          <w:tcPr>
            <w:tcW w:type="dxa" w:w="5904"/>
          </w:tcPr>
          <w:p>
            <w:pPr>
              <w:jc w:val="center"/>
            </w:pPr>
            <w:r/>
            <w:r>
              <w:rPr>
                <w:b w:val="0"/>
                <w:sz w:val="18"/>
              </w:rPr>
              <w:t>Bajo (&lt;50%) — más financiación con recursos propios</w:t>
            </w:r>
          </w:p>
        </w:tc>
      </w:tr>
      <w:tr>
        <w:tc>
          <w:tcPr>
            <w:tcW w:type="dxa" w:w="2736"/>
          </w:tcPr>
          <w:p>
            <w:r/>
            <w:r>
              <w:rPr>
                <w:b w:val="0"/>
                <w:sz w:val="18"/>
              </w:rPr>
              <w:t>Ratio Endeudamiento Total (%)</w:t>
            </w:r>
          </w:p>
        </w:tc>
        <w:tc>
          <w:tcPr>
            <w:tcW w:type="dxa" w:w="2160"/>
          </w:tcPr>
          <w:p>
            <w:pPr>
              <w:jc w:val="center"/>
            </w:pPr>
            <w:r/>
            <w:r>
              <w:rPr>
                <w:b w:val="0"/>
                <w:sz w:val="18"/>
              </w:rPr>
              <w:t>44.65</w:t>
            </w:r>
          </w:p>
        </w:tc>
        <w:tc>
          <w:tcPr>
            <w:tcW w:type="dxa" w:w="5904"/>
          </w:tcPr>
          <w:p>
            <w:pPr>
              <w:jc w:val="center"/>
            </w:pPr>
            <w:r/>
            <w:r>
              <w:rPr>
                <w:b w:val="0"/>
                <w:sz w:val="18"/>
              </w:rPr>
              <w:t>Más fondos propios que deuda (&lt;100%)</w:t>
            </w:r>
          </w:p>
        </w:tc>
      </w:tr>
      <w:tr>
        <w:tc>
          <w:tcPr>
            <w:tcW w:type="dxa" w:w="2736"/>
          </w:tcPr>
          <w:p>
            <w:r/>
            <w:r>
              <w:rPr>
                <w:b w:val="0"/>
                <w:sz w:val="18"/>
              </w:rPr>
              <w:t>Solvencia Total</w:t>
            </w:r>
          </w:p>
        </w:tc>
        <w:tc>
          <w:tcPr>
            <w:tcW w:type="dxa" w:w="2160"/>
          </w:tcPr>
          <w:p>
            <w:pPr>
              <w:jc w:val="center"/>
            </w:pPr>
            <w:r/>
            <w:r>
              <w:rPr>
                <w:b w:val="0"/>
                <w:sz w:val="18"/>
              </w:rPr>
              <w:t>3.73</w:t>
            </w:r>
          </w:p>
        </w:tc>
        <w:tc>
          <w:tcPr>
            <w:tcW w:type="dxa" w:w="5904"/>
          </w:tcPr>
          <w:p>
            <w:pPr>
              <w:jc w:val="center"/>
            </w:pPr>
            <w:r/>
            <w:r>
              <w:rPr>
                <w:b w:val="0"/>
                <w:sz w:val="18"/>
              </w:rPr>
              <w:t>Excelente (&gt;2)</w:t>
            </w:r>
          </w:p>
        </w:tc>
      </w:tr>
      <w:tr>
        <w:tc>
          <w:tcPr>
            <w:tcW w:type="dxa" w:w="2736"/>
          </w:tcPr>
          <w:p>
            <w:r/>
            <w:r>
              <w:rPr>
                <w:b w:val="0"/>
                <w:sz w:val="18"/>
              </w:rPr>
              <w:t>Ratio de Madurez (%)</w:t>
            </w:r>
          </w:p>
        </w:tc>
        <w:tc>
          <w:tcPr>
            <w:tcW w:type="dxa" w:w="2160"/>
          </w:tcPr>
          <w:p>
            <w:pPr>
              <w:jc w:val="center"/>
            </w:pPr>
            <w:r/>
            <w:r>
              <w:rPr>
                <w:b w:val="0"/>
                <w:sz w:val="18"/>
              </w:rPr>
              <w:t>34.08</w:t>
            </w:r>
          </w:p>
        </w:tc>
        <w:tc>
          <w:tcPr>
            <w:tcW w:type="dxa" w:w="5904"/>
          </w:tcPr>
          <w:p>
            <w:pPr>
              <w:jc w:val="center"/>
            </w:pPr>
            <w:r/>
            <w:r>
              <w:rPr>
                <w:b w:val="0"/>
                <w:sz w:val="18"/>
              </w:rPr>
              <w:t>Estructura equilibrada (30-60%)</w:t>
            </w:r>
          </w:p>
        </w:tc>
      </w:tr>
      <w:tr>
        <w:tc>
          <w:tcPr>
            <w:tcW w:type="dxa" w:w="2736"/>
          </w:tcPr>
          <w:p>
            <w:r/>
            <w:r>
              <w:rPr>
                <w:b w:val="0"/>
                <w:sz w:val="18"/>
              </w:rPr>
              <w:t>ROA (%)</w:t>
            </w:r>
          </w:p>
        </w:tc>
        <w:tc>
          <w:tcPr>
            <w:tcW w:type="dxa" w:w="2160"/>
          </w:tcPr>
          <w:p>
            <w:pPr>
              <w:jc w:val="center"/>
            </w:pPr>
            <w:r/>
            <w:r>
              <w:rPr>
                <w:b w:val="0"/>
                <w:sz w:val="18"/>
              </w:rPr>
              <w:t>19.74</w:t>
            </w:r>
          </w:p>
        </w:tc>
        <w:tc>
          <w:tcPr>
            <w:tcW w:type="dxa" w:w="5904"/>
          </w:tcPr>
          <w:p>
            <w:pPr>
              <w:jc w:val="center"/>
            </w:pPr>
            <w:r/>
            <w:r>
              <w:rPr>
                <w:b w:val="0"/>
                <w:sz w:val="18"/>
              </w:rPr>
              <w:t>Excelente (&gt;15%)</w:t>
            </w:r>
          </w:p>
        </w:tc>
      </w:tr>
      <w:tr>
        <w:tc>
          <w:tcPr>
            <w:tcW w:type="dxa" w:w="2736"/>
          </w:tcPr>
          <w:p>
            <w:r/>
            <w:r>
              <w:rPr>
                <w:b w:val="0"/>
                <w:sz w:val="18"/>
              </w:rPr>
              <w:t>ROE (%)</w:t>
            </w:r>
          </w:p>
        </w:tc>
        <w:tc>
          <w:tcPr>
            <w:tcW w:type="dxa" w:w="2160"/>
          </w:tcPr>
          <w:p>
            <w:pPr>
              <w:jc w:val="center"/>
            </w:pPr>
            <w:r/>
            <w:r>
              <w:rPr>
                <w:b w:val="0"/>
                <w:sz w:val="18"/>
              </w:rPr>
              <w:t>25.90</w:t>
            </w:r>
          </w:p>
        </w:tc>
        <w:tc>
          <w:tcPr>
            <w:tcW w:type="dxa" w:w="5904"/>
          </w:tcPr>
          <w:p>
            <w:pPr>
              <w:jc w:val="center"/>
            </w:pPr>
            <w:r/>
            <w:r>
              <w:rPr>
                <w:b w:val="0"/>
                <w:sz w:val="18"/>
              </w:rPr>
              <w:t>Excelente (&gt;20%)</w:t>
            </w:r>
          </w:p>
        </w:tc>
      </w:tr>
      <w:tr>
        <w:tc>
          <w:tcPr>
            <w:tcW w:type="dxa" w:w="2736"/>
          </w:tcPr>
          <w:p>
            <w:r/>
            <w:r>
              <w:rPr>
                <w:b w:val="0"/>
                <w:sz w:val="18"/>
              </w:rPr>
              <w:t>Solvencia Corriente</w:t>
            </w:r>
          </w:p>
        </w:tc>
        <w:tc>
          <w:tcPr>
            <w:tcW w:type="dxa" w:w="2160"/>
          </w:tcPr>
          <w:p>
            <w:pPr>
              <w:jc w:val="center"/>
            </w:pPr>
            <w:r/>
            <w:r>
              <w:rPr>
                <w:b w:val="0"/>
                <w:sz w:val="18"/>
              </w:rPr>
              <w:t>2.86</w:t>
            </w:r>
          </w:p>
        </w:tc>
        <w:tc>
          <w:tcPr>
            <w:tcW w:type="dxa" w:w="5904"/>
          </w:tcPr>
          <w:p>
            <w:pPr>
              <w:jc w:val="center"/>
            </w:pPr>
            <w:r/>
            <w:r>
              <w:rPr>
                <w:b w:val="0"/>
                <w:sz w:val="18"/>
              </w:rPr>
              <w:t>Excelente liquidez (&gt;2)</w:t>
            </w:r>
          </w:p>
        </w:tc>
      </w:tr>
      <w:tr>
        <w:tc>
          <w:tcPr>
            <w:tcW w:type="dxa" w:w="2736"/>
          </w:tcPr>
          <w:p>
            <w:r/>
            <w:r>
              <w:rPr>
                <w:b w:val="0"/>
                <w:sz w:val="18"/>
              </w:rPr>
              <w:t>Disponibilidad Inmediata</w:t>
            </w:r>
          </w:p>
        </w:tc>
        <w:tc>
          <w:tcPr>
            <w:tcW w:type="dxa" w:w="2160"/>
          </w:tcPr>
          <w:p>
            <w:pPr>
              <w:jc w:val="center"/>
            </w:pPr>
            <w:r/>
            <w:r>
              <w:rPr>
                <w:b w:val="0"/>
                <w:sz w:val="18"/>
              </w:rPr>
              <w:t>1.37</w:t>
            </w:r>
          </w:p>
        </w:tc>
        <w:tc>
          <w:tcPr>
            <w:tcW w:type="dxa" w:w="5904"/>
          </w:tcPr>
          <w:p>
            <w:pPr>
              <w:jc w:val="center"/>
            </w:pPr>
            <w:r/>
            <w:r>
              <w:rPr>
                <w:b w:val="0"/>
                <w:sz w:val="18"/>
              </w:rPr>
              <w:t>Buena disponibilidad de efectivo (&gt;0.5)</w:t>
            </w:r>
          </w:p>
        </w:tc>
      </w:tr>
      <w:tr>
        <w:tc>
          <w:tcPr>
            <w:tcW w:type="dxa" w:w="2736"/>
          </w:tcPr>
          <w:p>
            <w:r/>
            <w:r>
              <w:rPr>
                <w:b w:val="0"/>
                <w:sz w:val="18"/>
              </w:rPr>
              <w:t>EBITDA/Ventas (%)</w:t>
            </w:r>
          </w:p>
        </w:tc>
        <w:tc>
          <w:tcPr>
            <w:tcW w:type="dxa" w:w="2160"/>
          </w:tcPr>
          <w:p>
            <w:pPr>
              <w:jc w:val="center"/>
            </w:pPr>
            <w:r/>
            <w:r>
              <w:rPr>
                <w:b w:val="0"/>
                <w:sz w:val="18"/>
              </w:rPr>
              <w:t>13.32</w:t>
            </w:r>
          </w:p>
        </w:tc>
        <w:tc>
          <w:tcPr>
            <w:tcW w:type="dxa" w:w="5904"/>
          </w:tcPr>
          <w:p>
            <w:pPr>
              <w:jc w:val="center"/>
            </w:pPr>
            <w:r/>
            <w:r>
              <w:rPr>
                <w:b w:val="0"/>
                <w:sz w:val="18"/>
              </w:rPr>
              <w:t>Margen aceptable (10-20%)</w:t>
            </w:r>
          </w:p>
        </w:tc>
      </w:tr>
      <w:tr>
        <w:tc>
          <w:tcPr>
            <w:tcW w:type="dxa" w:w="2736"/>
          </w:tcPr>
          <w:p>
            <w:r/>
            <w:r>
              <w:rPr>
                <w:b w:val="0"/>
                <w:sz w:val="18"/>
              </w:rPr>
              <w:t>BAIT/Ventas (%)</w:t>
            </w:r>
          </w:p>
        </w:tc>
        <w:tc>
          <w:tcPr>
            <w:tcW w:type="dxa" w:w="2160"/>
          </w:tcPr>
          <w:p>
            <w:pPr>
              <w:jc w:val="center"/>
            </w:pPr>
            <w:r/>
            <w:r>
              <w:rPr>
                <w:b w:val="0"/>
                <w:sz w:val="18"/>
              </w:rPr>
              <w:t>11.00</w:t>
            </w:r>
          </w:p>
        </w:tc>
        <w:tc>
          <w:tcPr>
            <w:tcW w:type="dxa" w:w="5904"/>
          </w:tcPr>
          <w:p>
            <w:pPr>
              <w:jc w:val="center"/>
            </w:pPr>
            <w:r/>
            <w:r>
              <w:rPr>
                <w:b w:val="0"/>
                <w:sz w:val="18"/>
              </w:rPr>
              <w:t>Margen aceptable (5-15%)</w:t>
            </w:r>
          </w:p>
        </w:tc>
      </w:tr>
      <w:tr>
        <w:tc>
          <w:tcPr>
            <w:tcW w:type="dxa" w:w="2736"/>
          </w:tcPr>
          <w:p>
            <w:r/>
            <w:r>
              <w:rPr>
                <w:b w:val="0"/>
                <w:sz w:val="18"/>
              </w:rPr>
              <w:t>Resultado/Ventas (%)</w:t>
            </w:r>
          </w:p>
        </w:tc>
        <w:tc>
          <w:tcPr>
            <w:tcW w:type="dxa" w:w="2160"/>
          </w:tcPr>
          <w:p>
            <w:pPr>
              <w:jc w:val="center"/>
            </w:pPr>
            <w:r/>
            <w:r>
              <w:rPr>
                <w:b w:val="0"/>
                <w:sz w:val="18"/>
              </w:rPr>
              <w:t>9.67</w:t>
            </w:r>
          </w:p>
        </w:tc>
        <w:tc>
          <w:tcPr>
            <w:tcW w:type="dxa" w:w="5904"/>
          </w:tcPr>
          <w:p>
            <w:pPr>
              <w:jc w:val="center"/>
            </w:pPr>
            <w:r/>
            <w:r>
              <w:rPr>
                <w:b w:val="0"/>
                <w:sz w:val="18"/>
              </w:rPr>
              <w:t>Buen margen neto (8-15%)</w:t>
            </w:r>
          </w:p>
        </w:tc>
      </w:tr>
    </w:tbl>
    <w:p>
      <w:pPr>
        <w:spacing w:after="80"/>
      </w:pPr>
    </w:p>
    <w:p>
      <w:pPr>
        <w:pStyle w:val="Heading1"/>
      </w:pPr>
      <w:r>
        <w:t>5. Conclusiones y limitaciones</w:t>
      </w:r>
    </w:p>
    <w:p>
      <w:pPr>
        <w:pStyle w:val="ListBullet"/>
        <w:spacing w:after="80"/>
      </w:pPr>
      <w:r>
        <w:t>El benchmarking confirma que las bandas de interpretación definidas en el Glosario del TFM son coherentes con el comportamiento real de empresas comparables del sector: bajo nivel de endeudamiento, buena solvencia y liquidez, y márgenes operativos de moderados a buenos.</w:t>
      </w:r>
    </w:p>
    <w:p>
      <w:pPr>
        <w:pStyle w:val="ListBullet"/>
        <w:spacing w:after="80"/>
      </w:pPr>
      <w:r>
        <w:t>Estos valores medios pueden emplearse como referencia sectorial (benchmark externo) para contextualizar los ratios obtenidos en el caso de estudio del TFM, además de los umbrales genéricos por sector ya incorporados en la aplicación (UMBRALES_SECTORES).</w:t>
      </w:r>
    </w:p>
    <w:p>
      <w:pPr>
        <w:pStyle w:val="ListBullet"/>
        <w:spacing w:after="80"/>
      </w:pPr>
      <w:r>
        <w:t>Limitaciones: muestra reducida (n=4, n=3 tras excluir el valor atípico), un único ejercicio económico (2024) y heterogeneidad de sub-sector dentro de 'comparadores online' (seguros, energía/telco, marketing de intermediación), lo que aconseja tratar estos valores como orientativos y no como un estándar sectorial estadísticamente representativo.</w:t>
      </w:r>
    </w:p>
    <w:p>
      <w:pPr>
        <w:pStyle w:val="ListBullet"/>
        <w:spacing w:after="80"/>
      </w:pPr>
      <w:r>
        <w:t>Se recomienda documentar en la memoria del TFM el origen de los datos (SABI/Informa, cuentas depositadas en el Registro Mercantil, ejercicio 2024) y la correspondencia exacta entre las fórmulas aplicadas aquí y las del módulo calculos_ratios.py, para trazabilidad metodológica.</w:t>
      </w:r>
    </w:p>
    <w:sectPr w:rsidR="00FC693F" w:rsidRPr="0006063C" w:rsidSect="00034616">
      <w:pgSz w:w="11909" w:h="16834"/>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