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2E5F2" w14:textId="77777777" w:rsidR="00FD0146" w:rsidRDefault="0099705B">
      <w:pPr>
        <w:pStyle w:val="Ttulo"/>
      </w:pPr>
      <w:r>
        <w:t>4. Análisis de la realidad de la empresa: diagnóstico del caso de estudio</w:t>
      </w:r>
    </w:p>
    <w:p w14:paraId="354C2D7C" w14:textId="77777777" w:rsidR="00FD0146" w:rsidRDefault="0099705B">
      <w:pPr>
        <w:pStyle w:val="Ttulo1"/>
      </w:pPr>
      <w:r>
        <w:t>4.1. Introducción y objetivos del capítulo</w:t>
      </w:r>
    </w:p>
    <w:p w14:paraId="4679CD35" w14:textId="77777777" w:rsidR="00FD0146" w:rsidRDefault="0099705B">
      <w:r>
        <w:t xml:space="preserve">El presente capítulo expone el diagnóstico de la realidad económica, operativa y de gestión de la información de la empresa caso de </w:t>
      </w:r>
      <w:r>
        <w:t>estudio de este Trabajo de Fin de Máster, TeComparoTodo.es, elaborado a partir de una entrevista semiestructurada dirigida a su fundador/a y a la responsable de backoffice. El instrumento de recogida de información (recogido íntegramente en el documento «C</w:t>
      </w:r>
      <w:r>
        <w:t>uestionario de Entrevista — Diseño del dashboard financiero») se articuló en dos bloques complementarios: un primer bloque dirigido al fundador/a, orientado a caracterizar el modelo de negocio, los decisores del futuro dashboard y las necesidades de inform</w:t>
      </w:r>
      <w:r>
        <w:t>ación no cubiertas; y un segundo bloque dirigido a la responsable de backoffice, orientado a auditar las fuentes de datos disponibles y su profundidad histórica.</w:t>
      </w:r>
    </w:p>
    <w:p w14:paraId="49C237F4" w14:textId="77777777" w:rsidR="00FD0146" w:rsidRDefault="0099705B">
      <w:r>
        <w:t>A diferencia del Capítulo 5, en el que se analiza cómo los hallazgos de esta entrevista se tra</w:t>
      </w:r>
      <w:r>
        <w:t xml:space="preserve">dujeron en decisiones concretas de diseño del aplicativo Betty, el objetivo de este capítulo es exclusivamente diagnóstico: describir la realidad de la empresa tal y como se desprende de las respuestas obtenidas, identificar las necesidades de información </w:t>
      </w:r>
      <w:r>
        <w:t>no resueltas y mapear el estado actual de sus fuentes de datos, como paso previo y necesario a cualquier decisión de diseño. El capítulo se estructura en seis bloques: presentación de la empresa (4.2), gobernanza de la información y toma de decisiones (4.3</w:t>
      </w:r>
      <w:r>
        <w:t>), necesidades de información no cubiertas (4.4), auditoría de fuentes de datos (4.5), profundidad histórica de los datos (4.6) y un diagnóstico financiero preliminar elaborado a partir de las cifras agregadas aportadas por la propia empresa (4.7), cerrand</w:t>
      </w:r>
      <w:r>
        <w:t>o con las limitaciones del diagnóstico (4.8) y una síntesis (4.9).</w:t>
      </w:r>
    </w:p>
    <w:p w14:paraId="3AE97358" w14:textId="77777777" w:rsidR="00FD0146" w:rsidRDefault="0099705B">
      <w:pPr>
        <w:pStyle w:val="Ttulo1"/>
      </w:pPr>
      <w:r>
        <w:t>4.2. Presentación de la empresa caso de estudio</w:t>
      </w:r>
    </w:p>
    <w:p w14:paraId="28FAB96F" w14:textId="77777777" w:rsidR="00FD0146" w:rsidRDefault="0099705B">
      <w:pPr>
        <w:pStyle w:val="Ttulo2"/>
      </w:pPr>
      <w:r>
        <w:t>4.2.1. Identificación y encaje societario</w:t>
      </w:r>
    </w:p>
    <w:p w14:paraId="35A88F39" w14:textId="77777777" w:rsidR="00FD0146" w:rsidRDefault="0099705B">
      <w:r>
        <w:t>TeComparoTodo.es es un comparador online integrado en el Grupo Bassete, constituido en el mes de ab</w:t>
      </w:r>
      <w:r>
        <w:t>ril y financiado con recursos propios por un único accionista. En el momento de realizarse la entrevista, la compañía contaba con aproximadamente seis meses de actividad, lo que la sitúa en una fase de desarrollo muy temprana (early stage), caracterizada p</w:t>
      </w:r>
      <w:r>
        <w:t>or un histórico de datos corto y por decisiones de negocio todavía en proceso de consolidación, en particular en el ámbito de la captación de clientes. Esta condición de empresa de nueva creación es relevante para el conjunto del trabajo, puesto que motiva</w:t>
      </w:r>
      <w:r>
        <w:t>, como se detalla en el marco conceptual y en el Capítulo 5, la incorporación al aplicativo Betty de un modo de análisis específico para startups (modelo de los «4 Pilares»), complementario al análisis de ratios contables tradicionales.</w:t>
      </w:r>
    </w:p>
    <w:p w14:paraId="1E8B4484" w14:textId="77777777" w:rsidR="00FD0146" w:rsidRDefault="0099705B">
      <w:r>
        <w:t xml:space="preserve">La actividad de la </w:t>
      </w:r>
      <w:r>
        <w:t>empresa se encuentra registrada administrativamente bajo el epígrafe CNAE 4690 («Comercio al por mayor no especializado»), clasificación que no refleja con precisión la naturaleza real del negocio —la intermediación online entre clientes finales y proveedo</w:t>
      </w:r>
      <w:r>
        <w:t xml:space="preserve">res de energía, telefonía, alarmas y placas solares—, circunstancia que no es infrecuente en empresas de intermediación </w:t>
      </w:r>
      <w:r>
        <w:lastRenderedPageBreak/>
        <w:t>digital de reciente creación y que se señala aquí como una limitación menor a tener en cuenta si en el futuro se emplea dicho epígrafe c</w:t>
      </w:r>
      <w:r>
        <w:t>omo criterio de selección de empresas comparables.</w:t>
      </w:r>
    </w:p>
    <w:p w14:paraId="5FD04861" w14:textId="77777777" w:rsidR="00FD0146" w:rsidRDefault="0099705B">
      <w:pPr>
        <w:jc w:val="center"/>
      </w:pPr>
      <w:r>
        <w:rPr>
          <w:i/>
        </w:rPr>
        <w:t>Tabla 4.1. Ficha de identificación de la empresa caso de estudio.</w:t>
      </w:r>
    </w:p>
    <w:tbl>
      <w:tblPr>
        <w:tblStyle w:val="Tablaconcuadrcula"/>
        <w:tblW w:w="0" w:type="auto"/>
        <w:tblLook w:val="04A0" w:firstRow="1" w:lastRow="0" w:firstColumn="1" w:lastColumn="0" w:noHBand="0" w:noVBand="1"/>
      </w:tblPr>
      <w:tblGrid>
        <w:gridCol w:w="4536"/>
        <w:gridCol w:w="4536"/>
      </w:tblGrid>
      <w:tr w:rsidR="00FD0146" w14:paraId="643A6C45" w14:textId="77777777">
        <w:tc>
          <w:tcPr>
            <w:tcW w:w="4536" w:type="dxa"/>
          </w:tcPr>
          <w:p w14:paraId="54759591" w14:textId="77777777" w:rsidR="00FD0146" w:rsidRDefault="0099705B">
            <w:r>
              <w:rPr>
                <w:b/>
              </w:rPr>
              <w:t>Atributo</w:t>
            </w:r>
          </w:p>
        </w:tc>
        <w:tc>
          <w:tcPr>
            <w:tcW w:w="4536" w:type="dxa"/>
          </w:tcPr>
          <w:p w14:paraId="3DF7BDD5" w14:textId="77777777" w:rsidR="00FD0146" w:rsidRDefault="0099705B">
            <w:r>
              <w:rPr>
                <w:b/>
              </w:rPr>
              <w:t>Valor declarado en la entrevista</w:t>
            </w:r>
          </w:p>
        </w:tc>
      </w:tr>
      <w:tr w:rsidR="00FD0146" w14:paraId="13D4FD6D" w14:textId="77777777">
        <w:tc>
          <w:tcPr>
            <w:tcW w:w="4536" w:type="dxa"/>
          </w:tcPr>
          <w:p w14:paraId="30586F61" w14:textId="77777777" w:rsidR="00FD0146" w:rsidRDefault="0099705B">
            <w:r>
              <w:t>Nombre comercial</w:t>
            </w:r>
          </w:p>
        </w:tc>
        <w:tc>
          <w:tcPr>
            <w:tcW w:w="4536" w:type="dxa"/>
          </w:tcPr>
          <w:p w14:paraId="4BB5ADAF" w14:textId="77777777" w:rsidR="00FD0146" w:rsidRDefault="0099705B">
            <w:r>
              <w:t>TeComparoTodo.es</w:t>
            </w:r>
          </w:p>
        </w:tc>
      </w:tr>
      <w:tr w:rsidR="00FD0146" w14:paraId="5211C7B3" w14:textId="77777777">
        <w:tc>
          <w:tcPr>
            <w:tcW w:w="4536" w:type="dxa"/>
          </w:tcPr>
          <w:p w14:paraId="6D0AF2D2" w14:textId="77777777" w:rsidR="00FD0146" w:rsidRDefault="0099705B">
            <w:r>
              <w:t>Grupo empresarial</w:t>
            </w:r>
          </w:p>
        </w:tc>
        <w:tc>
          <w:tcPr>
            <w:tcW w:w="4536" w:type="dxa"/>
          </w:tcPr>
          <w:p w14:paraId="58125348" w14:textId="77777777" w:rsidR="00FD0146" w:rsidRDefault="0099705B">
            <w:r>
              <w:t>Grupo Bassete</w:t>
            </w:r>
          </w:p>
        </w:tc>
      </w:tr>
      <w:tr w:rsidR="00FD0146" w14:paraId="0A2CA1AA" w14:textId="77777777">
        <w:tc>
          <w:tcPr>
            <w:tcW w:w="4536" w:type="dxa"/>
          </w:tcPr>
          <w:p w14:paraId="0F26F001" w14:textId="77777777" w:rsidR="00FD0146" w:rsidRDefault="0099705B">
            <w:r>
              <w:t>Fecha de constitución</w:t>
            </w:r>
          </w:p>
        </w:tc>
        <w:tc>
          <w:tcPr>
            <w:tcW w:w="4536" w:type="dxa"/>
          </w:tcPr>
          <w:p w14:paraId="63D1FEE6" w14:textId="77777777" w:rsidR="00FD0146" w:rsidRDefault="0099705B">
            <w:r>
              <w:t>Abril</w:t>
            </w:r>
          </w:p>
        </w:tc>
      </w:tr>
      <w:tr w:rsidR="00FD0146" w14:paraId="27690481" w14:textId="77777777">
        <w:tc>
          <w:tcPr>
            <w:tcW w:w="4536" w:type="dxa"/>
          </w:tcPr>
          <w:p w14:paraId="6D429DA5" w14:textId="77777777" w:rsidR="00FD0146" w:rsidRDefault="0099705B">
            <w:r>
              <w:t>Estructura de capital</w:t>
            </w:r>
          </w:p>
        </w:tc>
        <w:tc>
          <w:tcPr>
            <w:tcW w:w="4536" w:type="dxa"/>
          </w:tcPr>
          <w:p w14:paraId="2FA6A732" w14:textId="77777777" w:rsidR="00FD0146" w:rsidRDefault="0099705B">
            <w:r>
              <w:t>Recursos propios — 1 accionista</w:t>
            </w:r>
          </w:p>
        </w:tc>
      </w:tr>
      <w:tr w:rsidR="00FD0146" w14:paraId="6D5C56AD" w14:textId="77777777">
        <w:tc>
          <w:tcPr>
            <w:tcW w:w="4536" w:type="dxa"/>
          </w:tcPr>
          <w:p w14:paraId="02DE8C74" w14:textId="77777777" w:rsidR="00FD0146" w:rsidRDefault="0099705B">
            <w:r>
              <w:t>Epígrafe CNAE declarado</w:t>
            </w:r>
          </w:p>
        </w:tc>
        <w:tc>
          <w:tcPr>
            <w:tcW w:w="4536" w:type="dxa"/>
          </w:tcPr>
          <w:p w14:paraId="2EBEEB79" w14:textId="77777777" w:rsidR="00FD0146" w:rsidRDefault="0099705B">
            <w:r>
              <w:t>4690 — Comercio al por mayor no especializado</w:t>
            </w:r>
          </w:p>
        </w:tc>
      </w:tr>
      <w:tr w:rsidR="00FD0146" w14:paraId="0F1FE29C" w14:textId="77777777">
        <w:tc>
          <w:tcPr>
            <w:tcW w:w="4536" w:type="dxa"/>
          </w:tcPr>
          <w:p w14:paraId="0A7613E7" w14:textId="77777777" w:rsidR="00FD0146" w:rsidRDefault="0099705B">
            <w:r>
              <w:t>Actividad real</w:t>
            </w:r>
          </w:p>
        </w:tc>
        <w:tc>
          <w:tcPr>
            <w:tcW w:w="4536" w:type="dxa"/>
          </w:tcPr>
          <w:p w14:paraId="6EE62B81" w14:textId="77777777" w:rsidR="00FD0146" w:rsidRDefault="0099705B">
            <w:r>
              <w:t>Comparador online: energía, telefonía, alarmas y placas solares</w:t>
            </w:r>
          </w:p>
        </w:tc>
      </w:tr>
      <w:tr w:rsidR="00FD0146" w14:paraId="6A951C77" w14:textId="77777777">
        <w:tc>
          <w:tcPr>
            <w:tcW w:w="4536" w:type="dxa"/>
          </w:tcPr>
          <w:p w14:paraId="55454021" w14:textId="77777777" w:rsidR="00FD0146" w:rsidRDefault="0099705B">
            <w:r>
              <w:t xml:space="preserve">Antigüedad en el momento de la </w:t>
            </w:r>
            <w:r>
              <w:t>entrevista</w:t>
            </w:r>
          </w:p>
        </w:tc>
        <w:tc>
          <w:tcPr>
            <w:tcW w:w="4536" w:type="dxa"/>
          </w:tcPr>
          <w:p w14:paraId="5CBA1A70" w14:textId="77777777" w:rsidR="00FD0146" w:rsidRDefault="0099705B">
            <w:r>
              <w:t>Aproximadamente 6 meses</w:t>
            </w:r>
          </w:p>
        </w:tc>
      </w:tr>
    </w:tbl>
    <w:p w14:paraId="75720301" w14:textId="77777777" w:rsidR="00FD0146" w:rsidRDefault="0099705B">
      <w:pPr>
        <w:pStyle w:val="Ttulo2"/>
      </w:pPr>
      <w:r>
        <w:t>4.2.2. Modelo de negocio y líneas de ingreso</w:t>
      </w:r>
    </w:p>
    <w:p w14:paraId="31EA2E48" w14:textId="3DB41067" w:rsidR="00FD0146" w:rsidRDefault="0099705B">
      <w:r>
        <w:t xml:space="preserve">Los ingresos de TeComparoTodo.es proceden de la activación de contratos de luz, gas y alarmas, de la venta de placas solares y de la venta de </w:t>
      </w:r>
      <w:proofErr w:type="spellStart"/>
      <w:r>
        <w:t>tarifas</w:t>
      </w:r>
      <w:proofErr w:type="spellEnd"/>
      <w:r>
        <w:t xml:space="preserve"> de </w:t>
      </w:r>
      <w:proofErr w:type="spellStart"/>
      <w:r>
        <w:t>telefonía</w:t>
      </w:r>
      <w:proofErr w:type="spellEnd"/>
      <w:r>
        <w:t xml:space="preserve">, </w:t>
      </w:r>
      <w:proofErr w:type="spellStart"/>
      <w:r>
        <w:t>siendo</w:t>
      </w:r>
      <w:proofErr w:type="spellEnd"/>
      <w:r w:rsidR="00334857">
        <w:t xml:space="preserve"> </w:t>
      </w:r>
      <w:proofErr w:type="spellStart"/>
      <w:r w:rsidR="00334857">
        <w:t>el</w:t>
      </w:r>
      <w:proofErr w:type="spellEnd"/>
      <w:r w:rsidR="00334857">
        <w:t xml:space="preserve"> </w:t>
      </w:r>
      <w:proofErr w:type="spellStart"/>
      <w:r w:rsidR="00334857">
        <w:t>segmento</w:t>
      </w:r>
      <w:proofErr w:type="spellEnd"/>
      <w:r w:rsidR="00334857">
        <w:t xml:space="preserve"> de </w:t>
      </w:r>
      <w:proofErr w:type="spellStart"/>
      <w:r w:rsidR="00334857">
        <w:t>energía</w:t>
      </w:r>
      <w:proofErr w:type="spellEnd"/>
      <w:r w:rsidR="00334857">
        <w:t xml:space="preserve"> </w:t>
      </w:r>
      <w:proofErr w:type="spellStart"/>
      <w:r w:rsidR="00334857">
        <w:t>el</w:t>
      </w:r>
      <w:proofErr w:type="spellEnd"/>
      <w:r w:rsidR="00334857">
        <w:t xml:space="preserve"> que </w:t>
      </w:r>
      <w:proofErr w:type="spellStart"/>
      <w:r w:rsidR="00334857">
        <w:t>más</w:t>
      </w:r>
      <w:proofErr w:type="spellEnd"/>
      <w:r w:rsidR="00334857">
        <w:t xml:space="preserve"> </w:t>
      </w:r>
      <w:proofErr w:type="spellStart"/>
      <w:r w:rsidR="00334857">
        <w:t>ingresos</w:t>
      </w:r>
      <w:proofErr w:type="spellEnd"/>
      <w:r w:rsidR="00334857">
        <w:t xml:space="preserve"> genera por </w:t>
      </w:r>
      <w:proofErr w:type="spellStart"/>
      <w:r w:rsidR="00334857">
        <w:t>volume</w:t>
      </w:r>
      <w:r w:rsidR="001E2F2D">
        <w:t>n</w:t>
      </w:r>
      <w:proofErr w:type="spellEnd"/>
      <w:r w:rsidR="001E2F2D">
        <w:t xml:space="preserve"> y</w:t>
      </w:r>
      <w:r w:rsidR="00334857">
        <w:t xml:space="preserve"> por </w:t>
      </w:r>
      <w:proofErr w:type="spellStart"/>
      <w:r w:rsidR="00334857">
        <w:t>su</w:t>
      </w:r>
      <w:proofErr w:type="spellEnd"/>
      <w:r w:rsidR="00334857">
        <w:t xml:space="preserve"> </w:t>
      </w:r>
      <w:proofErr w:type="spellStart"/>
      <w:r w:rsidR="00334857">
        <w:t>facilidad</w:t>
      </w:r>
      <w:proofErr w:type="spellEnd"/>
      <w:r w:rsidR="00334857">
        <w:t xml:space="preserve"> de </w:t>
      </w:r>
      <w:proofErr w:type="spellStart"/>
      <w:r w:rsidR="00334857">
        <w:t>venta</w:t>
      </w:r>
      <w:proofErr w:type="spellEnd"/>
      <w:r w:rsidR="001E2F2D">
        <w:t xml:space="preserve">, sin embargo </w:t>
      </w:r>
      <w:proofErr w:type="spellStart"/>
      <w:r w:rsidR="001E2F2D">
        <w:t>en</w:t>
      </w:r>
      <w:proofErr w:type="spellEnd"/>
      <w:r w:rsidR="001E2F2D">
        <w:t xml:space="preserve"> </w:t>
      </w:r>
      <w:proofErr w:type="spellStart"/>
      <w:r w:rsidR="001E2F2D">
        <w:t>términos</w:t>
      </w:r>
      <w:proofErr w:type="spellEnd"/>
      <w:r w:rsidR="001E2F2D">
        <w:t xml:space="preserve"> del </w:t>
      </w:r>
      <w:proofErr w:type="spellStart"/>
      <w:r w:rsidR="001E2F2D">
        <w:t>segmento</w:t>
      </w:r>
      <w:proofErr w:type="spellEnd"/>
      <w:r w:rsidR="001E2F2D">
        <w:t xml:space="preserve"> que mayor </w:t>
      </w:r>
      <w:proofErr w:type="spellStart"/>
      <w:r w:rsidR="001E2F2D">
        <w:t>comisión</w:t>
      </w:r>
      <w:proofErr w:type="spellEnd"/>
      <w:r w:rsidR="001E2F2D">
        <w:t xml:space="preserve"> </w:t>
      </w:r>
      <w:proofErr w:type="spellStart"/>
      <w:r w:rsidR="001E2F2D">
        <w:t>paga</w:t>
      </w:r>
      <w:proofErr w:type="spellEnd"/>
      <w:r w:rsidR="001E2F2D">
        <w:t xml:space="preserve">, </w:t>
      </w:r>
      <w:proofErr w:type="spellStart"/>
      <w:r w:rsidR="001E2F2D">
        <w:t>el</w:t>
      </w:r>
      <w:proofErr w:type="spellEnd"/>
      <w:r w:rsidR="001E2F2D">
        <w:t xml:space="preserve"> </w:t>
      </w:r>
      <w:proofErr w:type="spellStart"/>
      <w:r w:rsidR="001E2F2D">
        <w:t>orden</w:t>
      </w:r>
      <w:proofErr w:type="spellEnd"/>
      <w:r w:rsidR="001E2F2D">
        <w:t xml:space="preserve"> </w:t>
      </w:r>
      <w:proofErr w:type="spellStart"/>
      <w:r w:rsidR="001E2F2D">
        <w:t>sería</w:t>
      </w:r>
      <w:proofErr w:type="spellEnd"/>
      <w:r w:rsidR="001E2F2D">
        <w:t xml:space="preserve"> </w:t>
      </w:r>
      <w:proofErr w:type="spellStart"/>
      <w:r w:rsidR="001E2F2D">
        <w:t>placas</w:t>
      </w:r>
      <w:proofErr w:type="spellEnd"/>
      <w:r w:rsidR="001E2F2D">
        <w:t xml:space="preserve">, </w:t>
      </w:r>
      <w:proofErr w:type="spellStart"/>
      <w:r w:rsidR="001E2F2D">
        <w:t>alarmas</w:t>
      </w:r>
      <w:proofErr w:type="spellEnd"/>
      <w:r w:rsidR="001E2F2D">
        <w:t xml:space="preserve">, </w:t>
      </w:r>
      <w:proofErr w:type="spellStart"/>
      <w:r w:rsidR="001E2F2D">
        <w:t>telefonía</w:t>
      </w:r>
      <w:proofErr w:type="spellEnd"/>
      <w:r w:rsidR="001E2F2D">
        <w:t xml:space="preserve"> y </w:t>
      </w:r>
      <w:proofErr w:type="spellStart"/>
      <w:r w:rsidR="001E2F2D">
        <w:t>energía</w:t>
      </w:r>
      <w:proofErr w:type="spellEnd"/>
      <w:r>
        <w:t>. A diferencia de un modelo de comparador clásico orientado al usuario final, el ingreso no se cobra al usuario sino al proveedor o partner que capta el lead (comercializadora de energía, operador de telefonía, in</w:t>
      </w:r>
      <w:r>
        <w:t>stalador de placas solares, etc.).</w:t>
      </w:r>
    </w:p>
    <w:p w14:paraId="7FFE4FCD" w14:textId="77777777" w:rsidR="00FD0146" w:rsidRDefault="0099705B">
      <w:r>
        <w:t xml:space="preserve">Una particularidad relevante del modelo de negocio, con implicaciones directas sobre el reconocimiento de ingresos y la lectura de los indicadores financieros mensuales, es que las comisiones de energía y telefonía están </w:t>
      </w:r>
      <w:r>
        <w:t>sujetas a un período de descomisión: si el cliente causa baja del servicio contratado dentro de dicho período, la comercializadora puede retirar, de forma parcial o total, la comisión ya reconocida como ingreso. Esta circunstancia implica que un ingreso re</w:t>
      </w:r>
      <w:r>
        <w:t>gistrado en un mes determinado puede verse reducido o anulado en meses posteriores, lo que condiciona la interpretación de cualquier indicador de ingresos o de crecimiento mes a mes calculado sobre estos datos.</w:t>
      </w:r>
    </w:p>
    <w:p w14:paraId="5A486EE5" w14:textId="77777777" w:rsidR="00FD0146" w:rsidRDefault="0099705B">
      <w:pPr>
        <w:pStyle w:val="Ttulo2"/>
      </w:pPr>
      <w:r>
        <w:t>4.2.3. Segmentación de clientes</w:t>
      </w:r>
    </w:p>
    <w:p w14:paraId="27D3381C" w14:textId="03C098F8" w:rsidR="00FD0146" w:rsidRDefault="0099705B">
      <w:r>
        <w:t>En las líneas</w:t>
      </w:r>
      <w:r>
        <w:t xml:space="preserve"> de negocio de telefonía, energía y alarmas, los principales segmentos de cliente son empresas y particulares a partir de los 35 años, umbral de edad que la empresa asocia a un mayor grado de independencia residencial. En el segmento de placas solares, el </w:t>
      </w:r>
      <w:r>
        <w:t xml:space="preserve">cliente objetivo se concentra geográficamente en la Comunidad Autónoma de Andalucía. </w:t>
      </w:r>
    </w:p>
    <w:p w14:paraId="6D1C59BE" w14:textId="77777777" w:rsidR="00FD0146" w:rsidRDefault="0099705B">
      <w:pPr>
        <w:pStyle w:val="Ttulo2"/>
      </w:pPr>
      <w:r>
        <w:t>4.2.4. Canales de captación y estructura de costes de marketing</w:t>
      </w:r>
    </w:p>
    <w:p w14:paraId="73ABCA7A" w14:textId="0C476357" w:rsidR="00FD0146" w:rsidRDefault="0099705B">
      <w:r>
        <w:t>Los canales de captación de tráfico y leads declarados son la publicidad y el marketing digital (</w:t>
      </w:r>
      <w:r w:rsidR="00326696">
        <w:t xml:space="preserve">GEO, </w:t>
      </w:r>
      <w:r>
        <w:t xml:space="preserve">SEO y SEM), los comerciales de </w:t>
      </w:r>
      <w:proofErr w:type="spellStart"/>
      <w:r>
        <w:t>calle</w:t>
      </w:r>
      <w:proofErr w:type="spellEnd"/>
      <w:r>
        <w:t xml:space="preserve"> y los </w:t>
      </w:r>
      <w:proofErr w:type="spellStart"/>
      <w:r w:rsidR="00326696">
        <w:t>clientes</w:t>
      </w:r>
      <w:proofErr w:type="spellEnd"/>
      <w:r w:rsidR="00326696">
        <w:t xml:space="preserve"> </w:t>
      </w:r>
      <w:proofErr w:type="spellStart"/>
      <w:r>
        <w:t>referidos</w:t>
      </w:r>
      <w:proofErr w:type="spellEnd"/>
      <w:r>
        <w:t xml:space="preserve">. La propia empresa reconoce que, hasta la fecha de la entrevista, la estrategia de SEO y SEM se había ejecutado </w:t>
      </w:r>
      <w:r w:rsidR="00326696">
        <w:t>“</w:t>
      </w:r>
      <w:r>
        <w:t xml:space="preserve">de forma dispersa y sin </w:t>
      </w:r>
      <w:proofErr w:type="spellStart"/>
      <w:r>
        <w:t>conocimiento</w:t>
      </w:r>
      <w:proofErr w:type="spellEnd"/>
      <w:r>
        <w:t xml:space="preserve"> </w:t>
      </w:r>
      <w:proofErr w:type="spellStart"/>
      <w:r>
        <w:t>adecuado</w:t>
      </w:r>
      <w:proofErr w:type="spellEnd"/>
      <w:r>
        <w:t>»</w:t>
      </w:r>
      <w:r w:rsidR="00326696">
        <w:t>”</w:t>
      </w:r>
      <w:r>
        <w:t xml:space="preserve">de </w:t>
      </w:r>
      <w:proofErr w:type="spellStart"/>
      <w:r>
        <w:t>su</w:t>
      </w:r>
      <w:proofErr w:type="spellEnd"/>
      <w:r>
        <w:t xml:space="preserve"> </w:t>
      </w:r>
      <w:proofErr w:type="spellStart"/>
      <w:r>
        <w:t>funcionamiento</w:t>
      </w:r>
      <w:proofErr w:type="spellEnd"/>
      <w:r>
        <w:t xml:space="preserve">, lo que llevó a que la inversión efectivamente destinada a estas partidas </w:t>
      </w:r>
      <w:r>
        <w:t xml:space="preserve">(del orden de 500 euros mensuales) superase de forma sostenida el presupuesto inicialmente previsto (200 euros), sin que ello se tradujese en resultados comerciales apreciables. Esta situación motivó la incorporación, a partir del mes de septiembre, de un </w:t>
      </w:r>
      <w:r>
        <w:lastRenderedPageBreak/>
        <w:t>especialista en SEO y SEM encargado de reconducir la estrategia y de ejecutar el presupuesto de forma más productiva.</w:t>
      </w:r>
    </w:p>
    <w:p w14:paraId="20839F49" w14:textId="77777777" w:rsidR="00FD0146" w:rsidRDefault="0099705B">
      <w:r>
        <w:t>Respecto al rendimiento comparado de los canales, la empresa identifica Google Ads como el canal de pago «extremadamente caro», frente a F</w:t>
      </w:r>
      <w:r>
        <w:t>acebook (Meta), señalado como el canal que mejor convierte; los servicios también se promocionan en Instagram y TikTok, si bien con resultados más limitados, atribuidos por la empresa al tipo de usuario predominante en dichas redes. El control del rendimie</w:t>
      </w:r>
      <w:r>
        <w:t>nto de las campañas en Meta se realiza de forma cotejada con el CRM desarrollado internamente por la responsable de backoffice de la compañía.</w:t>
      </w:r>
    </w:p>
    <w:p w14:paraId="74827BD3" w14:textId="77777777" w:rsidR="00FD0146" w:rsidRDefault="0099705B">
      <w:pPr>
        <w:pStyle w:val="Ttulo2"/>
      </w:pPr>
      <w:r>
        <w:t>4.2.5. Red de partners</w:t>
      </w:r>
    </w:p>
    <w:p w14:paraId="4CD5325B" w14:textId="77777777" w:rsidR="00FD0146" w:rsidRDefault="0099705B">
      <w:r>
        <w:t xml:space="preserve">Cada partner (comercializadora o proveedor) opera con condiciones de pago distintas, y la </w:t>
      </w:r>
      <w:r>
        <w:t>selección de partners se realiza en función de tres criterios combinados: el volumen de ventas y la comisión ofrecida, la calidad de la postventa, y la gestión de contratos por parte del backoffice del propio partner, señalándose explícitamente como releva</w:t>
      </w:r>
      <w:r>
        <w:t>nte que el partner cuente con un backoffice funcional. La empresa destaca asimismo la importancia de conocer con precisión cuándo y cómo paga cada partner, aspecto directamente relacionado con la gestión de tesorería del negocio.</w:t>
      </w:r>
    </w:p>
    <w:p w14:paraId="29F9ABB2" w14:textId="77777777" w:rsidR="00FD0146" w:rsidRDefault="0099705B">
      <w:pPr>
        <w:pStyle w:val="Ttulo1"/>
      </w:pPr>
      <w:r>
        <w:t>4.3. Gobernanza de la info</w:t>
      </w:r>
      <w:r>
        <w:t>rmación y toma de decisiones</w:t>
      </w:r>
    </w:p>
    <w:p w14:paraId="6A3C8EF3" w14:textId="77777777" w:rsidR="00FD0146" w:rsidRDefault="0099705B">
      <w:pPr>
        <w:pStyle w:val="Ttulo2"/>
      </w:pPr>
      <w:r>
        <w:t>4.3.1. Usuarios del dashboard y frecuencia de uso</w:t>
      </w:r>
    </w:p>
    <w:p w14:paraId="3044DE77" w14:textId="77777777" w:rsidR="00FD0146" w:rsidRDefault="0099705B">
      <w:r>
        <w:t>Los usuarios previstos del futuro dashboard financiero son el CEO y la responsable de backoffice, con una frecuencia de consulta mensual. Ante la hipótesis de que el dashboard f</w:t>
      </w:r>
      <w:r>
        <w:t>uese consultado por un inversor, la empresa identifica tres cifras que debería ver en primer lugar: el beneficio, el volumen de ventas y las bajas o descomisiones, lo que anticipa una parte sustancial de los indicadores prioritarios recogidos en el epígraf</w:t>
      </w:r>
      <w:r>
        <w:t>e 4.4.4.</w:t>
      </w:r>
    </w:p>
    <w:p w14:paraId="5D173B11" w14:textId="77777777" w:rsidR="00FD0146" w:rsidRDefault="0099705B">
      <w:pPr>
        <w:pStyle w:val="Ttulo2"/>
      </w:pPr>
      <w:r>
        <w:t>4.3.2. Decisiones recurrentes y cultura de datos</w:t>
      </w:r>
    </w:p>
    <w:p w14:paraId="5F41F216" w14:textId="77777777" w:rsidR="00FD0146" w:rsidRDefault="0099705B">
      <w:r>
        <w:t xml:space="preserve">La decisión de negocio que se toma de forma más recurrente es la de subir o bajar el presupuesto de marketing. La empresa se autodefine como una organización de cultura data-driven, en la que </w:t>
      </w:r>
      <w:r>
        <w:t>todas las decisiones se adoptan en base a datos obtenibles a través del CRM. No obstante, la propia entrevista pone de manifiesto una contradicción relevante para el diagnóstico: la compañía no cuenta con una herramienta de proyección de caja ni con un das</w:t>
      </w:r>
      <w:r>
        <w:t>hboard financiero que permita disponer de esta información de forma ágil, y reconoce mantener, en el ámbito estrictamente financiero, una cultura más próxima al «papel y lápiz» que a la gestión basada en datos que sí aplica en el ámbito comercial. Esta bre</w:t>
      </w:r>
      <w:r>
        <w:t>cha entre una cultura de datos consolidada en el plano comercial y una cultura de datos incipiente en el plano financiero constituye, posiblemente, el hallazgo diagnóstico más relevante de este capítulo.</w:t>
      </w:r>
    </w:p>
    <w:p w14:paraId="7FF119F1" w14:textId="77777777" w:rsidR="00FD0146" w:rsidRDefault="0099705B">
      <w:pPr>
        <w:pStyle w:val="Ttulo1"/>
      </w:pPr>
      <w:r>
        <w:t>4.4. Necesidades de información no cubiertas</w:t>
      </w:r>
    </w:p>
    <w:p w14:paraId="5F7D3E97" w14:textId="77777777" w:rsidR="00FD0146" w:rsidRDefault="0099705B">
      <w:pPr>
        <w:pStyle w:val="Ttulo2"/>
      </w:pPr>
      <w:r>
        <w:t xml:space="preserve">4.4.1. </w:t>
      </w:r>
      <w:r>
        <w:t>Decisiones tomadas con datos incompletos</w:t>
      </w:r>
    </w:p>
    <w:p w14:paraId="62D7136D" w14:textId="77777777" w:rsidR="00FD0146" w:rsidRDefault="0099705B">
      <w:r>
        <w:t xml:space="preserve">La decisión que la empresa identifica como tomada «a ciegas» durante sus primeros seis meses de actividad es la relativa a la inversión en publicidad: la ausencia de una persona con el conocimiento </w:t>
      </w:r>
      <w:r>
        <w:lastRenderedPageBreak/>
        <w:t>adecuado para eje</w:t>
      </w:r>
      <w:r>
        <w:t>cutar la estrategia de SEO y SEM llevó a invertir aproximadamente 3.000 euros sin que ello se tradujese en resultados de venta apreciables, hasta la incorporación del especialista mencionado en el epígrafe 4.2.4. A raíz de esta experiencia, la empresa expr</w:t>
      </w:r>
      <w:r>
        <w:t>esa la necesidad de una herramienta que permita conjugar, en un mismo dashboard, las ventas efectivas y los canales de captación, no ya en términos de leads captados, sino en términos monetarios y con métricas propias del ecosistema startup: tiempo de vida</w:t>
      </w:r>
      <w:r>
        <w:t xml:space="preserve"> de un cliente, ingreso generado por cliente y coste de adquisición de cliente.</w:t>
      </w:r>
    </w:p>
    <w:p w14:paraId="70111E00" w14:textId="77777777" w:rsidR="00FD0146" w:rsidRDefault="0099705B">
      <w:pPr>
        <w:pStyle w:val="Ttulo2"/>
      </w:pPr>
      <w:r>
        <w:t>4.4.2. Preguntas financieras sin respuesta fiable</w:t>
      </w:r>
    </w:p>
    <w:p w14:paraId="5BB8EB4C" w14:textId="77777777" w:rsidR="00FD0146" w:rsidRDefault="0099705B">
      <w:r>
        <w:t xml:space="preserve">De forma explícita, la empresa declara no poder responder hoy, con datos fiables, a tres preguntas financieras: cuánto runway </w:t>
      </w:r>
      <w:r>
        <w:t>le queda, cuál es el coste de adquisición de un cliente (CAC) y cuánto dinero genera un mismo cliente hasta su baja del servicio (valor de vida del cliente o LTV). La propia empresa matiza que estas tres preguntas están directamente vinculadas a una estrat</w:t>
      </w:r>
      <w:r>
        <w:t>egia de marketing y publicidad de incorporación muy reciente, que todavía no ha generado una serie temporal de datos suficiente como para revelar una tendencia analizable.</w:t>
      </w:r>
    </w:p>
    <w:p w14:paraId="100A124C" w14:textId="21C3539A" w:rsidR="00FD0146" w:rsidRDefault="0099705B">
      <w:pPr>
        <w:pStyle w:val="Ttulo2"/>
      </w:pPr>
      <w:r>
        <w:t>4.4.</w:t>
      </w:r>
      <w:r w:rsidR="00D75A48">
        <w:t>3</w:t>
      </w:r>
      <w:r>
        <w:t>. KPIs prioritarios identificados por los fundadores</w:t>
      </w:r>
    </w:p>
    <w:p w14:paraId="6D6CB085" w14:textId="741FCBE3" w:rsidR="00FD0146" w:rsidRDefault="0099705B">
      <w:r>
        <w:t>Ante la pregunta de qué tres indicadores elegirí</w:t>
      </w:r>
      <w:r>
        <w:t xml:space="preserve">an para «dormir tranquilos» cada mes, los fundadores señalan el porcentaje de activaciones, el porcentaje de bajas y el rendimiento de cada canal de captación. </w:t>
      </w:r>
    </w:p>
    <w:p w14:paraId="7DBCC005" w14:textId="77777777" w:rsidR="00FD0146" w:rsidRDefault="0099705B">
      <w:pPr>
        <w:jc w:val="center"/>
      </w:pPr>
      <w:r>
        <w:rPr>
          <w:i/>
        </w:rPr>
        <w:t>Tabla 4.2. Síntesis de las necesidades de información identificadas en la entrevista.</w:t>
      </w:r>
    </w:p>
    <w:tbl>
      <w:tblPr>
        <w:tblStyle w:val="Tablaconcuadrcula"/>
        <w:tblW w:w="0" w:type="auto"/>
        <w:tblLook w:val="04A0" w:firstRow="1" w:lastRow="0" w:firstColumn="1" w:lastColumn="0" w:noHBand="0" w:noVBand="1"/>
      </w:tblPr>
      <w:tblGrid>
        <w:gridCol w:w="3024"/>
        <w:gridCol w:w="3024"/>
        <w:gridCol w:w="3024"/>
      </w:tblGrid>
      <w:tr w:rsidR="00FD0146" w14:paraId="34BD7EFE" w14:textId="77777777">
        <w:tc>
          <w:tcPr>
            <w:tcW w:w="3024" w:type="dxa"/>
          </w:tcPr>
          <w:p w14:paraId="4D1F7AA0" w14:textId="77777777" w:rsidR="00FD0146" w:rsidRDefault="0099705B">
            <w:r>
              <w:rPr>
                <w:b/>
              </w:rPr>
              <w:t>Área</w:t>
            </w:r>
          </w:p>
        </w:tc>
        <w:tc>
          <w:tcPr>
            <w:tcW w:w="3024" w:type="dxa"/>
          </w:tcPr>
          <w:p w14:paraId="4BB01AE0" w14:textId="77777777" w:rsidR="00FD0146" w:rsidRDefault="0099705B">
            <w:r>
              <w:rPr>
                <w:b/>
              </w:rPr>
              <w:t>Necesidad detectada</w:t>
            </w:r>
          </w:p>
        </w:tc>
        <w:tc>
          <w:tcPr>
            <w:tcW w:w="3024" w:type="dxa"/>
          </w:tcPr>
          <w:p w14:paraId="3E03D98B" w14:textId="77777777" w:rsidR="00FD0146" w:rsidRDefault="0099705B">
            <w:r>
              <w:rPr>
                <w:b/>
              </w:rPr>
              <w:t>Estado actual declarado por la empresa</w:t>
            </w:r>
          </w:p>
        </w:tc>
      </w:tr>
      <w:tr w:rsidR="00FD0146" w14:paraId="14335683" w14:textId="77777777">
        <w:tc>
          <w:tcPr>
            <w:tcW w:w="3024" w:type="dxa"/>
          </w:tcPr>
          <w:p w14:paraId="64BD936A" w14:textId="77777777" w:rsidR="00FD0146" w:rsidRDefault="0099705B">
            <w:r>
              <w:t>Rentabilidad por canal/subcanal</w:t>
            </w:r>
          </w:p>
        </w:tc>
        <w:tc>
          <w:tcPr>
            <w:tcW w:w="3024" w:type="dxa"/>
          </w:tcPr>
          <w:p w14:paraId="57CD2BBD" w14:textId="77777777" w:rsidR="00FD0146" w:rsidRDefault="0099705B">
            <w:r>
              <w:t xml:space="preserve">ROI monetario por </w:t>
            </w:r>
            <w:r>
              <w:t>canal de captación, no solo en leads</w:t>
            </w:r>
          </w:p>
        </w:tc>
        <w:tc>
          <w:tcPr>
            <w:tcW w:w="3024" w:type="dxa"/>
          </w:tcPr>
          <w:p w14:paraId="7513D084" w14:textId="77777777" w:rsidR="00FD0146" w:rsidRDefault="0099705B">
            <w:r>
              <w:t>No disponible de forma sistemática</w:t>
            </w:r>
          </w:p>
        </w:tc>
      </w:tr>
      <w:tr w:rsidR="00FD0146" w14:paraId="11312D71" w14:textId="77777777">
        <w:tc>
          <w:tcPr>
            <w:tcW w:w="3024" w:type="dxa"/>
          </w:tcPr>
          <w:p w14:paraId="108A8B20" w14:textId="77777777" w:rsidR="00FD0146" w:rsidRDefault="0099705B">
            <w:r>
              <w:t>Métricas de cliente</w:t>
            </w:r>
          </w:p>
        </w:tc>
        <w:tc>
          <w:tcPr>
            <w:tcW w:w="3024" w:type="dxa"/>
          </w:tcPr>
          <w:p w14:paraId="2E08128F" w14:textId="77777777" w:rsidR="00FD0146" w:rsidRDefault="0099705B">
            <w:r>
              <w:t>CAC y valor de vida del cliente (LTV)</w:t>
            </w:r>
          </w:p>
        </w:tc>
        <w:tc>
          <w:tcPr>
            <w:tcW w:w="3024" w:type="dxa"/>
          </w:tcPr>
          <w:p w14:paraId="06BCB9D1" w14:textId="77777777" w:rsidR="00FD0146" w:rsidRDefault="0099705B">
            <w:r>
              <w:t>No calculables con datos fiables todavía</w:t>
            </w:r>
          </w:p>
        </w:tc>
      </w:tr>
      <w:tr w:rsidR="00FD0146" w14:paraId="25B2E2F4" w14:textId="77777777">
        <w:tc>
          <w:tcPr>
            <w:tcW w:w="3024" w:type="dxa"/>
          </w:tcPr>
          <w:p w14:paraId="26A90977" w14:textId="77777777" w:rsidR="00FD0146" w:rsidRDefault="0099705B">
            <w:r>
              <w:t>Liquidez / tesorería</w:t>
            </w:r>
          </w:p>
        </w:tc>
        <w:tc>
          <w:tcPr>
            <w:tcW w:w="3024" w:type="dxa"/>
          </w:tcPr>
          <w:p w14:paraId="3DDCE3A9" w14:textId="77777777" w:rsidR="00FD0146" w:rsidRDefault="0099705B">
            <w:r>
              <w:t>Proyección de caja y cálculo de runway</w:t>
            </w:r>
          </w:p>
        </w:tc>
        <w:tc>
          <w:tcPr>
            <w:tcW w:w="3024" w:type="dxa"/>
          </w:tcPr>
          <w:p w14:paraId="5E16A488" w14:textId="77777777" w:rsidR="00FD0146" w:rsidRDefault="0099705B">
            <w:r>
              <w:t xml:space="preserve">Sin </w:t>
            </w:r>
            <w:r>
              <w:t>herramienta; gestión «de papel y lápiz»</w:t>
            </w:r>
          </w:p>
        </w:tc>
      </w:tr>
      <w:tr w:rsidR="00FD0146" w14:paraId="174F1C2E" w14:textId="77777777">
        <w:tc>
          <w:tcPr>
            <w:tcW w:w="3024" w:type="dxa"/>
          </w:tcPr>
          <w:p w14:paraId="5AB9738B" w14:textId="77777777" w:rsidR="00FD0146" w:rsidRDefault="0099705B">
            <w:r>
              <w:t>Rentabilidad por segmento</w:t>
            </w:r>
          </w:p>
        </w:tc>
        <w:tc>
          <w:tcPr>
            <w:tcW w:w="3024" w:type="dxa"/>
          </w:tcPr>
          <w:p w14:paraId="17929196" w14:textId="77777777" w:rsidR="00FD0146" w:rsidRDefault="0099705B">
            <w:r>
              <w:t>Rentabilidad comparada entre segmentos de cliente</w:t>
            </w:r>
          </w:p>
        </w:tc>
        <w:tc>
          <w:tcPr>
            <w:tcW w:w="3024" w:type="dxa"/>
          </w:tcPr>
          <w:p w14:paraId="6CE7E528" w14:textId="77777777" w:rsidR="00FD0146" w:rsidRDefault="0099705B">
            <w:r>
              <w:t>No analizada</w:t>
            </w:r>
          </w:p>
        </w:tc>
      </w:tr>
    </w:tbl>
    <w:p w14:paraId="03838E15" w14:textId="77777777" w:rsidR="00FD0146" w:rsidRDefault="0099705B">
      <w:pPr>
        <w:pStyle w:val="Ttulo1"/>
      </w:pPr>
      <w:r>
        <w:t>4.5. Auditoría de fuentes de datos (backoffice)</w:t>
      </w:r>
    </w:p>
    <w:p w14:paraId="68EE78FE" w14:textId="77777777" w:rsidR="00FD0146" w:rsidRDefault="0099705B">
      <w:pPr>
        <w:pStyle w:val="Ttulo2"/>
      </w:pPr>
      <w:r>
        <w:t>4.5.1. Sistemas de registro</w:t>
      </w:r>
    </w:p>
    <w:p w14:paraId="1FA49F69" w14:textId="77777777" w:rsidR="00FD0146" w:rsidRDefault="0099705B">
      <w:r>
        <w:t>La empresa dispone de un ERP propio, desarrollado a medida, con vistas segregadas según el perfil de usuario (comerciales frente a ejecutivos), y de un CRM de creación intern</w:t>
      </w:r>
      <w:r>
        <w:t>a, diseñado por la propia responsable de backoffice, en el que se registran las ventas y leads con su fecha, importe y canal de origen asociado. La distinción entre cliente nuevo y cliente recurrente se resuelve a través del propio canal de origen: los reg</w:t>
      </w:r>
      <w:r>
        <w:t>istros correspondientes a renovaciones se identifican con el canal «REN».</w:t>
      </w:r>
    </w:p>
    <w:p w14:paraId="098451A5" w14:textId="77777777" w:rsidR="00FD0146" w:rsidRDefault="0099705B">
      <w:pPr>
        <w:pStyle w:val="Ttulo2"/>
      </w:pPr>
      <w:r>
        <w:t>4.5.2. Categorización de ingresos y gastos</w:t>
      </w:r>
    </w:p>
    <w:p w14:paraId="343CD9E5" w14:textId="203B1D04" w:rsidR="00FD0146" w:rsidRDefault="0099705B">
      <w:r>
        <w:t>Los gastos de la compañía están categorizados (personal, marketing, tecnología, oficina, etc.) y son visibles igualmente desde el CRM. El g</w:t>
      </w:r>
      <w:r>
        <w:t xml:space="preserve">asto en marketing, en particular, se encuentra desglosado por canal y subcanal, con su fecha e importe correspondientes —un nivel de detalle especialmente </w:t>
      </w:r>
      <w:r>
        <w:lastRenderedPageBreak/>
        <w:t>relevante, puesto que es precisamente el tipo de dato transaccional que exige el cálculo de retorno p</w:t>
      </w:r>
      <w:r>
        <w:t>or subcanal de marketing—. Ante la pregunta directa sobre si existe algún dato que la empresa echa en falta y no registra en ningún sistema, la respuesta de la responsable de backoffice fue negativa. Esta respuesta contrasta, sin embargo, con las carencias</w:t>
      </w:r>
      <w:r>
        <w:t xml:space="preserve"> de información explícitamente señaladas por el fundador/a en el epígrafe 4.4 (runway, CAC, LTV), lo que sugiere que la carencia no reside tanto en el dato transaccional bruto —que sí parece estar siendo registrado con un nivel de detalle razonable— como e</w:t>
      </w:r>
      <w:r>
        <w:t xml:space="preserve">n su transformación en indicadores financieros agregados y accionables, que es precisamente la función que debe cumplir el dashboard </w:t>
      </w:r>
      <w:proofErr w:type="spellStart"/>
      <w:r>
        <w:t>objeto</w:t>
      </w:r>
      <w:proofErr w:type="spellEnd"/>
      <w:r>
        <w:t xml:space="preserve"> de </w:t>
      </w:r>
      <w:proofErr w:type="spellStart"/>
      <w:r>
        <w:t>este</w:t>
      </w:r>
      <w:proofErr w:type="spellEnd"/>
      <w:r>
        <w:t xml:space="preserve"> </w:t>
      </w:r>
      <w:proofErr w:type="spellStart"/>
      <w:r>
        <w:t>T</w:t>
      </w:r>
      <w:r w:rsidR="00B46397">
        <w:t>rabajo</w:t>
      </w:r>
      <w:proofErr w:type="spellEnd"/>
      <w:r w:rsidR="00B46397">
        <w:t xml:space="preserve"> de </w:t>
      </w:r>
      <w:r>
        <w:t>F</w:t>
      </w:r>
      <w:r w:rsidR="00B46397">
        <w:t xml:space="preserve">in de </w:t>
      </w:r>
      <w:proofErr w:type="spellStart"/>
      <w:r>
        <w:t>M</w:t>
      </w:r>
      <w:r w:rsidR="00B46397">
        <w:t>áster</w:t>
      </w:r>
      <w:proofErr w:type="spellEnd"/>
      <w:r>
        <w:t>.</w:t>
      </w:r>
    </w:p>
    <w:p w14:paraId="1D7FED73" w14:textId="77777777" w:rsidR="00FD0146" w:rsidRDefault="0099705B">
      <w:pPr>
        <w:pStyle w:val="Ttulo2"/>
      </w:pPr>
      <w:r>
        <w:t>4.5.3. Cierre contable y particularidad de la descomisión</w:t>
      </w:r>
    </w:p>
    <w:p w14:paraId="4FC524A6" w14:textId="77777777" w:rsidR="00FD0146" w:rsidRDefault="0099705B">
      <w:r>
        <w:t xml:space="preserve">El cierre o conciliación contable se realiza </w:t>
      </w:r>
      <w:r>
        <w:t>con periodicidad mensual. No obstante, como ya se ha señalado en el epígrafe 4.2.2, los ingresos sujetos a descomisión pueden registrarse como ingreso en un mes y verse posteriormente retirados, total o parcialmente, en el mes siguiente, lo que introduce u</w:t>
      </w:r>
      <w:r>
        <w:t>n elemento de revisión retroactiva a tener en cuenta en cualquier análisis de ingresos o de crecimiento mensual construido sobre estos datos.</w:t>
      </w:r>
    </w:p>
    <w:p w14:paraId="591BE645" w14:textId="77777777" w:rsidR="00FD0146" w:rsidRDefault="0099705B">
      <w:pPr>
        <w:pStyle w:val="Ttulo1"/>
      </w:pPr>
      <w:r>
        <w:t>4.6. Profundidad histórica y continuidad de los datos</w:t>
      </w:r>
    </w:p>
    <w:p w14:paraId="1E5DC979" w14:textId="6717CE68" w:rsidR="00FD0146" w:rsidRDefault="0099705B">
      <w:r>
        <w:t>La empresa dispone de datos financieros utilizables desde un</w:t>
      </w:r>
      <w:r>
        <w:t xml:space="preserve">a fecha coherente con su reciente constitución, cubriendo aproximadamente los seis meses de actividad transcurridos hasta el momento de la entrevista, con igual profundidad histórica para ingresos, gastos y ventas. Durante este período se </w:t>
      </w:r>
      <w:proofErr w:type="spellStart"/>
      <w:r>
        <w:t>produjo</w:t>
      </w:r>
      <w:proofErr w:type="spellEnd"/>
      <w:r>
        <w:t xml:space="preserve"> una </w:t>
      </w:r>
      <w:proofErr w:type="spellStart"/>
      <w:r>
        <w:t>migra</w:t>
      </w:r>
      <w:r>
        <w:t>ción</w:t>
      </w:r>
      <w:proofErr w:type="spellEnd"/>
      <w:r>
        <w:t xml:space="preserve"> </w:t>
      </w:r>
      <w:proofErr w:type="spellStart"/>
      <w:r w:rsidR="00AD5123">
        <w:t>en</w:t>
      </w:r>
      <w:proofErr w:type="spellEnd"/>
      <w:r w:rsidR="00AD5123">
        <w:t xml:space="preserve"> </w:t>
      </w:r>
      <w:proofErr w:type="spellStart"/>
      <w:r w:rsidR="00AD5123">
        <w:t>el</w:t>
      </w:r>
      <w:proofErr w:type="spellEnd"/>
      <w:r w:rsidR="00AD5123">
        <w:t xml:space="preserve"> </w:t>
      </w:r>
      <w:proofErr w:type="spellStart"/>
      <w:r w:rsidR="00AD5123">
        <w:t>mes</w:t>
      </w:r>
      <w:proofErr w:type="spellEnd"/>
      <w:r w:rsidR="00AD5123">
        <w:t xml:space="preserve"> de </w:t>
      </w:r>
      <w:proofErr w:type="spellStart"/>
      <w:r w:rsidR="00AD5123">
        <w:t>julio</w:t>
      </w:r>
      <w:proofErr w:type="spellEnd"/>
      <w:r w:rsidR="00AD5123">
        <w:t xml:space="preserve"> </w:t>
      </w:r>
      <w:proofErr w:type="spellStart"/>
      <w:r>
        <w:t>desde</w:t>
      </w:r>
      <w:proofErr w:type="spellEnd"/>
      <w:r>
        <w:t xml:space="preserve"> </w:t>
      </w:r>
      <w:proofErr w:type="spellStart"/>
      <w:r>
        <w:t>el</w:t>
      </w:r>
      <w:proofErr w:type="spellEnd"/>
      <w:r>
        <w:t xml:space="preserve"> ERP original —que no se ajustaba a las necesidades de la empresa— al ERP actualmente en uso, migración que ocasionó una pérdida aproximada del 1% de los datos. Según la empresa, esta pérdida no genera un problema de comparabilidad mes a mes; </w:t>
      </w:r>
      <w:r>
        <w:t xml:space="preserve">no obstante, al tratarse de una afirmación no verificada de forma independiente sobre una migración de sistema, se </w:t>
      </w:r>
      <w:proofErr w:type="spellStart"/>
      <w:r>
        <w:t>recomienda</w:t>
      </w:r>
      <w:proofErr w:type="spellEnd"/>
      <w:r>
        <w:t xml:space="preserve"> </w:t>
      </w:r>
      <w:proofErr w:type="spellStart"/>
      <w:r>
        <w:t>tratarla</w:t>
      </w:r>
      <w:proofErr w:type="spellEnd"/>
      <w:r>
        <w:t xml:space="preserve"> con </w:t>
      </w:r>
      <w:r w:rsidR="00BF1545">
        <w:t>cautela.</w:t>
      </w:r>
    </w:p>
    <w:p w14:paraId="0F06E9B9" w14:textId="77777777" w:rsidR="00FD0146" w:rsidRDefault="0099705B">
      <w:pPr>
        <w:pStyle w:val="Ttulo1"/>
      </w:pPr>
      <w:r>
        <w:t>4.7. Diagnóstico financiero preliminar a partir de las cifras agregadas aportadas por la empresa</w:t>
      </w:r>
    </w:p>
    <w:p w14:paraId="17410B9E" w14:textId="77777777" w:rsidR="00FD0146" w:rsidRDefault="0099705B">
      <w:r>
        <w:t>La empresa no dispuso, en el momento de la entrevista, de un extracto mensual desglosado de saldo de caja</w:t>
      </w:r>
      <w:r>
        <w:t>, ingresos y gastos de los últimos seis meses, por lo que facilitó en su lugar valores promedio aproximados, que se recogen en la Tabla 4.3. Estas cifras tienen un carácter orientativo: proceden de una estimación directa de la empresa y no de cuentas cerra</w:t>
      </w:r>
      <w:r>
        <w:t>das o auditadas, por lo que deben interpretarse como una primera fotografía aproximada y no como un dato definitivo.</w:t>
      </w:r>
    </w:p>
    <w:p w14:paraId="356762B9" w14:textId="77777777" w:rsidR="00FD0146" w:rsidRDefault="0099705B">
      <w:pPr>
        <w:jc w:val="center"/>
      </w:pPr>
      <w:r>
        <w:rPr>
          <w:i/>
        </w:rPr>
        <w:t>Tabla 4.3. Valores medios mensuales aproximados aportados por la empresa (diagnóstico preliminar).</w:t>
      </w:r>
    </w:p>
    <w:tbl>
      <w:tblPr>
        <w:tblStyle w:val="Tablaconcuadrcula"/>
        <w:tblW w:w="0" w:type="auto"/>
        <w:tblLook w:val="04A0" w:firstRow="1" w:lastRow="0" w:firstColumn="1" w:lastColumn="0" w:noHBand="0" w:noVBand="1"/>
      </w:tblPr>
      <w:tblGrid>
        <w:gridCol w:w="3024"/>
        <w:gridCol w:w="3024"/>
        <w:gridCol w:w="3024"/>
      </w:tblGrid>
      <w:tr w:rsidR="00FD0146" w14:paraId="392CAC98" w14:textId="77777777">
        <w:tc>
          <w:tcPr>
            <w:tcW w:w="3024" w:type="dxa"/>
          </w:tcPr>
          <w:p w14:paraId="5A432122" w14:textId="77777777" w:rsidR="00FD0146" w:rsidRDefault="0099705B">
            <w:r>
              <w:rPr>
                <w:b/>
              </w:rPr>
              <w:t>Concepto</w:t>
            </w:r>
          </w:p>
        </w:tc>
        <w:tc>
          <w:tcPr>
            <w:tcW w:w="3024" w:type="dxa"/>
          </w:tcPr>
          <w:p w14:paraId="5C5AEB98" w14:textId="77777777" w:rsidR="00FD0146" w:rsidRDefault="0099705B">
            <w:r>
              <w:rPr>
                <w:b/>
              </w:rPr>
              <w:t xml:space="preserve">Importe mensual </w:t>
            </w:r>
            <w:r>
              <w:rPr>
                <w:b/>
              </w:rPr>
              <w:t>aproximado (EUR)</w:t>
            </w:r>
          </w:p>
        </w:tc>
        <w:tc>
          <w:tcPr>
            <w:tcW w:w="3024" w:type="dxa"/>
          </w:tcPr>
          <w:p w14:paraId="270D02AF" w14:textId="77777777" w:rsidR="00FD0146" w:rsidRDefault="0099705B">
            <w:r>
              <w:rPr>
                <w:b/>
              </w:rPr>
              <w:t>Observaciones</w:t>
            </w:r>
          </w:p>
        </w:tc>
      </w:tr>
      <w:tr w:rsidR="00FD0146" w14:paraId="4F9D43B2" w14:textId="77777777">
        <w:tc>
          <w:tcPr>
            <w:tcW w:w="3024" w:type="dxa"/>
          </w:tcPr>
          <w:p w14:paraId="01E625D4" w14:textId="77777777" w:rsidR="00FD0146" w:rsidRDefault="0099705B">
            <w:r>
              <w:t>Oficina</w:t>
            </w:r>
          </w:p>
        </w:tc>
        <w:tc>
          <w:tcPr>
            <w:tcW w:w="3024" w:type="dxa"/>
          </w:tcPr>
          <w:p w14:paraId="7545EAFD" w14:textId="77777777" w:rsidR="00FD0146" w:rsidRDefault="0099705B">
            <w:r>
              <w:t>600</w:t>
            </w:r>
          </w:p>
        </w:tc>
        <w:tc>
          <w:tcPr>
            <w:tcW w:w="3024" w:type="dxa"/>
          </w:tcPr>
          <w:p w14:paraId="1654D5DD" w14:textId="77777777" w:rsidR="00FD0146" w:rsidRDefault="0099705B">
            <w:r>
              <w:t>Declarado directamente</w:t>
            </w:r>
          </w:p>
        </w:tc>
      </w:tr>
      <w:tr w:rsidR="00FD0146" w14:paraId="3AF55671" w14:textId="77777777">
        <w:tc>
          <w:tcPr>
            <w:tcW w:w="3024" w:type="dxa"/>
          </w:tcPr>
          <w:p w14:paraId="5F3AD748" w14:textId="77777777" w:rsidR="00FD0146" w:rsidRDefault="0099705B">
            <w:r>
              <w:t>Limpieza</w:t>
            </w:r>
          </w:p>
        </w:tc>
        <w:tc>
          <w:tcPr>
            <w:tcW w:w="3024" w:type="dxa"/>
          </w:tcPr>
          <w:p w14:paraId="6F61DA44" w14:textId="77777777" w:rsidR="00FD0146" w:rsidRDefault="0099705B">
            <w:r>
              <w:t>50</w:t>
            </w:r>
          </w:p>
        </w:tc>
        <w:tc>
          <w:tcPr>
            <w:tcW w:w="3024" w:type="dxa"/>
          </w:tcPr>
          <w:p w14:paraId="17FF5F3D" w14:textId="77777777" w:rsidR="00FD0146" w:rsidRDefault="0099705B">
            <w:r>
              <w:t>Declarado directamente</w:t>
            </w:r>
          </w:p>
        </w:tc>
      </w:tr>
      <w:tr w:rsidR="00FD0146" w14:paraId="74CEA60D" w14:textId="77777777">
        <w:tc>
          <w:tcPr>
            <w:tcW w:w="3024" w:type="dxa"/>
          </w:tcPr>
          <w:p w14:paraId="7101F820" w14:textId="77777777" w:rsidR="00FD0146" w:rsidRDefault="0099705B">
            <w:r>
              <w:t>Gastos de oficina (varios)</w:t>
            </w:r>
          </w:p>
        </w:tc>
        <w:tc>
          <w:tcPr>
            <w:tcW w:w="3024" w:type="dxa"/>
          </w:tcPr>
          <w:p w14:paraId="7398E3F9" w14:textId="77777777" w:rsidR="00FD0146" w:rsidRDefault="0099705B">
            <w:r>
              <w:t>50</w:t>
            </w:r>
          </w:p>
        </w:tc>
        <w:tc>
          <w:tcPr>
            <w:tcW w:w="3024" w:type="dxa"/>
          </w:tcPr>
          <w:p w14:paraId="4B6ECD81" w14:textId="77777777" w:rsidR="00FD0146" w:rsidRDefault="0099705B">
            <w:r>
              <w:t>Declarado directamente</w:t>
            </w:r>
          </w:p>
        </w:tc>
      </w:tr>
      <w:tr w:rsidR="00FD0146" w14:paraId="41322289" w14:textId="77777777">
        <w:tc>
          <w:tcPr>
            <w:tcW w:w="3024" w:type="dxa"/>
          </w:tcPr>
          <w:p w14:paraId="36C538E9" w14:textId="77777777" w:rsidR="00FD0146" w:rsidRDefault="0099705B">
            <w:r>
              <w:t>Personal</w:t>
            </w:r>
          </w:p>
        </w:tc>
        <w:tc>
          <w:tcPr>
            <w:tcW w:w="3024" w:type="dxa"/>
          </w:tcPr>
          <w:p w14:paraId="4725039B" w14:textId="271790B7" w:rsidR="00FD0146" w:rsidRDefault="0099705B">
            <w:r>
              <w:t xml:space="preserve">≈ </w:t>
            </w:r>
            <w:r w:rsidR="00AD7BFC">
              <w:t>6000</w:t>
            </w:r>
          </w:p>
        </w:tc>
        <w:tc>
          <w:tcPr>
            <w:tcW w:w="3024" w:type="dxa"/>
          </w:tcPr>
          <w:p w14:paraId="72083DA7" w14:textId="5898D86D" w:rsidR="00FD0146" w:rsidRDefault="0099705B">
            <w:r>
              <w:t xml:space="preserve">Interpretado como 3 personas × </w:t>
            </w:r>
            <w:r w:rsidR="00AD7BFC">
              <w:t>2000</w:t>
            </w:r>
            <w:r>
              <w:t xml:space="preserve"> €</w:t>
            </w:r>
            <w:r w:rsidR="00AD7BFC">
              <w:t>.</w:t>
            </w:r>
          </w:p>
        </w:tc>
      </w:tr>
      <w:tr w:rsidR="00FD0146" w14:paraId="4666AD5A" w14:textId="77777777">
        <w:tc>
          <w:tcPr>
            <w:tcW w:w="3024" w:type="dxa"/>
          </w:tcPr>
          <w:p w14:paraId="3B63A6C7" w14:textId="77777777" w:rsidR="00FD0146" w:rsidRDefault="0099705B">
            <w:r>
              <w:t>Market</w:t>
            </w:r>
            <w:r>
              <w:t>ing</w:t>
            </w:r>
          </w:p>
        </w:tc>
        <w:tc>
          <w:tcPr>
            <w:tcW w:w="3024" w:type="dxa"/>
          </w:tcPr>
          <w:p w14:paraId="7902054B" w14:textId="77777777" w:rsidR="00FD0146" w:rsidRDefault="0099705B">
            <w:r>
              <w:t>200</w:t>
            </w:r>
          </w:p>
        </w:tc>
        <w:tc>
          <w:tcPr>
            <w:tcW w:w="3024" w:type="dxa"/>
          </w:tcPr>
          <w:p w14:paraId="5D9208C1" w14:textId="77777777" w:rsidR="00FD0146" w:rsidRDefault="0099705B">
            <w:r>
              <w:t>Declarado directamente</w:t>
            </w:r>
          </w:p>
        </w:tc>
      </w:tr>
      <w:tr w:rsidR="00FD0146" w14:paraId="4DA1A3D2" w14:textId="77777777">
        <w:tc>
          <w:tcPr>
            <w:tcW w:w="3024" w:type="dxa"/>
          </w:tcPr>
          <w:p w14:paraId="6C153C58" w14:textId="77777777" w:rsidR="00FD0146" w:rsidRDefault="0099705B">
            <w:r>
              <w:lastRenderedPageBreak/>
              <w:t>Gasto total estimado</w:t>
            </w:r>
          </w:p>
        </w:tc>
        <w:tc>
          <w:tcPr>
            <w:tcW w:w="3024" w:type="dxa"/>
          </w:tcPr>
          <w:p w14:paraId="05B8F655" w14:textId="40FA8693" w:rsidR="00FD0146" w:rsidRDefault="0099705B">
            <w:r>
              <w:t xml:space="preserve">≈ </w:t>
            </w:r>
            <w:r w:rsidR="00AD7BFC">
              <w:t>6.900</w:t>
            </w:r>
          </w:p>
        </w:tc>
        <w:tc>
          <w:tcPr>
            <w:tcW w:w="3024" w:type="dxa"/>
          </w:tcPr>
          <w:p w14:paraId="23CEBFD2" w14:textId="77777777" w:rsidR="00FD0146" w:rsidRDefault="0099705B">
            <w:r>
              <w:t>Suma de las partidas anteriores</w:t>
            </w:r>
          </w:p>
        </w:tc>
      </w:tr>
      <w:tr w:rsidR="00FD0146" w14:paraId="62B71F79" w14:textId="77777777">
        <w:tc>
          <w:tcPr>
            <w:tcW w:w="3024" w:type="dxa"/>
          </w:tcPr>
          <w:p w14:paraId="4D168289" w14:textId="77777777" w:rsidR="00FD0146" w:rsidRDefault="0099705B">
            <w:r>
              <w:t>Ingreso medio mensual</w:t>
            </w:r>
          </w:p>
        </w:tc>
        <w:tc>
          <w:tcPr>
            <w:tcW w:w="3024" w:type="dxa"/>
          </w:tcPr>
          <w:p w14:paraId="739A940A" w14:textId="77777777" w:rsidR="00FD0146" w:rsidRDefault="0099705B">
            <w:r>
              <w:t>4.000</w:t>
            </w:r>
          </w:p>
        </w:tc>
        <w:tc>
          <w:tcPr>
            <w:tcW w:w="3024" w:type="dxa"/>
          </w:tcPr>
          <w:p w14:paraId="0C2E2E69" w14:textId="77777777" w:rsidR="00FD0146" w:rsidRDefault="0099705B">
            <w:r>
              <w:t>Declarado directamente</w:t>
            </w:r>
          </w:p>
        </w:tc>
      </w:tr>
      <w:tr w:rsidR="00FD0146" w14:paraId="33D80240" w14:textId="77777777">
        <w:tc>
          <w:tcPr>
            <w:tcW w:w="3024" w:type="dxa"/>
          </w:tcPr>
          <w:p w14:paraId="263F610A" w14:textId="77777777" w:rsidR="00FD0146" w:rsidRDefault="0099705B">
            <w:r>
              <w:t>Caja actual</w:t>
            </w:r>
          </w:p>
        </w:tc>
        <w:tc>
          <w:tcPr>
            <w:tcW w:w="3024" w:type="dxa"/>
          </w:tcPr>
          <w:p w14:paraId="687A8EAD" w14:textId="77777777" w:rsidR="00FD0146" w:rsidRDefault="0099705B">
            <w:r>
              <w:t>60.000</w:t>
            </w:r>
          </w:p>
        </w:tc>
        <w:tc>
          <w:tcPr>
            <w:tcW w:w="3024" w:type="dxa"/>
          </w:tcPr>
          <w:p w14:paraId="40C07F14" w14:textId="77777777" w:rsidR="00FD0146" w:rsidRDefault="0099705B">
            <w:r>
              <w:t>Declarado directamente, fecha de la entrevista</w:t>
            </w:r>
          </w:p>
        </w:tc>
      </w:tr>
    </w:tbl>
    <w:p w14:paraId="27BC1AAB" w14:textId="7BE4974D" w:rsidR="0099705B" w:rsidRDefault="0099705B">
      <w:pPr>
        <w:pStyle w:val="Ttulo1"/>
        <w:rPr>
          <w:rFonts w:ascii="Calibri" w:eastAsiaTheme="minorEastAsia" w:hAnsi="Calibri" w:cstheme="minorBidi"/>
          <w:b w:val="0"/>
          <w:bCs w:val="0"/>
          <w:color w:val="auto"/>
          <w:sz w:val="22"/>
          <w:szCs w:val="22"/>
        </w:rPr>
      </w:pPr>
      <w:r w:rsidRPr="0099705B">
        <w:rPr>
          <w:rFonts w:ascii="Calibri" w:eastAsiaTheme="minorEastAsia" w:hAnsi="Calibri" w:cstheme="minorBidi"/>
          <w:b w:val="0"/>
          <w:bCs w:val="0"/>
          <w:color w:val="auto"/>
          <w:sz w:val="22"/>
          <w:szCs w:val="22"/>
        </w:rPr>
        <w:t xml:space="preserve">"A </w:t>
      </w:r>
      <w:proofErr w:type="spellStart"/>
      <w:r w:rsidRPr="0099705B">
        <w:rPr>
          <w:rFonts w:ascii="Calibri" w:eastAsiaTheme="minorEastAsia" w:hAnsi="Calibri" w:cstheme="minorBidi"/>
          <w:b w:val="0"/>
          <w:bCs w:val="0"/>
          <w:color w:val="auto"/>
          <w:sz w:val="22"/>
          <w:szCs w:val="22"/>
        </w:rPr>
        <w:t>partir</w:t>
      </w:r>
      <w:proofErr w:type="spellEnd"/>
      <w:r w:rsidRPr="0099705B">
        <w:rPr>
          <w:rFonts w:ascii="Calibri" w:eastAsiaTheme="minorEastAsia" w:hAnsi="Calibri" w:cstheme="minorBidi"/>
          <w:b w:val="0"/>
          <w:bCs w:val="0"/>
          <w:color w:val="auto"/>
          <w:sz w:val="22"/>
          <w:szCs w:val="22"/>
        </w:rPr>
        <w:t xml:space="preserve"> de </w:t>
      </w:r>
      <w:proofErr w:type="spellStart"/>
      <w:r w:rsidRPr="0099705B">
        <w:rPr>
          <w:rFonts w:ascii="Calibri" w:eastAsiaTheme="minorEastAsia" w:hAnsi="Calibri" w:cstheme="minorBidi"/>
          <w:b w:val="0"/>
          <w:bCs w:val="0"/>
          <w:color w:val="auto"/>
          <w:sz w:val="22"/>
          <w:szCs w:val="22"/>
        </w:rPr>
        <w:t>estas</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cifras</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agregadas</w:t>
      </w:r>
      <w:proofErr w:type="spellEnd"/>
      <w:r w:rsidRPr="0099705B">
        <w:rPr>
          <w:rFonts w:ascii="Calibri" w:eastAsiaTheme="minorEastAsia" w:hAnsi="Calibri" w:cstheme="minorBidi"/>
          <w:b w:val="0"/>
          <w:bCs w:val="0"/>
          <w:color w:val="auto"/>
          <w:sz w:val="22"/>
          <w:szCs w:val="22"/>
        </w:rPr>
        <w:t xml:space="preserve">, y </w:t>
      </w:r>
      <w:proofErr w:type="spellStart"/>
      <w:r w:rsidRPr="0099705B">
        <w:rPr>
          <w:rFonts w:ascii="Calibri" w:eastAsiaTheme="minorEastAsia" w:hAnsi="Calibri" w:cstheme="minorBidi"/>
          <w:b w:val="0"/>
          <w:bCs w:val="0"/>
          <w:color w:val="auto"/>
          <w:sz w:val="22"/>
          <w:szCs w:val="22"/>
        </w:rPr>
        <w:t>exclusivamente</w:t>
      </w:r>
      <w:proofErr w:type="spellEnd"/>
      <w:r w:rsidRPr="0099705B">
        <w:rPr>
          <w:rFonts w:ascii="Calibri" w:eastAsiaTheme="minorEastAsia" w:hAnsi="Calibri" w:cstheme="minorBidi"/>
          <w:b w:val="0"/>
          <w:bCs w:val="0"/>
          <w:color w:val="auto"/>
          <w:sz w:val="22"/>
          <w:szCs w:val="22"/>
        </w:rPr>
        <w:t xml:space="preserve"> con </w:t>
      </w:r>
      <w:proofErr w:type="spellStart"/>
      <w:r w:rsidRPr="0099705B">
        <w:rPr>
          <w:rFonts w:ascii="Calibri" w:eastAsiaTheme="minorEastAsia" w:hAnsi="Calibri" w:cstheme="minorBidi"/>
          <w:b w:val="0"/>
          <w:bCs w:val="0"/>
          <w:color w:val="auto"/>
          <w:sz w:val="22"/>
          <w:szCs w:val="22"/>
        </w:rPr>
        <w:t>carácter</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ilustrativo</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el</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gasto</w:t>
      </w:r>
      <w:proofErr w:type="spellEnd"/>
      <w:r w:rsidRPr="0099705B">
        <w:rPr>
          <w:rFonts w:ascii="Calibri" w:eastAsiaTheme="minorEastAsia" w:hAnsi="Calibri" w:cstheme="minorBidi"/>
          <w:b w:val="0"/>
          <w:bCs w:val="0"/>
          <w:color w:val="auto"/>
          <w:sz w:val="22"/>
          <w:szCs w:val="22"/>
        </w:rPr>
        <w:t xml:space="preserve"> medio </w:t>
      </w:r>
      <w:proofErr w:type="spellStart"/>
      <w:r w:rsidRPr="0099705B">
        <w:rPr>
          <w:rFonts w:ascii="Calibri" w:eastAsiaTheme="minorEastAsia" w:hAnsi="Calibri" w:cstheme="minorBidi"/>
          <w:b w:val="0"/>
          <w:bCs w:val="0"/>
          <w:color w:val="auto"/>
          <w:sz w:val="22"/>
          <w:szCs w:val="22"/>
        </w:rPr>
        <w:t>mensual</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estimado</w:t>
      </w:r>
      <w:proofErr w:type="spellEnd"/>
      <w:r w:rsidRPr="0099705B">
        <w:rPr>
          <w:rFonts w:ascii="Calibri" w:eastAsiaTheme="minorEastAsia" w:hAnsi="Calibri" w:cstheme="minorBidi"/>
          <w:b w:val="0"/>
          <w:bCs w:val="0"/>
          <w:color w:val="auto"/>
          <w:sz w:val="22"/>
          <w:szCs w:val="22"/>
        </w:rPr>
        <w:t xml:space="preserve"> (≈ 6.900 €) </w:t>
      </w:r>
      <w:proofErr w:type="spellStart"/>
      <w:r w:rsidRPr="0099705B">
        <w:rPr>
          <w:rFonts w:ascii="Calibri" w:eastAsiaTheme="minorEastAsia" w:hAnsi="Calibri" w:cstheme="minorBidi"/>
          <w:b w:val="0"/>
          <w:bCs w:val="0"/>
          <w:color w:val="auto"/>
          <w:sz w:val="22"/>
          <w:szCs w:val="22"/>
        </w:rPr>
        <w:t>supera</w:t>
      </w:r>
      <w:proofErr w:type="spellEnd"/>
      <w:r w:rsidRPr="0099705B">
        <w:rPr>
          <w:rFonts w:ascii="Calibri" w:eastAsiaTheme="minorEastAsia" w:hAnsi="Calibri" w:cstheme="minorBidi"/>
          <w:b w:val="0"/>
          <w:bCs w:val="0"/>
          <w:color w:val="auto"/>
          <w:sz w:val="22"/>
          <w:szCs w:val="22"/>
        </w:rPr>
        <w:t xml:space="preserve"> al </w:t>
      </w:r>
      <w:proofErr w:type="spellStart"/>
      <w:r w:rsidRPr="0099705B">
        <w:rPr>
          <w:rFonts w:ascii="Calibri" w:eastAsiaTheme="minorEastAsia" w:hAnsi="Calibri" w:cstheme="minorBidi"/>
          <w:b w:val="0"/>
          <w:bCs w:val="0"/>
          <w:color w:val="auto"/>
          <w:sz w:val="22"/>
          <w:szCs w:val="22"/>
        </w:rPr>
        <w:t>ingreso</w:t>
      </w:r>
      <w:proofErr w:type="spellEnd"/>
      <w:r w:rsidRPr="0099705B">
        <w:rPr>
          <w:rFonts w:ascii="Calibri" w:eastAsiaTheme="minorEastAsia" w:hAnsi="Calibri" w:cstheme="minorBidi"/>
          <w:b w:val="0"/>
          <w:bCs w:val="0"/>
          <w:color w:val="auto"/>
          <w:sz w:val="22"/>
          <w:szCs w:val="22"/>
        </w:rPr>
        <w:t xml:space="preserve"> medio </w:t>
      </w:r>
      <w:proofErr w:type="spellStart"/>
      <w:r w:rsidRPr="0099705B">
        <w:rPr>
          <w:rFonts w:ascii="Calibri" w:eastAsiaTheme="minorEastAsia" w:hAnsi="Calibri" w:cstheme="minorBidi"/>
          <w:b w:val="0"/>
          <w:bCs w:val="0"/>
          <w:color w:val="auto"/>
          <w:sz w:val="22"/>
          <w:szCs w:val="22"/>
        </w:rPr>
        <w:t>mensual</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declarado</w:t>
      </w:r>
      <w:proofErr w:type="spellEnd"/>
      <w:r w:rsidRPr="0099705B">
        <w:rPr>
          <w:rFonts w:ascii="Calibri" w:eastAsiaTheme="minorEastAsia" w:hAnsi="Calibri" w:cstheme="minorBidi"/>
          <w:b w:val="0"/>
          <w:bCs w:val="0"/>
          <w:color w:val="auto"/>
          <w:sz w:val="22"/>
          <w:szCs w:val="22"/>
        </w:rPr>
        <w:t xml:space="preserve"> (≈ 4.000 €), lo que </w:t>
      </w:r>
      <w:proofErr w:type="spellStart"/>
      <w:r w:rsidRPr="0099705B">
        <w:rPr>
          <w:rFonts w:ascii="Calibri" w:eastAsiaTheme="minorEastAsia" w:hAnsi="Calibri" w:cstheme="minorBidi"/>
          <w:b w:val="0"/>
          <w:bCs w:val="0"/>
          <w:color w:val="auto"/>
          <w:sz w:val="22"/>
          <w:szCs w:val="22"/>
        </w:rPr>
        <w:t>arroja</w:t>
      </w:r>
      <w:proofErr w:type="spellEnd"/>
      <w:r w:rsidRPr="0099705B">
        <w:rPr>
          <w:rFonts w:ascii="Calibri" w:eastAsiaTheme="minorEastAsia" w:hAnsi="Calibri" w:cstheme="minorBidi"/>
          <w:b w:val="0"/>
          <w:bCs w:val="0"/>
          <w:color w:val="auto"/>
          <w:sz w:val="22"/>
          <w:szCs w:val="22"/>
        </w:rPr>
        <w:t xml:space="preserve"> un Net Burn Rate </w:t>
      </w:r>
      <w:proofErr w:type="spellStart"/>
      <w:r w:rsidRPr="0099705B">
        <w:rPr>
          <w:rFonts w:ascii="Calibri" w:eastAsiaTheme="minorEastAsia" w:hAnsi="Calibri" w:cstheme="minorBidi"/>
          <w:b w:val="0"/>
          <w:bCs w:val="0"/>
          <w:color w:val="auto"/>
          <w:sz w:val="22"/>
          <w:szCs w:val="22"/>
        </w:rPr>
        <w:t>aproximado</w:t>
      </w:r>
      <w:proofErr w:type="spellEnd"/>
      <w:r w:rsidRPr="0099705B">
        <w:rPr>
          <w:rFonts w:ascii="Calibri" w:eastAsiaTheme="minorEastAsia" w:hAnsi="Calibri" w:cstheme="minorBidi"/>
          <w:b w:val="0"/>
          <w:bCs w:val="0"/>
          <w:color w:val="auto"/>
          <w:sz w:val="22"/>
          <w:szCs w:val="22"/>
        </w:rPr>
        <w:t xml:space="preserve"> de 2.900 euros </w:t>
      </w:r>
      <w:proofErr w:type="spellStart"/>
      <w:r w:rsidRPr="0099705B">
        <w:rPr>
          <w:rFonts w:ascii="Calibri" w:eastAsiaTheme="minorEastAsia" w:hAnsi="Calibri" w:cstheme="minorBidi"/>
          <w:b w:val="0"/>
          <w:bCs w:val="0"/>
          <w:color w:val="auto"/>
          <w:sz w:val="22"/>
          <w:szCs w:val="22"/>
        </w:rPr>
        <w:t>mensuales</w:t>
      </w:r>
      <w:proofErr w:type="spellEnd"/>
      <w:r w:rsidRPr="0099705B">
        <w:rPr>
          <w:rFonts w:ascii="Calibri" w:eastAsiaTheme="minorEastAsia" w:hAnsi="Calibri" w:cstheme="minorBidi"/>
          <w:b w:val="0"/>
          <w:bCs w:val="0"/>
          <w:color w:val="auto"/>
          <w:sz w:val="22"/>
          <w:szCs w:val="22"/>
        </w:rPr>
        <w:t xml:space="preserve"> . </w:t>
      </w:r>
      <w:proofErr w:type="spellStart"/>
      <w:r w:rsidRPr="0099705B">
        <w:rPr>
          <w:rFonts w:ascii="Calibri" w:eastAsiaTheme="minorEastAsia" w:hAnsi="Calibri" w:cstheme="minorBidi"/>
          <w:b w:val="0"/>
          <w:bCs w:val="0"/>
          <w:color w:val="auto"/>
          <w:sz w:val="22"/>
          <w:szCs w:val="22"/>
        </w:rPr>
        <w:t>Sobre</w:t>
      </w:r>
      <w:proofErr w:type="spellEnd"/>
      <w:r w:rsidRPr="0099705B">
        <w:rPr>
          <w:rFonts w:ascii="Calibri" w:eastAsiaTheme="minorEastAsia" w:hAnsi="Calibri" w:cstheme="minorBidi"/>
          <w:b w:val="0"/>
          <w:bCs w:val="0"/>
          <w:color w:val="auto"/>
          <w:sz w:val="22"/>
          <w:szCs w:val="22"/>
        </w:rPr>
        <w:t xml:space="preserve"> la </w:t>
      </w:r>
      <w:proofErr w:type="spellStart"/>
      <w:r w:rsidRPr="0099705B">
        <w:rPr>
          <w:rFonts w:ascii="Calibri" w:eastAsiaTheme="minorEastAsia" w:hAnsi="Calibri" w:cstheme="minorBidi"/>
          <w:b w:val="0"/>
          <w:bCs w:val="0"/>
          <w:color w:val="auto"/>
          <w:sz w:val="22"/>
          <w:szCs w:val="22"/>
        </w:rPr>
        <w:t>caja</w:t>
      </w:r>
      <w:proofErr w:type="spellEnd"/>
      <w:r w:rsidRPr="0099705B">
        <w:rPr>
          <w:rFonts w:ascii="Calibri" w:eastAsiaTheme="minorEastAsia" w:hAnsi="Calibri" w:cstheme="minorBidi"/>
          <w:b w:val="0"/>
          <w:bCs w:val="0"/>
          <w:color w:val="auto"/>
          <w:sz w:val="22"/>
          <w:szCs w:val="22"/>
        </w:rPr>
        <w:t xml:space="preserve"> disponible </w:t>
      </w:r>
      <w:proofErr w:type="spellStart"/>
      <w:r w:rsidRPr="0099705B">
        <w:rPr>
          <w:rFonts w:ascii="Calibri" w:eastAsiaTheme="minorEastAsia" w:hAnsi="Calibri" w:cstheme="minorBidi"/>
          <w:b w:val="0"/>
          <w:bCs w:val="0"/>
          <w:color w:val="auto"/>
          <w:sz w:val="22"/>
          <w:szCs w:val="22"/>
        </w:rPr>
        <w:t>en</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el</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momento</w:t>
      </w:r>
      <w:proofErr w:type="spellEnd"/>
      <w:r w:rsidRPr="0099705B">
        <w:rPr>
          <w:rFonts w:ascii="Calibri" w:eastAsiaTheme="minorEastAsia" w:hAnsi="Calibri" w:cstheme="minorBidi"/>
          <w:b w:val="0"/>
          <w:bCs w:val="0"/>
          <w:color w:val="auto"/>
          <w:sz w:val="22"/>
          <w:szCs w:val="22"/>
        </w:rPr>
        <w:t xml:space="preserve"> de la </w:t>
      </w:r>
      <w:proofErr w:type="spellStart"/>
      <w:r w:rsidRPr="0099705B">
        <w:rPr>
          <w:rFonts w:ascii="Calibri" w:eastAsiaTheme="minorEastAsia" w:hAnsi="Calibri" w:cstheme="minorBidi"/>
          <w:b w:val="0"/>
          <w:bCs w:val="0"/>
          <w:color w:val="auto"/>
          <w:sz w:val="22"/>
          <w:szCs w:val="22"/>
        </w:rPr>
        <w:t>entrevista</w:t>
      </w:r>
      <w:proofErr w:type="spellEnd"/>
      <w:r w:rsidRPr="0099705B">
        <w:rPr>
          <w:rFonts w:ascii="Calibri" w:eastAsiaTheme="minorEastAsia" w:hAnsi="Calibri" w:cstheme="minorBidi"/>
          <w:b w:val="0"/>
          <w:bCs w:val="0"/>
          <w:color w:val="auto"/>
          <w:sz w:val="22"/>
          <w:szCs w:val="22"/>
        </w:rPr>
        <w:t xml:space="preserve"> (60.000 €), </w:t>
      </w:r>
      <w:proofErr w:type="spellStart"/>
      <w:r w:rsidRPr="0099705B">
        <w:rPr>
          <w:rFonts w:ascii="Calibri" w:eastAsiaTheme="minorEastAsia" w:hAnsi="Calibri" w:cstheme="minorBidi"/>
          <w:b w:val="0"/>
          <w:bCs w:val="0"/>
          <w:color w:val="auto"/>
          <w:sz w:val="22"/>
          <w:szCs w:val="22"/>
        </w:rPr>
        <w:t>este</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ritmo</w:t>
      </w:r>
      <w:proofErr w:type="spellEnd"/>
      <w:r w:rsidRPr="0099705B">
        <w:rPr>
          <w:rFonts w:ascii="Calibri" w:eastAsiaTheme="minorEastAsia" w:hAnsi="Calibri" w:cstheme="minorBidi"/>
          <w:b w:val="0"/>
          <w:bCs w:val="0"/>
          <w:color w:val="auto"/>
          <w:sz w:val="22"/>
          <w:szCs w:val="22"/>
        </w:rPr>
        <w:t xml:space="preserve"> de </w:t>
      </w:r>
      <w:proofErr w:type="spellStart"/>
      <w:r w:rsidRPr="0099705B">
        <w:rPr>
          <w:rFonts w:ascii="Calibri" w:eastAsiaTheme="minorEastAsia" w:hAnsi="Calibri" w:cstheme="minorBidi"/>
          <w:b w:val="0"/>
          <w:bCs w:val="0"/>
          <w:color w:val="auto"/>
          <w:sz w:val="22"/>
          <w:szCs w:val="22"/>
        </w:rPr>
        <w:t>consumo</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implicaría</w:t>
      </w:r>
      <w:proofErr w:type="spellEnd"/>
      <w:r w:rsidRPr="0099705B">
        <w:rPr>
          <w:rFonts w:ascii="Calibri" w:eastAsiaTheme="minorEastAsia" w:hAnsi="Calibri" w:cstheme="minorBidi"/>
          <w:b w:val="0"/>
          <w:bCs w:val="0"/>
          <w:color w:val="auto"/>
          <w:sz w:val="22"/>
          <w:szCs w:val="22"/>
        </w:rPr>
        <w:t xml:space="preserve"> un runway </w:t>
      </w:r>
      <w:proofErr w:type="spellStart"/>
      <w:r w:rsidRPr="0099705B">
        <w:rPr>
          <w:rFonts w:ascii="Calibri" w:eastAsiaTheme="minorEastAsia" w:hAnsi="Calibri" w:cstheme="minorBidi"/>
          <w:b w:val="0"/>
          <w:bCs w:val="0"/>
          <w:color w:val="auto"/>
          <w:sz w:val="22"/>
          <w:szCs w:val="22"/>
        </w:rPr>
        <w:t>orientativo</w:t>
      </w:r>
      <w:proofErr w:type="spellEnd"/>
      <w:r w:rsidRPr="0099705B">
        <w:rPr>
          <w:rFonts w:ascii="Calibri" w:eastAsiaTheme="minorEastAsia" w:hAnsi="Calibri" w:cstheme="minorBidi"/>
          <w:b w:val="0"/>
          <w:bCs w:val="0"/>
          <w:color w:val="auto"/>
          <w:sz w:val="22"/>
          <w:szCs w:val="22"/>
        </w:rPr>
        <w:t xml:space="preserve"> de algo </w:t>
      </w:r>
      <w:proofErr w:type="spellStart"/>
      <w:r w:rsidRPr="0099705B">
        <w:rPr>
          <w:rFonts w:ascii="Calibri" w:eastAsiaTheme="minorEastAsia" w:hAnsi="Calibri" w:cstheme="minorBidi"/>
          <w:b w:val="0"/>
          <w:bCs w:val="0"/>
          <w:color w:val="auto"/>
          <w:sz w:val="22"/>
          <w:szCs w:val="22"/>
        </w:rPr>
        <w:t>menos</w:t>
      </w:r>
      <w:proofErr w:type="spellEnd"/>
      <w:r w:rsidRPr="0099705B">
        <w:rPr>
          <w:rFonts w:ascii="Calibri" w:eastAsiaTheme="minorEastAsia" w:hAnsi="Calibri" w:cstheme="minorBidi"/>
          <w:b w:val="0"/>
          <w:bCs w:val="0"/>
          <w:color w:val="auto"/>
          <w:sz w:val="22"/>
          <w:szCs w:val="22"/>
        </w:rPr>
        <w:t xml:space="preserve"> de 21 meses (60.000 / 2.900 ≈ 20,7 meses).</w:t>
      </w:r>
      <w:r>
        <w:rPr>
          <w:rFonts w:ascii="Calibri" w:eastAsiaTheme="minorEastAsia" w:hAnsi="Calibri" w:cstheme="minorBidi"/>
          <w:b w:val="0"/>
          <w:bCs w:val="0"/>
          <w:color w:val="auto"/>
          <w:sz w:val="22"/>
          <w:szCs w:val="22"/>
        </w:rPr>
        <w:t xml:space="preserve"> </w:t>
      </w:r>
      <w:r w:rsidRPr="0099705B">
        <w:rPr>
          <w:rFonts w:ascii="Calibri" w:eastAsiaTheme="minorEastAsia" w:hAnsi="Calibri" w:cstheme="minorBidi"/>
          <w:b w:val="0"/>
          <w:bCs w:val="0"/>
          <w:color w:val="auto"/>
          <w:sz w:val="22"/>
          <w:szCs w:val="22"/>
        </w:rPr>
        <w:t xml:space="preserve">Este </w:t>
      </w:r>
      <w:proofErr w:type="spellStart"/>
      <w:r w:rsidRPr="0099705B">
        <w:rPr>
          <w:rFonts w:ascii="Calibri" w:eastAsiaTheme="minorEastAsia" w:hAnsi="Calibri" w:cstheme="minorBidi"/>
          <w:b w:val="0"/>
          <w:bCs w:val="0"/>
          <w:color w:val="auto"/>
          <w:sz w:val="22"/>
          <w:szCs w:val="22"/>
        </w:rPr>
        <w:t>resultado</w:t>
      </w:r>
      <w:proofErr w:type="spellEnd"/>
      <w:r w:rsidRPr="0099705B">
        <w:rPr>
          <w:rFonts w:ascii="Calibri" w:eastAsiaTheme="minorEastAsia" w:hAnsi="Calibri" w:cstheme="minorBidi"/>
          <w:b w:val="0"/>
          <w:bCs w:val="0"/>
          <w:color w:val="auto"/>
          <w:sz w:val="22"/>
          <w:szCs w:val="22"/>
        </w:rPr>
        <w:t xml:space="preserve"> es </w:t>
      </w:r>
      <w:proofErr w:type="spellStart"/>
      <w:r w:rsidRPr="0099705B">
        <w:rPr>
          <w:rFonts w:ascii="Calibri" w:eastAsiaTheme="minorEastAsia" w:hAnsi="Calibri" w:cstheme="minorBidi"/>
          <w:b w:val="0"/>
          <w:bCs w:val="0"/>
          <w:color w:val="auto"/>
          <w:sz w:val="22"/>
          <w:szCs w:val="22"/>
        </w:rPr>
        <w:t>coherente</w:t>
      </w:r>
      <w:proofErr w:type="spellEnd"/>
      <w:r w:rsidRPr="0099705B">
        <w:rPr>
          <w:rFonts w:ascii="Calibri" w:eastAsiaTheme="minorEastAsia" w:hAnsi="Calibri" w:cstheme="minorBidi"/>
          <w:b w:val="0"/>
          <w:bCs w:val="0"/>
          <w:color w:val="auto"/>
          <w:sz w:val="22"/>
          <w:szCs w:val="22"/>
        </w:rPr>
        <w:t xml:space="preserve"> con la </w:t>
      </w:r>
      <w:proofErr w:type="spellStart"/>
      <w:r w:rsidRPr="0099705B">
        <w:rPr>
          <w:rFonts w:ascii="Calibri" w:eastAsiaTheme="minorEastAsia" w:hAnsi="Calibri" w:cstheme="minorBidi"/>
          <w:b w:val="0"/>
          <w:bCs w:val="0"/>
          <w:color w:val="auto"/>
          <w:sz w:val="22"/>
          <w:szCs w:val="22"/>
        </w:rPr>
        <w:t>incertidumbre</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expresada</w:t>
      </w:r>
      <w:proofErr w:type="spellEnd"/>
      <w:r w:rsidRPr="0099705B">
        <w:rPr>
          <w:rFonts w:ascii="Calibri" w:eastAsiaTheme="minorEastAsia" w:hAnsi="Calibri" w:cstheme="minorBidi"/>
          <w:b w:val="0"/>
          <w:bCs w:val="0"/>
          <w:color w:val="auto"/>
          <w:sz w:val="22"/>
          <w:szCs w:val="22"/>
        </w:rPr>
        <w:t xml:space="preserve"> por los </w:t>
      </w:r>
      <w:proofErr w:type="spellStart"/>
      <w:r w:rsidRPr="0099705B">
        <w:rPr>
          <w:rFonts w:ascii="Calibri" w:eastAsiaTheme="minorEastAsia" w:hAnsi="Calibri" w:cstheme="minorBidi"/>
          <w:b w:val="0"/>
          <w:bCs w:val="0"/>
          <w:color w:val="auto"/>
          <w:sz w:val="22"/>
          <w:szCs w:val="22"/>
        </w:rPr>
        <w:t>propios</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fundadores</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respecto</w:t>
      </w:r>
      <w:proofErr w:type="spellEnd"/>
      <w:r w:rsidRPr="0099705B">
        <w:rPr>
          <w:rFonts w:ascii="Calibri" w:eastAsiaTheme="minorEastAsia" w:hAnsi="Calibri" w:cstheme="minorBidi"/>
          <w:b w:val="0"/>
          <w:bCs w:val="0"/>
          <w:color w:val="auto"/>
          <w:sz w:val="22"/>
          <w:szCs w:val="22"/>
        </w:rPr>
        <w:t xml:space="preserve"> a </w:t>
      </w:r>
      <w:proofErr w:type="spellStart"/>
      <w:r w:rsidRPr="0099705B">
        <w:rPr>
          <w:rFonts w:ascii="Calibri" w:eastAsiaTheme="minorEastAsia" w:hAnsi="Calibri" w:cstheme="minorBidi"/>
          <w:b w:val="0"/>
          <w:bCs w:val="0"/>
          <w:color w:val="auto"/>
          <w:sz w:val="22"/>
          <w:szCs w:val="22"/>
        </w:rPr>
        <w:t>su</w:t>
      </w:r>
      <w:proofErr w:type="spellEnd"/>
      <w:r w:rsidRPr="0099705B">
        <w:rPr>
          <w:rFonts w:ascii="Calibri" w:eastAsiaTheme="minorEastAsia" w:hAnsi="Calibri" w:cstheme="minorBidi"/>
          <w:b w:val="0"/>
          <w:bCs w:val="0"/>
          <w:color w:val="auto"/>
          <w:sz w:val="22"/>
          <w:szCs w:val="22"/>
        </w:rPr>
        <w:t xml:space="preserve"> runway y </w:t>
      </w:r>
      <w:proofErr w:type="spellStart"/>
      <w:r w:rsidRPr="0099705B">
        <w:rPr>
          <w:rFonts w:ascii="Calibri" w:eastAsiaTheme="minorEastAsia" w:hAnsi="Calibri" w:cstheme="minorBidi"/>
          <w:b w:val="0"/>
          <w:bCs w:val="0"/>
          <w:color w:val="auto"/>
          <w:sz w:val="22"/>
          <w:szCs w:val="22"/>
        </w:rPr>
        <w:t>confirma</w:t>
      </w:r>
      <w:proofErr w:type="spellEnd"/>
      <w:r w:rsidRPr="0099705B">
        <w:rPr>
          <w:rFonts w:ascii="Calibri" w:eastAsiaTheme="minorEastAsia" w:hAnsi="Calibri" w:cstheme="minorBidi"/>
          <w:b w:val="0"/>
          <w:bCs w:val="0"/>
          <w:color w:val="auto"/>
          <w:sz w:val="22"/>
          <w:szCs w:val="22"/>
        </w:rPr>
        <w:t xml:space="preserve"> la </w:t>
      </w:r>
      <w:proofErr w:type="spellStart"/>
      <w:r w:rsidRPr="0099705B">
        <w:rPr>
          <w:rFonts w:ascii="Calibri" w:eastAsiaTheme="minorEastAsia" w:hAnsi="Calibri" w:cstheme="minorBidi"/>
          <w:b w:val="0"/>
          <w:bCs w:val="0"/>
          <w:color w:val="auto"/>
          <w:sz w:val="22"/>
          <w:szCs w:val="22"/>
        </w:rPr>
        <w:t>necesidad</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diagnosticada</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en</w:t>
      </w:r>
      <w:proofErr w:type="spellEnd"/>
      <w:r w:rsidRPr="0099705B">
        <w:rPr>
          <w:rFonts w:ascii="Calibri" w:eastAsiaTheme="minorEastAsia" w:hAnsi="Calibri" w:cstheme="minorBidi"/>
          <w:b w:val="0"/>
          <w:bCs w:val="0"/>
          <w:color w:val="auto"/>
          <w:sz w:val="22"/>
          <w:szCs w:val="22"/>
        </w:rPr>
        <w:t xml:space="preserve"> </w:t>
      </w:r>
      <w:proofErr w:type="spellStart"/>
      <w:r w:rsidRPr="0099705B">
        <w:rPr>
          <w:rFonts w:ascii="Calibri" w:eastAsiaTheme="minorEastAsia" w:hAnsi="Calibri" w:cstheme="minorBidi"/>
          <w:b w:val="0"/>
          <w:bCs w:val="0"/>
          <w:color w:val="auto"/>
          <w:sz w:val="22"/>
          <w:szCs w:val="22"/>
        </w:rPr>
        <w:t>este</w:t>
      </w:r>
      <w:proofErr w:type="spellEnd"/>
      <w:r w:rsidRPr="0099705B">
        <w:rPr>
          <w:rFonts w:ascii="Calibri" w:eastAsiaTheme="minorEastAsia" w:hAnsi="Calibri" w:cstheme="minorBidi"/>
          <w:b w:val="0"/>
          <w:bCs w:val="0"/>
          <w:color w:val="auto"/>
          <w:sz w:val="22"/>
          <w:szCs w:val="22"/>
        </w:rPr>
        <w:t xml:space="preserve"> </w:t>
      </w:r>
      <w:proofErr w:type="spellStart"/>
      <w:r>
        <w:rPr>
          <w:rFonts w:ascii="Calibri" w:eastAsiaTheme="minorEastAsia" w:hAnsi="Calibri" w:cstheme="minorBidi"/>
          <w:b w:val="0"/>
          <w:bCs w:val="0"/>
          <w:color w:val="auto"/>
          <w:sz w:val="22"/>
          <w:szCs w:val="22"/>
        </w:rPr>
        <w:t>capítulo</w:t>
      </w:r>
      <w:proofErr w:type="spellEnd"/>
      <w:r>
        <w:rPr>
          <w:rFonts w:ascii="Calibri" w:eastAsiaTheme="minorEastAsia" w:hAnsi="Calibri" w:cstheme="minorBidi"/>
          <w:b w:val="0"/>
          <w:bCs w:val="0"/>
          <w:color w:val="auto"/>
          <w:sz w:val="22"/>
          <w:szCs w:val="22"/>
        </w:rPr>
        <w:t>.</w:t>
      </w:r>
    </w:p>
    <w:p w14:paraId="23498D78" w14:textId="77777777" w:rsidR="0099705B" w:rsidRDefault="0099705B">
      <w:pPr>
        <w:pStyle w:val="Ttulo1"/>
        <w:rPr>
          <w:rFonts w:ascii="Calibri" w:eastAsiaTheme="minorEastAsia" w:hAnsi="Calibri" w:cstheme="minorBidi"/>
          <w:b w:val="0"/>
          <w:bCs w:val="0"/>
          <w:color w:val="auto"/>
          <w:sz w:val="22"/>
          <w:szCs w:val="22"/>
        </w:rPr>
      </w:pPr>
    </w:p>
    <w:p w14:paraId="713C581B" w14:textId="7657D9C0" w:rsidR="00FD0146" w:rsidRDefault="0099705B">
      <w:pPr>
        <w:pStyle w:val="Ttulo1"/>
      </w:pPr>
      <w:r>
        <w:t xml:space="preserve">4.8. </w:t>
      </w:r>
      <w:proofErr w:type="spellStart"/>
      <w:r>
        <w:t>Limitaciones</w:t>
      </w:r>
      <w:proofErr w:type="spellEnd"/>
      <w:r>
        <w:t xml:space="preserve"> del </w:t>
      </w:r>
      <w:proofErr w:type="spellStart"/>
      <w:r>
        <w:t>diagnóstico</w:t>
      </w:r>
      <w:proofErr w:type="spellEnd"/>
    </w:p>
    <w:p w14:paraId="330CF0C2" w14:textId="77777777" w:rsidR="00FD0146" w:rsidRDefault="0099705B">
      <w:pPr>
        <w:pStyle w:val="Listaconvietas"/>
      </w:pPr>
      <w:r>
        <w:t>El diagnóstico se basa en una única entrevista semiestructurada a una única empresa (n = 1) en una f</w:t>
      </w:r>
      <w:r>
        <w:t>ase muy temprana de actividad (aproximadamente seis meses), por lo que sus conclusiones no son generalizables a otras empresas del sector ni pretenden serlo: su función es exclusivamente la de fundamentar el diseño del caso de estudio del presente TFM.</w:t>
      </w:r>
    </w:p>
    <w:p w14:paraId="127D058A" w14:textId="77777777" w:rsidR="00FD0146" w:rsidRDefault="0099705B">
      <w:pPr>
        <w:pStyle w:val="Listaconvietas"/>
      </w:pPr>
      <w:r>
        <w:t xml:space="preserve">La </w:t>
      </w:r>
      <w:r>
        <w:t>información recogida es de naturaleza autodeclarada por el fundador/a y la responsable de backoffice, sin contraste con cuentas anuales auditadas ni con extractos bancarios o contables originales.</w:t>
      </w:r>
    </w:p>
    <w:p w14:paraId="614A4869" w14:textId="77777777" w:rsidR="00FD0146" w:rsidRDefault="0099705B">
      <w:pPr>
        <w:pStyle w:val="Listaconvietas"/>
      </w:pPr>
      <w:r>
        <w:t>Algunas respuestas resultaron incompletas o de difícil inte</w:t>
      </w:r>
      <w:r>
        <w:t>rpretación (en particular, la referida al incidente de seguridad en la cuenta publicitaria de Facebook, epígrafe 4.4.3), por lo que se han presentado en este capítulo con el nivel de detalle efectivamente disponible, sin inferir información no facilitada p</w:t>
      </w:r>
      <w:r>
        <w:t>or la empresa.</w:t>
      </w:r>
    </w:p>
    <w:p w14:paraId="79C8D6B5" w14:textId="77777777" w:rsidR="00FD0146" w:rsidRDefault="0099705B">
      <w:pPr>
        <w:pStyle w:val="Listaconvietas"/>
      </w:pPr>
      <w:r>
        <w:t>Las cifras del diagnóstico financiero preliminar (epígrafe 4.7) son valores medios aproximados aportados verbalmente por la empresa, no datos de cierre contable, y una de las partidas (gasto de personal) ha requerido una interpretación explí</w:t>
      </w:r>
      <w:r>
        <w:t>cita por parte del autor del TFM que debería validarse en una fase posterior con datos auditados.</w:t>
      </w:r>
    </w:p>
    <w:p w14:paraId="28E1D38B" w14:textId="77777777" w:rsidR="00FD0146" w:rsidRDefault="0099705B">
      <w:pPr>
        <w:pStyle w:val="Listaconvietas"/>
      </w:pPr>
      <w:r>
        <w:t>La afirmación de la empresa de que la pérdida de datos derivada de la migración de ERP no afecta a la comparabilidad mes a mes (epígrafe 4.6) no ha podido ver</w:t>
      </w:r>
      <w:r>
        <w:t>ificarse de forma independiente.</w:t>
      </w:r>
    </w:p>
    <w:p w14:paraId="7A7D43A6" w14:textId="77777777" w:rsidR="00FD0146" w:rsidRDefault="0099705B">
      <w:pPr>
        <w:pStyle w:val="Ttulo1"/>
      </w:pPr>
      <w:r>
        <w:t>4.9. Síntesis del capítulo</w:t>
      </w:r>
    </w:p>
    <w:p w14:paraId="32993470" w14:textId="77777777" w:rsidR="00FD0146" w:rsidRDefault="0099705B">
      <w:r>
        <w:t>El diagnóstico realizado sobre TeComparoTodo.es describe una empresa de muy reciente creación, con un modelo de ingresos basado en comisiones de intermediación —sujetas a un mecanismo de descomisi</w:t>
      </w:r>
      <w:r>
        <w:t>ón relevante para la interpretación de sus ingresos mensuales— y con una infraestructura de registro de datos comercial y operativa (ERP propio, CRM interno, categorización de gastos por canal) notablemente más madura que su capacidad de análisis financier</w:t>
      </w:r>
      <w:r>
        <w:t xml:space="preserve">o, que en el momento de la entrevista se apoyaba todavía en métodos manuales. Se han identificado necesidades de información </w:t>
      </w:r>
      <w:r>
        <w:lastRenderedPageBreak/>
        <w:t>concretas y no resueltas —runway, coste de adquisición de cliente, valor de vida del cliente y rentabilidad monetaria por canal— qu</w:t>
      </w:r>
      <w:r>
        <w:t>e no pueden satisfacerse con las herramientas actuales de la empresa pese a disponer ya de buena parte de los datos transaccionales necesarios para calcularlas. Estos hallazgos constituyen el punto de partida empírico sobre el que se fundamentan las decisi</w:t>
      </w:r>
      <w:r>
        <w:t>ones de elicitación de requisitos y de diseño financiero y técnico del aplicativo Betty, que se desarrollan en el Capítulo 5 de este trabajo.</w:t>
      </w:r>
    </w:p>
    <w:sectPr w:rsidR="00FD014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F2D"/>
    <w:rsid w:val="0029639D"/>
    <w:rsid w:val="002B7944"/>
    <w:rsid w:val="00326696"/>
    <w:rsid w:val="00326F90"/>
    <w:rsid w:val="00334857"/>
    <w:rsid w:val="003A73C1"/>
    <w:rsid w:val="004921DD"/>
    <w:rsid w:val="0099705B"/>
    <w:rsid w:val="00A955CB"/>
    <w:rsid w:val="00AA1D8D"/>
    <w:rsid w:val="00AD5123"/>
    <w:rsid w:val="00AD7BFC"/>
    <w:rsid w:val="00B46397"/>
    <w:rsid w:val="00B47730"/>
    <w:rsid w:val="00BF1545"/>
    <w:rsid w:val="00C551A6"/>
    <w:rsid w:val="00CB0664"/>
    <w:rsid w:val="00D75A48"/>
    <w:rsid w:val="00DD09CC"/>
    <w:rsid w:val="00FC693F"/>
    <w:rsid w:val="00FD0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8E62A"/>
  <w14:defaultImageDpi w14:val="300"/>
  <w15:docId w15:val="{076532F1-6325-40B1-9813-87B9FD4E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2882</Words>
  <Characters>15851</Characters>
  <Application>Microsoft Office Word</Application>
  <DocSecurity>0</DocSecurity>
  <Lines>132</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María Paye</cp:lastModifiedBy>
  <cp:revision>12</cp:revision>
  <dcterms:created xsi:type="dcterms:W3CDTF">2013-12-23T23:15:00Z</dcterms:created>
  <dcterms:modified xsi:type="dcterms:W3CDTF">2026-10-04T20:52:00Z</dcterms:modified>
  <cp:category/>
</cp:coreProperties>
</file>