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Selección y justificación de los ratios y pilares financieros de Betty</w:t>
      </w:r>
    </w:p>
    <w:p>
      <w:pPr/>
      <w:r>
        <w:t>La selección de indicadores incorporados a Betty se fundamenta en el marco conceptual expuesto en el Capítulo 2 y responde a la naturaleza dual de TeComparoTodo.es: una sociedad mercantil sujeta al régimen contable español, para la que resulta pertinente el análisis mediante ratios financieros clásicos (endeudamiento, solvencia, rentabilidad y márgenes), fundamentados en la teoría de estructura de capital de Modigliani y Miller, en la identidad DuPont y en la teoría de gestión del capital circulante; y, simultáneamente, una startup en fase muy temprana (seis meses de actividad), con alta incertidumbre y dependiente de la caja disponible, para la que dichos ratios anuales resultan insuficientes.</w:t>
      </w:r>
    </w:p>
    <w:p>
      <w:pPr/>
      <w:r>
        <w:t>Por ello se incorpora el modelo de los «4 Pilares» (Cash Management, Eficiencia, Crecimiento y OpEx), procedente de la práctica de capital riesgo y de la literatura Lean Startup, que traduce a indicadores mensuales la economía unitaria propia de un modelo de comisión recurrente sujeta a descomisión (CAC, LTV, Churn Rate, Runway y Burn Rate). Ambos bloques se calculan y muestran de forma complementaria en el dashboard; tras la última revisión del aplicativo, las bandas de interpretación publicadas en el Glosario de Betty y las que emplea el propio motor de análisis (narrativa automática y alertas) son exactamente las mismas, como recogen las Tablas 5.1 y 5.2.</w:t>
      </w:r>
    </w:p>
    <w:p>
      <w:pPr>
        <w:pStyle w:val="Heading2"/>
      </w:pPr>
      <w:r>
        <w:t>5.1. Tabla de ratios financieros</w:t>
      </w:r>
    </w:p>
    <w:p>
      <w:pPr>
        <w:pStyle w:val="Caption"/>
      </w:pPr>
      <w:r>
        <w:t>Tabla 5.1. Ratios financieros calculados por Betty (calculos_ratios.py): fórmula e interpretación. Las bandas son las publicadas en el Glosario de Ratios Financieros del dashboard (templates/glosario.html) y son las mismas que emplea el bloque «Análisis y Recomendaciones» (calculos_ratios.py / UMBRALES_SECTORES).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Nombre del ratio</w:t>
            </w:r>
          </w:p>
        </w:tc>
        <w:tc>
          <w:tcPr>
            <w:tcW w:type="dxa" w:w="2880"/>
          </w:tcPr>
          <w:p>
            <w:r/>
            <w:r>
              <w:rPr>
                <w:b/>
              </w:rPr>
              <w:t>Fórmula</w:t>
            </w:r>
          </w:p>
        </w:tc>
        <w:tc>
          <w:tcPr>
            <w:tcW w:type="dxa" w:w="2880"/>
          </w:tcPr>
          <w:p>
            <w:r/>
            <w:r>
              <w:rPr>
                <w:b/>
              </w:rPr>
              <w:t>Interpretación</w:t>
            </w:r>
          </w:p>
        </w:tc>
      </w:tr>
      <w:tr>
        <w:tc>
          <w:tcPr>
            <w:tcW w:type="dxa" w:w="2880"/>
          </w:tcPr>
          <w:p>
            <w:r/>
            <w:r>
              <w:t>Nivel de Endeudamiento (%)</w:t>
            </w:r>
          </w:p>
        </w:tc>
        <w:tc>
          <w:tcPr>
            <w:tcW w:type="dxa" w:w="2880"/>
          </w:tcPr>
          <w:p>
            <w:r/>
            <w:r>
              <w:t>(Pasivo No Corriente + Pasivo Corriente) / Total Activo × 100</w:t>
            </w:r>
          </w:p>
        </w:tc>
        <w:tc>
          <w:tcPr>
            <w:tcW w:type="dxa" w:w="2880"/>
          </w:tcPr>
          <w:p>
            <w:r/>
            <w:r>
              <w:t>&lt; 50%: nivel bajo (más financiación con recursos propios)</w:t>
            </w:r>
          </w:p>
          <w:p>
            <w:r>
              <w:t>50–70%: nivel moderado</w:t>
            </w:r>
          </w:p>
          <w:p>
            <w:r>
              <w:t>&gt; 70%: alto endeudamiento (mayor riesgo financiero)</w:t>
            </w:r>
          </w:p>
        </w:tc>
      </w:tr>
      <w:tr>
        <w:tc>
          <w:tcPr>
            <w:tcW w:type="dxa" w:w="2880"/>
          </w:tcPr>
          <w:p>
            <w:r/>
            <w:r>
              <w:t>Ratio de Endeudamiento Total (%)</w:t>
            </w:r>
          </w:p>
        </w:tc>
        <w:tc>
          <w:tcPr>
            <w:tcW w:type="dxa" w:w="2880"/>
          </w:tcPr>
          <w:p>
            <w:r/>
            <w:r>
              <w:t>(Pasivo No Corriente + Pasivo Corriente) / Fondos Propios × 100</w:t>
            </w:r>
          </w:p>
        </w:tc>
        <w:tc>
          <w:tcPr>
            <w:tcW w:type="dxa" w:w="2880"/>
          </w:tcPr>
          <w:p>
            <w:r/>
            <w:r>
              <w:t>&lt; 100%: más fondos propios que deuda</w:t>
            </w:r>
          </w:p>
          <w:p>
            <w:r>
              <w:t>= 100%: deuda igual a fondos propios</w:t>
            </w:r>
          </w:p>
          <w:p>
            <w:r>
              <w:t>&gt; 100%: más deuda que fondos propios</w:t>
            </w:r>
          </w:p>
        </w:tc>
      </w:tr>
      <w:tr>
        <w:tc>
          <w:tcPr>
            <w:tcW w:type="dxa" w:w="2880"/>
          </w:tcPr>
          <w:p>
            <w:r/>
            <w:r>
              <w:t>Solvencia Total</w:t>
            </w:r>
          </w:p>
        </w:tc>
        <w:tc>
          <w:tcPr>
            <w:tcW w:type="dxa" w:w="2880"/>
          </w:tcPr>
          <w:p>
            <w:r/>
            <w:r>
              <w:t>Total Activo / (Pasivo No Corriente + Pasivo Corriente)</w:t>
            </w:r>
          </w:p>
        </w:tc>
        <w:tc>
          <w:tcPr>
            <w:tcW w:type="dxa" w:w="2880"/>
          </w:tcPr>
          <w:p>
            <w:r/>
            <w:r>
              <w:t>&lt; 1: situación crítica (no cubre sus deudas con sus activos)</w:t>
            </w:r>
          </w:p>
          <w:p>
            <w:r>
              <w:t>= 1: punto de equilibrio</w:t>
            </w:r>
          </w:p>
          <w:p>
            <w:r>
              <w:t>&gt; 1,5: buena solvencia</w:t>
            </w:r>
          </w:p>
          <w:p>
            <w:r>
              <w:t>&gt; 2: solvencia excelente</w:t>
            </w:r>
          </w:p>
        </w:tc>
      </w:tr>
      <w:tr>
        <w:tc>
          <w:tcPr>
            <w:tcW w:type="dxa" w:w="2880"/>
          </w:tcPr>
          <w:p>
            <w:r/>
            <w:r>
              <w:t>Ratio de Madurez (%)</w:t>
            </w:r>
          </w:p>
        </w:tc>
        <w:tc>
          <w:tcPr>
            <w:tcW w:type="dxa" w:w="2880"/>
          </w:tcPr>
          <w:p>
            <w:r/>
            <w:r>
              <w:t>Activo No Corriente / Total Activo × 100</w:t>
            </w:r>
          </w:p>
        </w:tc>
        <w:tc>
          <w:tcPr>
            <w:tcW w:type="dxa" w:w="2880"/>
          </w:tcPr>
          <w:p>
            <w:r/>
            <w:r>
              <w:t>&lt; 30%: empresa comercial o de servicios (poco inmovilizado)</w:t>
            </w:r>
          </w:p>
          <w:p>
            <w:r>
              <w:t>30–60%: estructura equilibrada</w:t>
            </w:r>
          </w:p>
          <w:p>
            <w:r>
              <w:t>&gt; 60%: empresa industrial (mucho inmovilizado)</w:t>
            </w:r>
          </w:p>
        </w:tc>
      </w:tr>
      <w:tr>
        <w:tc>
          <w:tcPr>
            <w:tcW w:type="dxa" w:w="2880"/>
          </w:tcPr>
          <w:p>
            <w:r/>
            <w:r>
              <w:t>ROA — Return on Assets (%)</w:t>
            </w:r>
          </w:p>
        </w:tc>
        <w:tc>
          <w:tcPr>
            <w:tcW w:type="dxa" w:w="2880"/>
          </w:tcPr>
          <w:p>
            <w:r/>
            <w:r>
              <w:t>EBIT / Total Activo × 100</w:t>
            </w:r>
          </w:p>
        </w:tc>
        <w:tc>
          <w:tcPr>
            <w:tcW w:type="dxa" w:w="2880"/>
          </w:tcPr>
          <w:p>
            <w:r/>
            <w:r>
              <w:t>&lt; 5%: rentabilidad baja</w:t>
            </w:r>
          </w:p>
          <w:p>
            <w:r>
              <w:t>5–10%: aceptable</w:t>
            </w:r>
          </w:p>
          <w:p>
            <w:r>
              <w:t>&gt; 10%: buena rentabilidad</w:t>
            </w:r>
          </w:p>
          <w:p>
            <w:r>
              <w:t>&gt; 15%: excelente rentabilidad</w:t>
            </w:r>
          </w:p>
        </w:tc>
      </w:tr>
      <w:tr>
        <w:tc>
          <w:tcPr>
            <w:tcW w:type="dxa" w:w="2880"/>
          </w:tcPr>
          <w:p>
            <w:r/>
            <w:r>
              <w:t>ROE — Return on Equity (%)</w:t>
            </w:r>
          </w:p>
        </w:tc>
        <w:tc>
          <w:tcPr>
            <w:tcW w:type="dxa" w:w="2880"/>
          </w:tcPr>
          <w:p>
            <w:r/>
            <w:r>
              <w:t>Resultado del Ejercicio / Fondos Propios × 100</w:t>
            </w:r>
          </w:p>
        </w:tc>
        <w:tc>
          <w:tcPr>
            <w:tcW w:type="dxa" w:w="2880"/>
          </w:tcPr>
          <w:p>
            <w:r/>
            <w:r>
              <w:t>&lt; 10%: rentabilidad baja para el accionista</w:t>
            </w:r>
          </w:p>
          <w:p>
            <w:r>
              <w:t>10–15%: aceptable</w:t>
            </w:r>
          </w:p>
          <w:p>
            <w:r>
              <w:t>&gt; 15%: buena rentabilidad</w:t>
            </w:r>
          </w:p>
          <w:p>
            <w:r>
              <w:t>&gt; 20%: excelente rentabilidad</w:t>
            </w:r>
          </w:p>
          <w:p>
            <w:r>
              <w:t>ROE &gt; ROA: el apalancamiento genera rentabilidad adicional; ROE &lt; ROA: el coste de la deuda la reduce</w:t>
            </w:r>
          </w:p>
        </w:tc>
      </w:tr>
      <w:tr>
        <w:tc>
          <w:tcPr>
            <w:tcW w:type="dxa" w:w="2880"/>
          </w:tcPr>
          <w:p>
            <w:r/>
            <w:r>
              <w:t>Solvencia Corriente</w:t>
            </w:r>
          </w:p>
        </w:tc>
        <w:tc>
          <w:tcPr>
            <w:tcW w:type="dxa" w:w="2880"/>
          </w:tcPr>
          <w:p>
            <w:r/>
            <w:r>
              <w:t>Activo Corriente / Pasivo Corriente</w:t>
            </w:r>
          </w:p>
        </w:tc>
        <w:tc>
          <w:tcPr>
            <w:tcW w:type="dxa" w:w="2880"/>
          </w:tcPr>
          <w:p>
            <w:r/>
            <w:r>
              <w:t>&lt; 1: riesgo de liquidez</w:t>
            </w:r>
          </w:p>
          <w:p>
            <w:r>
              <w:t>1–1,5: zona ajustada</w:t>
            </w:r>
          </w:p>
          <w:p>
            <w:r>
              <w:t>&gt; 1,5: zona cómoda (buena liquidez)</w:t>
            </w:r>
          </w:p>
          <w:p>
            <w:r>
              <w:t>&gt; 2: excelente liquidez</w:t>
            </w:r>
          </w:p>
        </w:tc>
      </w:tr>
      <w:tr>
        <w:tc>
          <w:tcPr>
            <w:tcW w:type="dxa" w:w="2880"/>
          </w:tcPr>
          <w:p>
            <w:r/>
            <w:r>
              <w:t>Disponibilidad Inmediata</w:t>
            </w:r>
          </w:p>
        </w:tc>
        <w:tc>
          <w:tcPr>
            <w:tcW w:type="dxa" w:w="2880"/>
          </w:tcPr>
          <w:p>
            <w:r/>
            <w:r>
              <w:t>Tesorería / Pasivo Corriente</w:t>
            </w:r>
          </w:p>
        </w:tc>
        <w:tc>
          <w:tcPr>
            <w:tcW w:type="dxa" w:w="2880"/>
          </w:tcPr>
          <w:p>
            <w:r/>
            <w:r>
              <w:t>&lt; 0,2: muy dependiente de los cobros</w:t>
            </w:r>
          </w:p>
          <w:p>
            <w:r>
              <w:t>0,2–0,5: nivel normal</w:t>
            </w:r>
          </w:p>
          <w:p>
            <w:r>
              <w:t>&gt; 0,5: buena disponibilidad de efectivo</w:t>
            </w:r>
          </w:p>
        </w:tc>
      </w:tr>
      <w:tr>
        <w:tc>
          <w:tcPr>
            <w:tcW w:type="dxa" w:w="2880"/>
          </w:tcPr>
          <w:p>
            <w:r/>
            <w:r>
              <w:t>EBITDA / Ventas (%)</w:t>
            </w:r>
          </w:p>
        </w:tc>
        <w:tc>
          <w:tcPr>
            <w:tcW w:type="dxa" w:w="2880"/>
          </w:tcPr>
          <w:p>
            <w:r/>
            <w:r>
              <w:t>EBITDA / Cifra de Ventas × 100</w:t>
            </w:r>
          </w:p>
        </w:tc>
        <w:tc>
          <w:tcPr>
            <w:tcW w:type="dxa" w:w="2880"/>
          </w:tcPr>
          <w:p>
            <w:r/>
            <w:r>
              <w:t>&lt; 10%: margen bajo</w:t>
            </w:r>
          </w:p>
          <w:p>
            <w:r>
              <w:t>10–20%: margen aceptable</w:t>
            </w:r>
          </w:p>
          <w:p>
            <w:r>
              <w:t>&gt; 20%: buen margen</w:t>
            </w:r>
          </w:p>
          <w:p>
            <w:r>
              <w:t>&gt; 30%: excelente margen operativo</w:t>
            </w:r>
          </w:p>
        </w:tc>
      </w:tr>
      <w:tr>
        <w:tc>
          <w:tcPr>
            <w:tcW w:type="dxa" w:w="2880"/>
          </w:tcPr>
          <w:p>
            <w:r/>
            <w:r>
              <w:t>BAIT / Ventas (%)</w:t>
            </w:r>
          </w:p>
        </w:tc>
        <w:tc>
          <w:tcPr>
            <w:tcW w:type="dxa" w:w="2880"/>
          </w:tcPr>
          <w:p>
            <w:r/>
            <w:r>
              <w:t>EBIT / Cifra de Ventas × 100</w:t>
            </w:r>
          </w:p>
        </w:tc>
        <w:tc>
          <w:tcPr>
            <w:tcW w:type="dxa" w:w="2880"/>
          </w:tcPr>
          <w:p>
            <w:r/>
            <w:r>
              <w:t>&lt; 5%: margen bajo</w:t>
            </w:r>
          </w:p>
          <w:p>
            <w:r>
              <w:t>5–15%: margen aceptable</w:t>
            </w:r>
          </w:p>
          <w:p>
            <w:r>
              <w:t>&gt; 15%: buen margen</w:t>
            </w:r>
          </w:p>
        </w:tc>
      </w:tr>
      <w:tr>
        <w:tc>
          <w:tcPr>
            <w:tcW w:type="dxa" w:w="2880"/>
          </w:tcPr>
          <w:p>
            <w:r/>
            <w:r>
              <w:t>Resultado / Ventas (%)</w:t>
            </w:r>
          </w:p>
        </w:tc>
        <w:tc>
          <w:tcPr>
            <w:tcW w:type="dxa" w:w="2880"/>
          </w:tcPr>
          <w:p>
            <w:r/>
            <w:r>
              <w:t>Resultado del Ejercicio / Cifra de Ventas × 100</w:t>
            </w:r>
          </w:p>
        </w:tc>
        <w:tc>
          <w:tcPr>
            <w:tcW w:type="dxa" w:w="2880"/>
          </w:tcPr>
          <w:p>
            <w:r/>
            <w:r>
              <w:t>&lt; 3%: margen muy ajustado</w:t>
            </w:r>
          </w:p>
          <w:p>
            <w:r>
              <w:t>3–8%: margen aceptable</w:t>
            </w:r>
          </w:p>
          <w:p>
            <w:r>
              <w:t>&gt; 8%: buen margen neto</w:t>
            </w:r>
          </w:p>
          <w:p>
            <w:r>
              <w:t>&gt; 15%: excelente margen neto</w:t>
            </w:r>
          </w:p>
        </w:tc>
      </w:tr>
    </w:tbl>
    <w:p>
      <w:r>
        <w:t>Fuente: Elaboración propia a partir de calculos_ratios.py, app.py (UMBRALES_SECTORES) y del Glosario de Ratios Financieros de Betty (templates/glosario.html).</w:t>
      </w:r>
    </w:p>
    <w:p>
      <w:r>
        <w:t>Nota: el selector de sector se eliminó tanto de Ratios como de Pilares; Betty opera siempre bajo el sector «Tecnología». Por ello, el diccionario UMBRALES_SECTORES del backend se actualizó para que sus valores para «Tecnología» —los únicos ya alcanzables— coincidan exactamente con las bandas publicadas en el Glosario, y las funciones de análisis por gráfico de ratios.js (antes con cortes distintos, p. ej. Endeudamiento en 30/50/70 o Resultado/Ventas en 0/5) se corrigieron para usar los mismos cortes que la Tabla 5.1.</w:t>
      </w:r>
    </w:p>
    <w:p>
      <w:pPr>
        <w:pStyle w:val="Heading2"/>
      </w:pPr>
      <w:r>
        <w:t>5.2. Tabla de pilares fundamentales</w:t>
      </w:r>
    </w:p>
    <w:p>
      <w:pPr>
        <w:pStyle w:val="Caption"/>
      </w:pPr>
      <w:r>
        <w:t>Tabla 5.2. Indicadores del módulo «4 Pilares» (calculos_pilares.py y app.py): fórmula e interpretación. Las bandas son las publicadas en el Glosario de 4 Pilares del dashboard (templates/glosario_pilares.html) y son las mismas que emplean las alertas automáticas de pilares.js.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Pilar</w:t>
            </w:r>
          </w:p>
        </w:tc>
        <w:tc>
          <w:tcPr>
            <w:tcW w:type="dxa" w:w="2160"/>
          </w:tcPr>
          <w:p>
            <w:r/>
            <w:r>
              <w:rPr>
                <w:b/>
              </w:rPr>
              <w:t>Indicador</w:t>
            </w:r>
          </w:p>
        </w:tc>
        <w:tc>
          <w:tcPr>
            <w:tcW w:type="dxa" w:w="2160"/>
          </w:tcPr>
          <w:p>
            <w:r/>
            <w:r>
              <w:rPr>
                <w:b/>
              </w:rPr>
              <w:t>Fórmula</w:t>
            </w:r>
          </w:p>
        </w:tc>
        <w:tc>
          <w:tcPr>
            <w:tcW w:type="dxa" w:w="2160"/>
          </w:tcPr>
          <w:p>
            <w:r/>
            <w:r>
              <w:rPr>
                <w:b/>
              </w:rPr>
              <w:t>Interpretación</w:t>
            </w:r>
          </w:p>
        </w:tc>
      </w:tr>
      <w:tr>
        <w:tc>
          <w:tcPr>
            <w:tcW w:type="dxa" w:w="2160"/>
          </w:tcPr>
          <w:p>
            <w:r/>
            <w:r>
              <w:t>Cash Management</w:t>
            </w:r>
          </w:p>
        </w:tc>
        <w:tc>
          <w:tcPr>
            <w:tcW w:type="dxa" w:w="2160"/>
          </w:tcPr>
          <w:p>
            <w:r/>
            <w:r>
              <w:t>Caja Disponible</w:t>
            </w:r>
          </w:p>
        </w:tc>
        <w:tc>
          <w:tcPr>
            <w:tcW w:type="dxa" w:w="2160"/>
          </w:tcPr>
          <w:p>
            <w:r/>
            <w:r>
              <w:t>Saldo inicial + Ingresos cobrados − Gastos (acumulado; excluye ventas con Estado = «Pendiente»)</w:t>
            </w:r>
          </w:p>
        </w:tc>
        <w:tc>
          <w:tcPr>
            <w:tcW w:type="dxa" w:w="2160"/>
          </w:tcPr>
          <w:p>
            <w:r/>
            <w:r>
              <w:t>Efectivo disponible ahora mismo; no incluye cuentas por cobrar, inventario ni activos no líquidos.</w:t>
            </w:r>
          </w:p>
        </w:tc>
      </w:tr>
      <w:tr>
        <w:tc>
          <w:tcPr>
            <w:tcW w:type="dxa" w:w="2160"/>
          </w:tcPr>
          <w:p>
            <w:r/>
            <w:r>
              <w:t>Cash Management</w:t>
            </w:r>
          </w:p>
        </w:tc>
        <w:tc>
          <w:tcPr>
            <w:tcW w:type="dxa" w:w="2160"/>
          </w:tcPr>
          <w:p>
            <w:r/>
            <w:r>
              <w:t>Net Burn Rate</w:t>
            </w:r>
          </w:p>
        </w:tc>
        <w:tc>
          <w:tcPr>
            <w:tcW w:type="dxa" w:w="2160"/>
          </w:tcPr>
          <w:p>
            <w:r/>
            <w:r>
              <w:t>Salidas de caja (Gastos) − Ingresos de caja, por mes</w:t>
            </w:r>
          </w:p>
        </w:tc>
        <w:tc>
          <w:tcPr>
            <w:tcW w:type="dxa" w:w="2160"/>
          </w:tcPr>
          <w:p>
            <w:r/>
            <w:r>
              <w:t>Positivo: se está quemando efectivo (normal en early-stage)</w:t>
            </w:r>
          </w:p>
          <w:p>
            <w:r>
              <w:t>0: break-even (ingresos = gastos)</w:t>
            </w:r>
          </w:p>
          <w:p>
            <w:r>
              <w:t>Negativo: se genera más efectivo del que se gasta (cash-flow positivo)</w:t>
            </w:r>
          </w:p>
        </w:tc>
      </w:tr>
      <w:tr>
        <w:tc>
          <w:tcPr>
            <w:tcW w:type="dxa" w:w="2160"/>
          </w:tcPr>
          <w:p>
            <w:r/>
            <w:r>
              <w:t>Cash Management</w:t>
            </w:r>
          </w:p>
        </w:tc>
        <w:tc>
          <w:tcPr>
            <w:tcW w:type="dxa" w:w="2160"/>
          </w:tcPr>
          <w:p>
            <w:r/>
            <w:r>
              <w:t>Gross Burn Rate</w:t>
            </w:r>
          </w:p>
        </w:tc>
        <w:tc>
          <w:tcPr>
            <w:tcW w:type="dxa" w:w="2160"/>
          </w:tcPr>
          <w:p>
            <w:r/>
            <w:r>
              <w:t>Suma de todos los gastos (Tipo = G) del mes</w:t>
            </w:r>
          </w:p>
        </w:tc>
        <w:tc>
          <w:tcPr>
            <w:tcW w:type="dxa" w:w="2160"/>
          </w:tcPr>
          <w:p>
            <w:r/>
            <w:r>
              <w:t>Gasto bruto mensual, sin descontar ingresos; siempre ≥ Net Burn Rate cuando hay ingresos.</w:t>
            </w:r>
          </w:p>
        </w:tc>
      </w:tr>
      <w:tr>
        <w:tc>
          <w:tcPr>
            <w:tcW w:type="dxa" w:w="2160"/>
          </w:tcPr>
          <w:p>
            <w:r/>
            <w:r>
              <w:t>Cash Management</w:t>
            </w:r>
          </w:p>
        </w:tc>
        <w:tc>
          <w:tcPr>
            <w:tcW w:type="dxa" w:w="2160"/>
          </w:tcPr>
          <w:p>
            <w:r/>
            <w:r>
              <w:t>Runway (Meses de Vida) / Meses de Reserva</w:t>
            </w:r>
          </w:p>
        </w:tc>
        <w:tc>
          <w:tcPr>
            <w:tcW w:type="dxa" w:w="2160"/>
          </w:tcPr>
          <w:p>
            <w:r/>
            <w:r>
              <w:t>Runway = Caja Disponible / Net Burn Rate (si Net Burn &gt; 0)</w:t>
            </w:r>
          </w:p>
          <w:p>
            <w:r>
              <w:t>Meses de Reserva = Caja Disponible / Gross Burn Rate (si Net Burn &lt; 0, empresa rentable)</w:t>
            </w:r>
          </w:p>
        </w:tc>
        <w:tc>
          <w:tcPr>
            <w:tcW w:type="dxa" w:w="2160"/>
          </w:tcPr>
          <w:p>
            <w:r/>
            <w:r>
              <w:t>&lt; 3 meses: situación crítica — necesita financiación urgente</w:t>
            </w:r>
          </w:p>
          <w:p>
            <w:r>
              <w:t>4–8 meses: zona de riesgo — empezar conversaciones con inversores</w:t>
            </w:r>
          </w:p>
          <w:p>
            <w:r>
              <w:t>≥ 9 meses: zona cómoda — tiempo para crecer</w:t>
            </w:r>
          </w:p>
        </w:tc>
      </w:tr>
      <w:tr>
        <w:tc>
          <w:tcPr>
            <w:tcW w:type="dxa" w:w="2160"/>
          </w:tcPr>
          <w:p>
            <w:r/>
            <w:r>
              <w:t>Cash Management</w:t>
            </w:r>
          </w:p>
        </w:tc>
        <w:tc>
          <w:tcPr>
            <w:tcW w:type="dxa" w:w="2160"/>
          </w:tcPr>
          <w:p>
            <w:r/>
            <w:r>
              <w:t>Ingresos y Caja Proyectada (mes actual)</w:t>
            </w:r>
          </w:p>
        </w:tc>
        <w:tc>
          <w:tcPr>
            <w:tcW w:type="dxa" w:w="2160"/>
          </w:tcPr>
          <w:p>
            <w:r/>
            <w:r>
              <w:t>Ingreso Proyectado = Ingreso Cobrado del mes + ventas pendientes de meses cerrados cuya Liquidación (por comercializadora) cae en el mes actual − Bajas de esas ventas pendientes con fecha de baja en el mes actual (según % de Descomisión)</w:t>
            </w:r>
          </w:p>
          <w:p>
            <w:r>
              <w:t>Caja Proyectada = Caja efectiva de cierre del mes anterior + Ingreso Proyectado − Gastos del mes</w:t>
            </w:r>
          </w:p>
        </w:tc>
        <w:tc>
          <w:tcPr>
            <w:tcW w:type="dxa" w:w="2160"/>
          </w:tcPr>
          <w:p>
            <w:r/>
            <w:r>
              <w:t>Indicador incorporado en la última revisión del aplicativo, aún no recogido en el Glosario del dashboard: modelo «mes cerrado vs. mes actual», en el que los meses ya cerrados solo muestran cifras reales (Ingreso Cobrado, Caja Efectiva, Gastos) y únicamente el último mes con datos muestra una proyección. Las bajas de ventas ya cobradas en meses cerrados se restan directamente del Ingreso Cobrado (corrección efectiva), no del Proyectado.</w:t>
            </w:r>
          </w:p>
        </w:tc>
      </w:tr>
      <w:tr>
        <w:tc>
          <w:tcPr>
            <w:tcW w:type="dxa" w:w="2160"/>
          </w:tcPr>
          <w:p>
            <w:r/>
            <w:r>
              <w:t>Eficiencia</w:t>
            </w:r>
          </w:p>
        </w:tc>
        <w:tc>
          <w:tcPr>
            <w:tcW w:type="dxa" w:w="2160"/>
          </w:tcPr>
          <w:p>
            <w:r/>
            <w:r>
              <w:t>Margen de Contribución</w:t>
            </w:r>
          </w:p>
        </w:tc>
        <w:tc>
          <w:tcPr>
            <w:tcW w:type="dxa" w:w="2160"/>
          </w:tcPr>
          <w:p>
            <w:r/>
            <w:r>
              <w:t>(Ingresos por ventas − Comisión Comercial − Coste por lead) / Ingresos × 100</w:t>
            </w:r>
          </w:p>
        </w:tc>
        <w:tc>
          <w:tcPr>
            <w:tcW w:type="dxa" w:w="2160"/>
          </w:tcPr>
          <w:p>
            <w:r/>
            <w:r>
              <w:t>≤ 20%: margen bajo — optimizar costes variables o revisar precios</w:t>
            </w:r>
          </w:p>
          <w:p>
            <w:r>
              <w:t>&gt; 20%: margen saludable</w:t>
            </w:r>
          </w:p>
          <w:p>
            <w:r>
              <w:t>(banda fijada directamente por el CEO de la empresa, no por el marco conceptual general)</w:t>
            </w:r>
          </w:p>
        </w:tc>
      </w:tr>
      <w:tr>
        <w:tc>
          <w:tcPr>
            <w:tcW w:type="dxa" w:w="2160"/>
          </w:tcPr>
          <w:p>
            <w:r/>
            <w:r>
              <w:t>Eficiencia</w:t>
            </w:r>
          </w:p>
        </w:tc>
        <w:tc>
          <w:tcPr>
            <w:tcW w:type="dxa" w:w="2160"/>
          </w:tcPr>
          <w:p>
            <w:r/>
            <w:r>
              <w:t>CAC (Customer Acquisition Cost)</w:t>
            </w:r>
          </w:p>
        </w:tc>
        <w:tc>
          <w:tcPr>
            <w:tcW w:type="dxa" w:w="2160"/>
          </w:tcPr>
          <w:p>
            <w:r/>
            <w:r>
              <w:t>(Inversión en Marketing + Inversión en Venta) / Clientes Nuevos</w:t>
            </w:r>
          </w:p>
        </w:tc>
        <w:tc>
          <w:tcPr>
            <w:tcW w:type="dxa" w:w="2160"/>
          </w:tcPr>
          <w:p>
            <w:r/>
            <w:r>
              <w:t>Debe ser menor que el Lifetime Value (LTV) del cliente. Ratio ideal LTV/CAC: 3:1 o mayor.</w:t>
            </w:r>
          </w:p>
        </w:tc>
      </w:tr>
      <w:tr>
        <w:tc>
          <w:tcPr>
            <w:tcW w:type="dxa" w:w="2160"/>
          </w:tcPr>
          <w:p>
            <w:r/>
            <w:r>
              <w:t>Eficiencia</w:t>
            </w:r>
          </w:p>
        </w:tc>
        <w:tc>
          <w:tcPr>
            <w:tcW w:type="dxa" w:w="2160"/>
          </w:tcPr>
          <w:p>
            <w:r/>
            <w:r>
              <w:t>LTV (Lifetime Value)</w:t>
            </w:r>
          </w:p>
        </w:tc>
        <w:tc>
          <w:tcPr>
            <w:tcW w:type="dxa" w:w="2160"/>
          </w:tcPr>
          <w:p>
            <w:r/>
            <w:r>
              <w:t>Ingreso Medio por Cliente × Margen de Contribución (%) / Churn Rate (%)</w:t>
            </w:r>
          </w:p>
        </w:tc>
        <w:tc>
          <w:tcPr>
            <w:tcW w:type="dxa" w:w="2160"/>
          </w:tcPr>
          <w:p>
            <w:r/>
            <w:r>
              <w:t>Valor total esperado que aporta un cliente durante toda su relación con la empresa. El CAC debe ser idealmente menor a 1/3 del LTV para un modelo saludable.</w:t>
            </w:r>
          </w:p>
        </w:tc>
      </w:tr>
      <w:tr>
        <w:tc>
          <w:tcPr>
            <w:tcW w:type="dxa" w:w="2160"/>
          </w:tcPr>
          <w:p>
            <w:r/>
            <w:r>
              <w:t>Eficiencia</w:t>
            </w:r>
          </w:p>
        </w:tc>
        <w:tc>
          <w:tcPr>
            <w:tcW w:type="dxa" w:w="2160"/>
          </w:tcPr>
          <w:p>
            <w:r/>
            <w:r>
              <w:t>Churn Rate</w:t>
            </w:r>
          </w:p>
        </w:tc>
        <w:tc>
          <w:tcPr>
            <w:tcW w:type="dxa" w:w="2160"/>
          </w:tcPr>
          <w:p>
            <w:r/>
            <w:r>
              <w:t>(Clientes perdidos / Total de clientes del ciclo analizado) × 100</w:t>
            </w:r>
          </w:p>
        </w:tc>
        <w:tc>
          <w:tcPr>
            <w:tcW w:type="dxa" w:w="2160"/>
          </w:tcPr>
          <w:p>
            <w:r/>
            <w:r>
              <w:t>&lt; 3%: excelente retención</w:t>
            </w:r>
          </w:p>
          <w:p>
            <w:r>
              <w:t>3–10%: retención a vigilar</w:t>
            </w:r>
          </w:p>
          <w:p>
            <w:r>
              <w:t>&gt; 10%: churn crítico — revisar producto y experiencia</w:t>
            </w:r>
          </w:p>
        </w:tc>
      </w:tr>
      <w:tr>
        <w:tc>
          <w:tcPr>
            <w:tcW w:type="dxa" w:w="2160"/>
          </w:tcPr>
          <w:p>
            <w:r/>
            <w:r>
              <w:t>Eficiencia</w:t>
            </w:r>
          </w:p>
        </w:tc>
        <w:tc>
          <w:tcPr>
            <w:tcW w:type="dxa" w:w="2160"/>
          </w:tcPr>
          <w:p>
            <w:r/>
            <w:r>
              <w:t>ROI por Subcanal</w:t>
            </w:r>
          </w:p>
        </w:tc>
        <w:tc>
          <w:tcPr>
            <w:tcW w:type="dxa" w:w="2160"/>
          </w:tcPr>
          <w:p>
            <w:r/>
            <w:r>
              <w:t>(Ingresos del subcanal − Inversión del subcanal) / Inversión del subcanal</w:t>
            </w:r>
          </w:p>
        </w:tc>
        <w:tc>
          <w:tcPr>
            <w:tcW w:type="dxa" w:w="2160"/>
          </w:tcPr>
          <w:p>
            <w:r/>
            <w:r>
              <w:t>&lt; 0%: se pierde dinero en ese subcanal</w:t>
            </w:r>
          </w:p>
          <w:p>
            <w:r>
              <w:t>0–100%: se recupera la inversión pero con bajo retorno</w:t>
            </w:r>
          </w:p>
          <w:p>
            <w:r>
              <w:t>&gt; 200%: subcanal muy rentable — escalarlo</w:t>
            </w:r>
          </w:p>
        </w:tc>
      </w:tr>
      <w:tr>
        <w:tc>
          <w:tcPr>
            <w:tcW w:type="dxa" w:w="2160"/>
          </w:tcPr>
          <w:p>
            <w:r/>
            <w:r>
              <w:t>Crecimiento</w:t>
            </w:r>
          </w:p>
        </w:tc>
        <w:tc>
          <w:tcPr>
            <w:tcW w:type="dxa" w:w="2160"/>
          </w:tcPr>
          <w:p>
            <w:r/>
            <w:r>
              <w:t>MoM Growth</w:t>
            </w:r>
          </w:p>
        </w:tc>
        <w:tc>
          <w:tcPr>
            <w:tcW w:type="dxa" w:w="2160"/>
          </w:tcPr>
          <w:p>
            <w:r/>
            <w:r>
              <w:t>(Ventas Mes Actual − Ventas Mes Anterior) / Ventas Mes Anterior × 100</w:t>
            </w:r>
          </w:p>
        </w:tc>
        <w:tc>
          <w:tcPr>
            <w:tcW w:type="dxa" w:w="2160"/>
          </w:tcPr>
          <w:p>
            <w:r/>
            <w:r>
              <w:t>&lt; 0%: decrecimiento (alarma roja)</w:t>
            </w:r>
          </w:p>
          <w:p>
            <w:r>
              <w:t>0–5%: crecimiento lento</w:t>
            </w:r>
          </w:p>
          <w:p>
            <w:r>
              <w:t>5–15%: crecimiento moderado</w:t>
            </w:r>
          </w:p>
          <w:p>
            <w:r>
              <w:t>&gt; 15%: alto crecimiento</w:t>
            </w:r>
          </w:p>
          <w:p>
            <w:r>
              <w:t>&gt; 30%: crecimiento explosivo</w:t>
            </w:r>
          </w:p>
        </w:tc>
      </w:tr>
      <w:tr>
        <w:tc>
          <w:tcPr>
            <w:tcW w:type="dxa" w:w="2160"/>
          </w:tcPr>
          <w:p>
            <w:r/>
            <w:r>
              <w:t>Crecimiento</w:t>
            </w:r>
          </w:p>
        </w:tc>
        <w:tc>
          <w:tcPr>
            <w:tcW w:type="dxa" w:w="2160"/>
          </w:tcPr>
          <w:p>
            <w:r/>
            <w:r>
              <w:t>Ventas por Categoría/Sector y por Canal</w:t>
            </w:r>
          </w:p>
        </w:tc>
        <w:tc>
          <w:tcPr>
            <w:tcW w:type="dxa" w:w="2160"/>
          </w:tcPr>
          <w:p>
            <w:r/>
            <w:r>
              <w:t>Desglose de ingresos por Categoría (sector) o por Canal/Subcanal de origen</w:t>
            </w:r>
          </w:p>
        </w:tc>
        <w:tc>
          <w:tcPr>
            <w:tcW w:type="dxa" w:w="2160"/>
          </w:tcPr>
          <w:p>
            <w:r/>
            <w:r>
              <w:t>Sin banda numérica propia: identifica qué sector o canal genera más ingresos, para enfocar marketing y desarrollo; se combina con el ROI por Subcanal.</w:t>
            </w:r>
          </w:p>
        </w:tc>
      </w:tr>
      <w:tr>
        <w:tc>
          <w:tcPr>
            <w:tcW w:type="dxa" w:w="2160"/>
          </w:tcPr>
          <w:p>
            <w:r/>
            <w:r>
              <w:t>OpEx</w:t>
            </w:r>
          </w:p>
        </w:tc>
        <w:tc>
          <w:tcPr>
            <w:tcW w:type="dxa" w:w="2160"/>
          </w:tcPr>
          <w:p>
            <w:r/>
            <w:r>
              <w:t>Gastos por Categoría</w:t>
            </w:r>
          </w:p>
        </w:tc>
        <w:tc>
          <w:tcPr>
            <w:tcW w:type="dxa" w:w="2160"/>
          </w:tcPr>
          <w:p>
            <w:r/>
            <w:r>
              <w:t>Suma de gastos por categoría y mes</w:t>
            </w:r>
          </w:p>
        </w:tc>
        <w:tc>
          <w:tcPr>
            <w:tcW w:type="dxa" w:w="2160"/>
          </w:tcPr>
          <w:p>
            <w:r/>
            <w:r>
              <w:t>Benchmarks típicos para startups: Personal 40–60% del OpEx; Marketing 15–30%; Software/Infraestructura 10–20%; Oficina/Admin 5–10%.</w:t>
            </w:r>
          </w:p>
        </w:tc>
      </w:tr>
      <w:tr>
        <w:tc>
          <w:tcPr>
            <w:tcW w:type="dxa" w:w="2160"/>
          </w:tcPr>
          <w:p>
            <w:r/>
            <w:r>
              <w:t>OpEx / Bajas</w:t>
            </w:r>
          </w:p>
        </w:tc>
        <w:tc>
          <w:tcPr>
            <w:tcW w:type="dxa" w:w="2160"/>
          </w:tcPr>
          <w:p>
            <w:r/>
            <w:r>
              <w:t>% de Bajas (mensual, general y por comercializadora)</w:t>
            </w:r>
          </w:p>
        </w:tc>
        <w:tc>
          <w:tcPr>
            <w:tcW w:type="dxa" w:w="2160"/>
          </w:tcPr>
          <w:p>
            <w:r/>
            <w:r>
              <w:t>(Ventas con Fecha de Baja en el mes / Ventas realizadas en ese mes) × 100</w:t>
            </w:r>
          </w:p>
        </w:tc>
        <w:tc>
          <w:tcPr>
            <w:tcW w:type="dxa" w:w="2160"/>
          </w:tcPr>
          <w:p>
            <w:r/>
            <w:r>
              <w:t>Indicador incorporado junto con la Liquidación y la Descomisión por comercializadora; aún no recogido en el Glosario del dashboard y sin banda numérica fija, se usa para monitorizar la pérdida de cartera mes a mes y por comercializadora.</w:t>
            </w:r>
          </w:p>
        </w:tc>
      </w:tr>
    </w:tbl>
    <w:p>
      <w:r>
        <w:t>Fuente: Elaboración propia a partir de calculos_pilares.py, app.py, pilares.js y del Glosario de 4 Pilares de Betty (templates/glosario_pilares.html).</w:t>
      </w:r>
    </w:p>
    <w:p>
      <w:r>
        <w:t>Nota: tras la última revisión, la alerta de Churn Rate de pilares.js pasó de un único corte en el 5% a los dos cortes del Glosario (3% y 10%); el MoM Growth pasó de los cortes internos 0/10/20 a los cortes publicados 0/5/15/30. La banda del Margen de Contribución se fijó posteriormente en ≤ 20% bajo / &gt; 20% saludable por indicación directa del CEO de la empresa caso de estudio, sustituyendo el valor 70–85% usado en una revisión anterior; es, por tanto, la única banda de este trabajo que no procede de la literatura revisada en el marco conceptual ni de una convención del sector, sino del criterio del equipo directivo de TeComparoTodo.es.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