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Diseño e implementación del dashboard Betty</w:t>
      </w:r>
    </w:p>
    <w:p>
      <w:pPr/>
      <w:r>
        <w:t>Este capítulo responde al tercer objetivo específico del trabajo —diseñar e implementar un dashboard que calcule y visualice las métricas seleccionadas en el Capítulo 5 a partir de datos reales de la empresa— describiendo qué es Betty, con qué tecnologías se construyó, cuál es su objetivo funcional, qué consideraciones financieras guiaron su diseño y de qué manera se ajusta al modelo de negocio concreto de TeComparoTodo.es.</w:t>
      </w:r>
    </w:p>
    <w:p>
      <w:pPr>
        <w:pStyle w:val="Heading2"/>
      </w:pPr>
      <w:r>
        <w:t>6.1. ¿Qué es Betty?</w:t>
      </w:r>
    </w:p>
    <w:p>
      <w:pPr/>
      <w:r>
        <w:t>Betty es el aplicativo web de análisis financiero desarrollado como artefacto central de este Trabajo de Fin de Máster. Se trata de una herramienta de Business Intelligence (BI) a medida, pensada para fundadores y responsables de backoffice de pequeñas empresas y startups sin un departamento financiero dedicado, que permite transformar los datos contables y transaccionales ya registrados por la empresa (en Excel, ERP o CRM) en un panel de control interactivo, sin necesidad de conocimientos avanzados de análisis financiero. El usuario sube un fichero Excel con el balance y la cuenta de resultados, o con el detalle de transacciones de ingresos y gastos, y Betty devuelve de forma automática los indicadores correspondientes, sus gráficos y una interpretación narrativa de cada uno.</w:t>
      </w:r>
    </w:p>
    <w:p>
      <w:pPr/>
      <w:r>
        <w:t>El aplicativo se organiza en dos modos de análisis complementarios, accesibles desde una misma interfaz: el módulo de Ratios Financieros Tradicionales, orientado a una lectura contable anual de la empresa (endeudamiento, solvencia, rentabilidad y márgenes), y el módulo de 4 Pilares para Startups, orientado a una lectura mensual y operativa (Cash Management, Eficiencia, Crecimiento y OpEx), con una página adicional de Proyección de Caja a 12 meses. Betty está desplegado en producción (Render), con el código fuente alojado en GitHub y despliegue continuo ante cada cambio.</w:t>
      </w:r>
    </w:p>
    <w:p>
      <w:pPr>
        <w:pStyle w:val="Heading2"/>
      </w:pPr>
      <w:r>
        <w:t>6.2. Tecnologías utilizadas</w:t>
      </w:r>
    </w:p>
    <w:p>
      <w:pPr/>
      <w:r>
        <w:t>El backend se desarrolló en Python, sobre el microframework Flask, encargado de las rutas HTTP, la ingesta y validación de los ficheros Excel, y la orquestación de los cálculos financieros. La lectura, limpieza y transformación de los datos se realiza con pandas y NumPy, y la lectura de los ficheros Excel con el motor openpyxl; este mismo motor se emplea para generar y mantener las plantillas Excel descargables de ambos modos de análisis. La configuración específica de cada usuario (nombres personalizados de conceptos contables y la configuración de Liquidación/Descomisión por comercializadora) se persiste en la sesión del servidor (Flask session).</w:t>
      </w:r>
    </w:p>
    <w:p>
      <w:pPr/>
      <w:r>
        <w:t>El frontend se construyó con HTML, CSS y JavaScript «vanilla» (sin framework), con ApexCharts como librería de gráficos interactivos para los dashboards de ambos modos de análisis y los desgloses por sector, comercializadora y canal. El código del backend se organiza en tres módulos independientes (app.py para rutas y configuración, calculos_ratios.py para los ratios tradicionales y calculos_pilares.py para los 4 Pilares), lo que permite evolucionar cada módulo de cálculo de forma aislada. El control de versiones se gestiona con Git y GitHub, y el despliegue en Render se dispara automáticamente con cada cambio subido a la rama principal del repositorio.</w:t>
      </w:r>
    </w:p>
    <w:p>
      <w:pPr>
        <w:pStyle w:val="Heading2"/>
      </w:pPr>
      <w:r>
        <w:t>6.3. Objetivo del dashboard</w:t>
      </w:r>
    </w:p>
    <w:p>
      <w:pPr/>
      <w:r>
        <w:t>El objetivo funcional de Betty es doble: por un lado, calcular de forma automática, a partir de los datos reales de la empresa, el conjunto de ratios financieros y de indicadores de los 4 Pilares seleccionados y justificados en el Capítulo 5; por otro, visualizar dichos indicadores mediante gráficos interactivos y una interpretación narrativa automática (bandas de bajo/aceptable/bueno/excelente, alertas de riesgo), de forma que un fundador sin formación financiera avanzada pueda identificar «de un vistazo» el estado de salud financiera de su empresa, sin depender de un análisis manual recurrente. Con ello se persigue cerrar la brecha diagnosticada en el Capítulo 4: una cultura de datos consolidada en el plano comercial de TeComparoTodo.es, pero incipiente en el plano financiero.</w:t>
      </w:r>
    </w:p>
    <w:p>
      <w:pPr>
        <w:pStyle w:val="Heading2"/>
      </w:pPr>
      <w:r>
        <w:t>6.4. Consideraciones financieras del diseño</w:t>
      </w:r>
    </w:p>
    <w:p>
      <w:pPr/>
      <w:r>
        <w:t>El diseño de Betty incorpora varias decisiones financieras directamente derivadas del marco conceptual y de la realidad de la empresa caso de estudio. En primer lugar, la coexistencia de dos cuerpos de indicadores con naturaleza epistemológica distinta —los ratios contable-financieros clásicos y los indicadores del ecosistema startup (CAC, LTV, Churn Rate, Runway, Burn Rate)— exigió mantener ambos módulos separados pero con una interfaz y un sistema de ingesta de datos coherentes entre sí.</w:t>
      </w:r>
    </w:p>
    <w:p>
      <w:pPr/>
      <w:r>
        <w:t>En segundo lugar, las bandas de interpretación aplicadas a cada indicador (bajo/aceptable/bueno/excelente, o las alertas de riesgo de los 4 Pilares) se diseñaron para ser siempre las mismas que las publicadas en el Glosario de Betty, evitando que la narrativa automática del dashboard contradijese la documentación de referencia que el propio usuario puede consultar; la única excepción deliberada es la banda del Margen de Contribución (≤ 20% bajo / &gt; 20% saludable), fijada directamente por el CEO de TeComparoTodo.es a partir de su conocimiento del negocio, en lugar de proceder de la literatura revisada en el marco conceptual.</w:t>
      </w:r>
    </w:p>
    <w:p>
      <w:pPr/>
      <w:r>
        <w:t>En tercer lugar, el modelo de ingresos de TeComparoTodo.es —una comisión que puede reducirse o anularse retroactivamente si el cliente causa baja dentro del periodo de descomisión— obligó a diseñar un modelo de «mes cerrado vs. mes actual» en el gráfico de Ingresos, Gastos y Evolución de Caja y en la Proyección de Caja a 12 meses: los meses ya cerrados muestran únicamente cifras reales (Ingreso Cobrado, Caja Efectiva), mientras que solo el último mes con datos incorpora una proyección, construida a partir de las ventas pendientes de liquidar y de las bajas conocidas, situadas en el mes que corresponda según la Liquidación (días del mes) configurada por comercializadora. Esta corrección financiera evita que una venta pendiente, que nunca representó caja real, se mezcle con los ingresos ya efectivamente cobrados.</w:t>
      </w:r>
    </w:p>
    <w:p>
      <w:pPr>
        <w:pStyle w:val="Heading2"/>
      </w:pPr>
      <w:r>
        <w:t>6.5. Ajuste al modelo de negocio de TeComparoTodo.es</w:t>
      </w:r>
    </w:p>
    <w:p>
      <w:pPr/>
      <w:r>
        <w:t>TeComparoTodo.es opera como una plataforma de intermediación digital (two-sided market) entre clientes finales y comercializadoras de energía, telefonía, alarmas y placas solares, en la que el ingreso procede de la comisión que paga el partner (la comercializadora), no el usuario final. Betty se ajusta a esta estructura de negocio en varios puntos concretos de su diseño: la pestaña «Comercializadoras» permite configurar, para cada comercializadora, hasta tres días de Liquidación al mes y un calendario de Descomisión por tramos (por ejemplo, 100% si la baja ocurre en el primer mes de servicio), reproduciendo exactamente las condiciones de pago y de penalización por baja que la empresa negocia con cada partner.</w:t>
      </w:r>
    </w:p>
    <w:p>
      <w:pPr/>
      <w:r>
        <w:t>Asimismo, la segmentación de ventas, bajas y unit economics (CAC, LTV, Margen de Contribución, ROI por subcanal) por Categoría (Energía, Telefonía, Placas Solares, Alarmas) y por Canal/Subcanal de captación responde directamente a la forma en que la empresa genera y gestiona sus leads: a través de marketing digital (SEO, SEM, Meta Ads), comerciales de calle y clientes referidos, con un equipo comercial que cierra la venta final. El campo «Fecha de Liquidación», incorporado a la plantilla de ventas cobradas, y la columna «CANAL» (que distingue altas nuevas de renovaciones mediante el valor «REN») recogen, igualmente, particularidades operativas propias de esta empresa y de su backoffice, confirmadas durante la entrevista descrita en el Capítulo 4. En conjunto, Betty no es un dashboard financiero genérico adaptado a posteriori, sino una herramienta cuyo modelo de datos y cuyas reglas de cálculo se diseñaron desde el inicio sobre la lógica comercial y de comisiones específica de TeComparoTodo.es.</w:t>
      </w:r>
    </w:p>
    <w:p>
      <w:pPr>
        <w:pStyle w:val="Heading2"/>
      </w:pPr>
      <w:r>
        <w:t>6.6. Descripción de los gráficos del dashboard</w:t>
      </w:r>
    </w:p>
    <w:p>
      <w:pPr/>
      <w:r>
        <w:t>A continuación se describe brevemente cada gráfico disponible en Betty, agrupado por página y por módulo, tal y como aparecen en el aplicativo (Tabla 6.1).</w:t>
      </w:r>
    </w:p>
    <w:p>
      <w:pPr>
        <w:pStyle w:val="Caption"/>
      </w:pPr>
      <w:r>
        <w:t>Tabla 6.1. Gráficos del dashboard Betty: página/módulo, nombre y descripción breve.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Página / módulo</w:t>
            </w:r>
          </w:p>
        </w:tc>
        <w:tc>
          <w:tcPr>
            <w:tcW w:type="dxa" w:w="2880"/>
          </w:tcPr>
          <w:p>
            <w:r/>
            <w:r>
              <w:rPr>
                <w:b/>
              </w:rPr>
              <w:t>Gráfico</w:t>
            </w:r>
          </w:p>
        </w:tc>
        <w:tc>
          <w:tcPr>
            <w:tcW w:type="dxa" w:w="2880"/>
          </w:tcPr>
          <w:p>
            <w:r/>
            <w:r>
              <w:rPr>
                <w:b/>
              </w:rPr>
              <w:t>Descripción breve</w:t>
            </w:r>
          </w:p>
        </w:tc>
      </w:tr>
      <w:tr>
        <w:tc>
          <w:tcPr>
            <w:tcW w:type="dxa" w:w="2880"/>
          </w:tcPr>
          <w:p>
            <w:r/>
            <w:r>
              <w:t>Ratios Financieros</w:t>
            </w:r>
          </w:p>
        </w:tc>
        <w:tc>
          <w:tcPr>
            <w:tcW w:type="dxa" w:w="2880"/>
          </w:tcPr>
          <w:p>
            <w:r/>
            <w:r>
              <w:t>Nivel de Endeudamiento (%)</w:t>
            </w:r>
          </w:p>
        </w:tc>
        <w:tc>
          <w:tcPr>
            <w:tcW w:type="dxa" w:w="2880"/>
          </w:tcPr>
          <w:p>
            <w:r/>
            <w:r>
              <w:t>Evolución anual del Nivel de Endeudamiento, con un cuadro de análisis automático que compara el último valor con las bandas del Glosario.</w:t>
            </w:r>
          </w:p>
        </w:tc>
      </w:tr>
      <w:tr>
        <w:tc>
          <w:tcPr>
            <w:tcW w:type="dxa" w:w="2880"/>
          </w:tcPr>
          <w:p>
            <w:r/>
            <w:r>
              <w:t>Ratios Financieros</w:t>
            </w:r>
          </w:p>
        </w:tc>
        <w:tc>
          <w:tcPr>
            <w:tcW w:type="dxa" w:w="2880"/>
          </w:tcPr>
          <w:p>
            <w:r/>
            <w:r>
              <w:t>Solvencia Total</w:t>
            </w:r>
          </w:p>
        </w:tc>
        <w:tc>
          <w:tcPr>
            <w:tcW w:type="dxa" w:w="2880"/>
          </w:tcPr>
          <w:p>
            <w:r/>
            <w:r>
              <w:t>Evolución anual de la Solvencia Total (Activo / Pasivo exigible), con análisis automático de la situación de solvencia.</w:t>
            </w:r>
          </w:p>
        </w:tc>
      </w:tr>
      <w:tr>
        <w:tc>
          <w:tcPr>
            <w:tcW w:type="dxa" w:w="2880"/>
          </w:tcPr>
          <w:p>
            <w:r/>
            <w:r>
              <w:t>Ratios Financieros</w:t>
            </w:r>
          </w:p>
        </w:tc>
        <w:tc>
          <w:tcPr>
            <w:tcW w:type="dxa" w:w="2880"/>
          </w:tcPr>
          <w:p>
            <w:r/>
            <w:r>
              <w:t>ROA y ROE (%)</w:t>
            </w:r>
          </w:p>
        </w:tc>
        <w:tc>
          <w:tcPr>
            <w:tcW w:type="dxa" w:w="2880"/>
          </w:tcPr>
          <w:p>
            <w:r/>
            <w:r>
              <w:t>Evolución anual conjunta del ROA y el ROE, con una franja de color que indica si el apalancamiento financiero es positivo (ROE &gt; ROA) o negativo (ROE &lt; ROA).</w:t>
            </w:r>
          </w:p>
        </w:tc>
      </w:tr>
      <w:tr>
        <w:tc>
          <w:tcPr>
            <w:tcW w:type="dxa" w:w="2880"/>
          </w:tcPr>
          <w:p>
            <w:r/>
            <w:r>
              <w:t>Ratios Financieros</w:t>
            </w:r>
          </w:p>
        </w:tc>
        <w:tc>
          <w:tcPr>
            <w:tcW w:type="dxa" w:w="2880"/>
          </w:tcPr>
          <w:p>
            <w:r/>
            <w:r>
              <w:t>Márgenes sobre Ventas (%)</w:t>
            </w:r>
          </w:p>
        </w:tc>
        <w:tc>
          <w:tcPr>
            <w:tcW w:type="dxa" w:w="2880"/>
          </w:tcPr>
          <w:p>
            <w:r/>
            <w:r>
              <w:t>Evolución anual conjunta de los tres márgenes en cascada: EBITDA/Ventas, BAIT/Ventas y Resultado/Ventas.</w:t>
            </w:r>
          </w:p>
        </w:tc>
      </w:tr>
      <w:tr>
        <w:tc>
          <w:tcPr>
            <w:tcW w:type="dxa" w:w="2880"/>
          </w:tcPr>
          <w:p>
            <w:r/>
            <w:r>
              <w:t>Ratios Financieros</w:t>
            </w:r>
          </w:p>
        </w:tc>
        <w:tc>
          <w:tcPr>
            <w:tcW w:type="dxa" w:w="2880"/>
          </w:tcPr>
          <w:p>
            <w:r/>
            <w:r>
              <w:t>Solvencia Corriente</w:t>
            </w:r>
          </w:p>
        </w:tc>
        <w:tc>
          <w:tcPr>
            <w:tcW w:type="dxa" w:w="2880"/>
          </w:tcPr>
          <w:p>
            <w:r/>
            <w:r>
              <w:t>Evolución anual de la Solvencia Corriente (Activo Corriente / Pasivo Corriente), con análisis automático de la situación de liquidez a corto plazo.</w:t>
            </w:r>
          </w:p>
        </w:tc>
      </w:tr>
      <w:tr>
        <w:tc>
          <w:tcPr>
            <w:tcW w:type="dxa" w:w="2880"/>
          </w:tcPr>
          <w:p>
            <w:r/>
            <w:r>
              <w:t>Ratios Financieros</w:t>
            </w:r>
          </w:p>
        </w:tc>
        <w:tc>
          <w:tcPr>
            <w:tcW w:type="dxa" w:w="2880"/>
          </w:tcPr>
          <w:p>
            <w:r/>
            <w:r>
              <w:t>Apalancamiento Financiero</w:t>
            </w:r>
          </w:p>
        </w:tc>
        <w:tc>
          <w:tcPr>
            <w:tcW w:type="dxa" w:w="2880"/>
          </w:tcPr>
          <w:p>
            <w:r/>
            <w:r>
              <w:t>Barras de Deuda Total y Fondos Propios por año, combinadas con una línea del ratio Fondos Ajenos/Fondos Propios (Apalancamiento).</w:t>
            </w:r>
          </w:p>
        </w:tc>
      </w:tr>
      <w:tr>
        <w:tc>
          <w:tcPr>
            <w:tcW w:type="dxa" w:w="2880"/>
          </w:tcPr>
          <w:p>
            <w:r/>
            <w:r>
              <w:t>Ratios Financieros</w:t>
            </w:r>
          </w:p>
        </w:tc>
        <w:tc>
          <w:tcPr>
            <w:tcW w:type="dxa" w:w="2880"/>
          </w:tcPr>
          <w:p>
            <w:r/>
            <w:r>
              <w:t>Tabla Completa de Ratios</w:t>
            </w:r>
          </w:p>
        </w:tc>
        <w:tc>
          <w:tcPr>
            <w:tcW w:type="dxa" w:w="2880"/>
          </w:tcPr>
          <w:p>
            <w:r/>
            <w:r>
              <w:t>Tabla (no gráfico) con los 11 ratios financieros calculados para cada año disponible en el Excel subido.</w:t>
            </w:r>
          </w:p>
        </w:tc>
      </w:tr>
      <w:tr>
        <w:tc>
          <w:tcPr>
            <w:tcW w:type="dxa" w:w="2880"/>
          </w:tcPr>
          <w:p>
            <w:r/>
            <w:r>
              <w:t>4 Pilares — Cash Management</w:t>
            </w:r>
          </w:p>
        </w:tc>
        <w:tc>
          <w:tcPr>
            <w:tcW w:type="dxa" w:w="2880"/>
          </w:tcPr>
          <w:p>
            <w:r/>
            <w:r>
              <w:t>Net Burn Rate vs Gross Burn Rate (por mes)</w:t>
            </w:r>
          </w:p>
        </w:tc>
        <w:tc>
          <w:tcPr>
            <w:tcW w:type="dxa" w:w="2880"/>
          </w:tcPr>
          <w:p>
            <w:r/>
            <w:r>
              <w:t>Barras mensuales que comparan el gasto bruto (Gross Burn Rate) con el consumo neto de caja (Net Burn Rate), para visualizar cuánto de ese gasto se compensa con ingresos cobrados.</w:t>
            </w:r>
          </w:p>
        </w:tc>
      </w:tr>
      <w:tr>
        <w:tc>
          <w:tcPr>
            <w:tcW w:type="dxa" w:w="2880"/>
          </w:tcPr>
          <w:p>
            <w:r/>
            <w:r>
              <w:t>4 Pilares — Eficiencia</w:t>
            </w:r>
          </w:p>
        </w:tc>
        <w:tc>
          <w:tcPr>
            <w:tcW w:type="dxa" w:w="2880"/>
          </w:tcPr>
          <w:p>
            <w:r/>
            <w:r>
              <w:t>ROI por Subcanal</w:t>
            </w:r>
          </w:p>
        </w:tc>
        <w:tc>
          <w:tcPr>
            <w:tcW w:type="dxa" w:w="2880"/>
          </w:tcPr>
          <w:p>
            <w:r/>
            <w:r>
              <w:t>Barras del ROI (%) de cada subcanal de marketing (Categoría = MK); permite filtrar por sector y, al hacer click sobre Margen de Contribución, CAC, Ingreso Medio por Cliente o LTV, reutiliza el mismo gráfico para mostrar esa métrica desglosada por sector o por mes.</w:t>
            </w:r>
          </w:p>
        </w:tc>
      </w:tr>
      <w:tr>
        <w:tc>
          <w:tcPr>
            <w:tcW w:type="dxa" w:w="2880"/>
          </w:tcPr>
          <w:p>
            <w:r/>
            <w:r>
              <w:t>4 Pilares — Crecimiento</w:t>
            </w:r>
          </w:p>
        </w:tc>
        <w:tc>
          <w:tcPr>
            <w:tcW w:type="dxa" w:w="2880"/>
          </w:tcPr>
          <w:p>
            <w:r/>
            <w:r>
              <w:t>Evolución Mensual de Ventas</w:t>
            </w:r>
          </w:p>
        </w:tc>
        <w:tc>
          <w:tcPr>
            <w:tcW w:type="dxa" w:w="2880"/>
          </w:tcPr>
          <w:p>
            <w:r/>
            <w:r>
              <w:t>Ventas totales por mes (o por día, con el toggle Mensual/Diario), base del cálculo del MoM Growth mostrado como KPI.</w:t>
            </w:r>
          </w:p>
        </w:tc>
      </w:tr>
      <w:tr>
        <w:tc>
          <w:tcPr>
            <w:tcW w:type="dxa" w:w="2880"/>
          </w:tcPr>
          <w:p>
            <w:r/>
            <w:r>
              <w:t>4 Pilares — OpEx</w:t>
            </w:r>
          </w:p>
        </w:tc>
        <w:tc>
          <w:tcPr>
            <w:tcW w:type="dxa" w:w="2880"/>
          </w:tcPr>
          <w:p>
            <w:r/>
            <w:r>
              <w:t>Gastos por Categoría</w:t>
            </w:r>
          </w:p>
        </w:tc>
        <w:tc>
          <w:tcPr>
            <w:tcW w:type="dxa" w:w="2880"/>
          </w:tcPr>
          <w:p>
            <w:r/>
            <w:r>
              <w:t>Barras apiladas de gasto por categoría (Personal, Marketing, Software, Oficina, etc.) y por mes o día, para visualizar la composición del gasto operativo.</w:t>
            </w:r>
          </w:p>
        </w:tc>
      </w:tr>
      <w:tr>
        <w:tc>
          <w:tcPr>
            <w:tcW w:type="dxa" w:w="2880"/>
          </w:tcPr>
          <w:p>
            <w:r/>
            <w:r>
              <w:t>Análisis Detallado</w:t>
            </w:r>
          </w:p>
        </w:tc>
        <w:tc>
          <w:tcPr>
            <w:tcW w:type="dxa" w:w="2880"/>
          </w:tcPr>
          <w:p>
            <w:r/>
            <w:r>
              <w:t>Ingresos, Gastos y Evolución de Caja</w:t>
            </w:r>
          </w:p>
        </w:tc>
        <w:tc>
          <w:tcPr>
            <w:tcW w:type="dxa" w:w="2880"/>
          </w:tcPr>
          <w:p>
            <w:r/>
            <w:r>
              <w:t>Gráfico combinado (barras de Ingresos y Gastos, línea de Caja) por mes o por día; el botón «PROYECTADO» añade, solo en vista mensual, el Ingreso y la Caja Proyectada del último mes según el modelo «mes cerrado vs. mes actual», junto con los avisos de ventas sin Fecha de Liquidación y de Ventas por Cobrar/Correcciones pendientes.</w:t>
            </w:r>
          </w:p>
        </w:tc>
      </w:tr>
      <w:tr>
        <w:tc>
          <w:tcPr>
            <w:tcW w:type="dxa" w:w="2880"/>
          </w:tcPr>
          <w:p>
            <w:r/>
            <w:r>
              <w:t>Análisis Detallado</w:t>
            </w:r>
          </w:p>
        </w:tc>
        <w:tc>
          <w:tcPr>
            <w:tcW w:type="dxa" w:w="2880"/>
          </w:tcPr>
          <w:p>
            <w:r/>
            <w:r>
              <w:t>Ventas por Sector y Total Mensual</w:t>
            </w:r>
          </w:p>
        </w:tc>
        <w:tc>
          <w:tcPr>
            <w:tcW w:type="dxa" w:w="2880"/>
          </w:tcPr>
          <w:p>
            <w:r/>
            <w:r>
              <w:t>Barras de ventas totales y por sector (Energía, Telefonía, Placas Solares, Alarmas), por mes o por día, con filtros (año, mes, rango de fechas, comercializadora, luz/gas, tarifa) y drill-down al hacer click (sector → comercializadora → luz/gas, con desglose por tarifa en el tooltip).</w:t>
            </w:r>
          </w:p>
        </w:tc>
      </w:tr>
      <w:tr>
        <w:tc>
          <w:tcPr>
            <w:tcW w:type="dxa" w:w="2880"/>
          </w:tcPr>
          <w:p>
            <w:r/>
            <w:r>
              <w:t>Bajas por Comercializadora</w:t>
            </w:r>
          </w:p>
        </w:tc>
        <w:tc>
          <w:tcPr>
            <w:tcW w:type="dxa" w:w="2880"/>
          </w:tcPr>
          <w:p>
            <w:r/>
            <w:r>
              <w:t>Total de Bajas</w:t>
            </w:r>
          </w:p>
        </w:tc>
        <w:tc>
          <w:tcPr>
            <w:tcW w:type="dxa" w:w="2880"/>
          </w:tcPr>
          <w:p>
            <w:r/>
            <w:r>
              <w:t>Barras del % de bajas de cada grupo (bajas entre ventas de ese mismo grupo) por mes o por día, con los mismos filtros y el mismo drill-down jerárquico que el gráfico de Ventas por Sector.</w:t>
            </w:r>
          </w:p>
        </w:tc>
      </w:tr>
      <w:tr>
        <w:tc>
          <w:tcPr>
            <w:tcW w:type="dxa" w:w="2880"/>
          </w:tcPr>
          <w:p>
            <w:r/>
            <w:r>
              <w:t>Proyección (12 meses)</w:t>
            </w:r>
          </w:p>
        </w:tc>
        <w:tc>
          <w:tcPr>
            <w:tcW w:type="dxa" w:w="2880"/>
          </w:tcPr>
          <w:p>
            <w:r/>
            <w:r>
              <w:t>Proyección de Caja (12 meses)</w:t>
            </w:r>
          </w:p>
        </w:tc>
        <w:tc>
          <w:tcPr>
            <w:tcW w:type="dxa" w:w="2880"/>
          </w:tcPr>
          <w:p>
            <w:r/>
            <w:r>
              <w:t>Línea de la evolución proyectada de la caja disponible mes a mes, a partir de los supuestos de crecimiento, funnel web y equipo comercial introducidos por el usuario.</w:t>
            </w:r>
          </w:p>
        </w:tc>
      </w:tr>
      <w:tr>
        <w:tc>
          <w:tcPr>
            <w:tcW w:type="dxa" w:w="2880"/>
          </w:tcPr>
          <w:p>
            <w:r/>
            <w:r>
              <w:t>Proyección (12 meses)</w:t>
            </w:r>
          </w:p>
        </w:tc>
        <w:tc>
          <w:tcPr>
            <w:tcW w:type="dxa" w:w="2880"/>
          </w:tcPr>
          <w:p>
            <w:r/>
            <w:r>
              <w:t>Ingresos y Gastos Proyectados</w:t>
            </w:r>
          </w:p>
        </w:tc>
        <w:tc>
          <w:tcPr>
            <w:tcW w:type="dxa" w:w="2880"/>
          </w:tcPr>
          <w:p>
            <w:r/>
            <w:r>
              <w:t>Barras de los ingresos y gastos proyectados para cada uno de los 12 meses siguientes.</w:t>
            </w:r>
          </w:p>
        </w:tc>
      </w:tr>
      <w:tr>
        <w:tc>
          <w:tcPr>
            <w:tcW w:type="dxa" w:w="2880"/>
          </w:tcPr>
          <w:p>
            <w:r/>
            <w:r>
              <w:t>Proyección (12 meses)</w:t>
            </w:r>
          </w:p>
        </w:tc>
        <w:tc>
          <w:tcPr>
            <w:tcW w:type="dxa" w:w="2880"/>
          </w:tcPr>
          <w:p>
            <w:r/>
            <w:r>
              <w:t>Burn Rates Proyectados</w:t>
            </w:r>
          </w:p>
        </w:tc>
        <w:tc>
          <w:tcPr>
            <w:tcW w:type="dxa" w:w="2880"/>
          </w:tcPr>
          <w:p>
            <w:r/>
            <w:r>
              <w:t>Barras del Net Burn Rate y el Gross Burn Rate proyectados mes a mes, incluyendo el efecto de la descomisión simulada sobre las nuevas ventas proyectadas.</w:t>
            </w:r>
          </w:p>
        </w:tc>
      </w:tr>
    </w:tbl>
    <w:p>
      <w:r>
        <w:t>Fuente: Elaboración propia a partir de templates/ratios.html, templates/pilares.html, templates/proyeccion.html y sus respectivos scripts JavaScript.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