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Validación del dashboard Betty</w:t>
      </w:r>
    </w:p>
    <w:p>
      <w:pPr/>
      <w:r>
        <w:t>Este capítulo responde al cuarto y último objetivo específico del trabajo: validar la utilidad de Betty mediante su aplicación a datos reales de TeComparoTodo.es y el contraste con el equipo directivo de la organización. La validación se apoya en dos evidencias complementarias: la aplicación efectiva del aplicativo a los datos reales de la empresa, dentro del alcance que dichos datos permiten, y la prueba y aprobación del dashboard por parte de la dirección.</w:t>
      </w:r>
    </w:p>
    <w:p>
      <w:pPr>
        <w:pStyle w:val="Heading2"/>
      </w:pPr>
      <w:r>
        <w:t>7.1. Alcance y limitaciones de los datos disponibles para la validación</w:t>
      </w:r>
    </w:p>
    <w:p>
      <w:pPr/>
      <w:r>
        <w:t>A diferencia de los datos sintéticos empleados en las pruebas de desarrollo del Capítulo 6, la empresa únicamente ha podido facilitar, para esta validación, los datos financieros agregados a nivel mensual ya introducidos en el Capítulo 4 (Tabla 4.3): Ingresos, Gastos y Caja inicial. No se dispone, por tanto, del detalle transaccional (fecha y categoría de cada gasto, importe, comercializadora, canal, ID de cliente, fecha de activación y de baja) que exige el fichero Hoja2 para calcular la totalidad de los indicadores de los 4 Pilares.</w:t>
      </w:r>
    </w:p>
    <w:p>
      <w:pPr/>
      <w:r>
        <w:t>Esta limitación acota el alcance de la validación cuantitativa a aquellos indicadores que pueden derivarse directamente de una serie de Ingresos y Gastos mensuales: Gross Burn Rate, Net Burn Rate, Caja Disponible y Runway/Meses de Reserva (Pilar 1, Cash Management) y MoM Growth (Pilar 3, Crecimiento, tomando los Ingresos mensuales como proxy de las ventas). Los indicadores que exigen el detalle por venta o por gasto (Margen de Contribución, CAC, LTV, Churn Rate y ROI por Subcanal en Eficiencia; Gastos por Categoría en OpEx; % de Bajas por Comercializadora) no pueden validarse con datos propios de la empresa en el estado actual de este trabajo y quedan señalados como limitación explícita (Tabla 7.1).</w:t>
      </w:r>
    </w:p>
    <w:p>
      <w:pPr>
        <w:pStyle w:val="Caption"/>
      </w:pPr>
      <w:r>
        <w:t>Tabla 7.1. Indicadores de los 4 Pilares validables y no validables con los datos reales disponibles.</w:t>
      </w:r>
    </w:p>
    <w:tbl>
      <w:tblPr>
        <w:tblStyle w:val="TableGrid"/>
        <w:tblW w:type="auto" w:w="0"/>
        <w:tblLook w:firstColumn="1" w:firstRow="1" w:lastColumn="0" w:lastRow="0" w:noHBand="0" w:noVBand="1" w:val="04A0"/>
      </w:tblPr>
      <w:tblGrid>
        <w:gridCol w:w="4320"/>
        <w:gridCol w:w="4320"/>
      </w:tblGrid>
      <w:tr>
        <w:tc>
          <w:tcPr>
            <w:tcW w:type="dxa" w:w="4320"/>
          </w:tcPr>
          <w:p>
            <w:r/>
            <w:r>
              <w:rPr>
                <w:b/>
              </w:rPr>
              <w:t>Validables con los datos recibidos</w:t>
            </w:r>
          </w:p>
        </w:tc>
        <w:tc>
          <w:tcPr>
            <w:tcW w:type="dxa" w:w="4320"/>
          </w:tcPr>
          <w:p>
            <w:r/>
            <w:r>
              <w:rPr>
                <w:b/>
              </w:rPr>
              <w:t>No validables con los datos recibidos (requieren detalle transaccional)</w:t>
            </w:r>
          </w:p>
        </w:tc>
      </w:tr>
      <w:tr>
        <w:tc>
          <w:tcPr>
            <w:tcW w:type="dxa" w:w="4320"/>
          </w:tcPr>
          <w:p>
            <w:r/>
            <w:r>
              <w:t>Gross Burn Rate</w:t>
            </w:r>
          </w:p>
          <w:p>
            <w:r>
              <w:t>Net Burn Rate</w:t>
            </w:r>
          </w:p>
          <w:p>
            <w:r>
              <w:t>Caja Disponible</w:t>
            </w:r>
          </w:p>
          <w:p>
            <w:r>
              <w:t>Runway / Meses de Reserva</w:t>
            </w:r>
          </w:p>
          <w:p>
            <w:r>
              <w:t>MoM Growth</w:t>
            </w:r>
          </w:p>
        </w:tc>
        <w:tc>
          <w:tcPr>
            <w:tcW w:type="dxa" w:w="4320"/>
          </w:tcPr>
          <w:p>
            <w:r/>
            <w:r>
              <w:t>Margen de Contribución, CAC, LTV, Churn Rate, ROI por Subcanal (Eficiencia)</w:t>
            </w:r>
          </w:p>
          <w:p>
            <w:r>
              <w:t>Gastos por Categoría (OpEx)</w:t>
            </w:r>
          </w:p>
          <w:p>
            <w:r>
              <w:t>% de Bajas por Comercializadora, Ventas por Sector/Canal (Crecimiento)</w:t>
            </w:r>
          </w:p>
        </w:tc>
      </w:tr>
    </w:tbl>
    <w:p>
      <w:r>
        <w:t>Fuente: Elaboración propia.</w:t>
      </w:r>
    </w:p>
    <w:p>
      <w:pPr/>
      <w:r>
        <w:t>Para dejar constancia reproducible de este cálculo manual y permitir su contraste directo frente a la salida de Betty, se elaboró la plantilla de cálculo PLANTILLA_4_Pilares_Datos_Mensuales.xlsx (Anexo), que aplica exactamente las mismas fórmulas que calculos_pilares.py (Gross Burn Rate = Gastos del mes; Net Burn Rate = Gastos − Ingresos; Caja Disponible acumulada; Runway = Caja / Net Burn Rate si este es positivo, o Meses de Reserva = Caja / Gross Burn Rate si la empresa es rentable) sobre una tabla de Ingresos y Gastos mensuales introducida manualmente, e incluye una hoja adicional que documenta, uno por uno, qué dato transaccional adicional requeriría cada indicador no calculable.</w:t>
      </w:r>
    </w:p>
    <w:p>
      <w:pPr>
        <w:pStyle w:val="Heading2"/>
      </w:pPr>
      <w:r>
        <w:t>7.2. Reconstrucción transaccional a partir de los parámetros reales de negocio</w:t>
      </w:r>
    </w:p>
    <w:p>
      <w:pPr/>
      <w:r>
        <w:t>Con la única información agregada aportada por la empresa (gasto medio mensual de 6.900 €, ingreso medio mensual de 4.000 € y caja disponible de 30.000 €, Capítulo 4), el Net Burn Rate es inmediato (2.900 €/mes) pero no permite calcular el resto de indicadores de los 4 Pilares señalados como no validables en la Tabla 7.1. Para ilustrar el comportamiento completo del dashboard sin disponer de una exportación transaccional real, se construyó un fichero Hoja2 (PLANTILLA_4_Pilares_TeComparoTodo_Abr_Sep2026.xlsx, Anexo) que reconstruye seis meses de actividad (abril-septiembre de 2026, el periodo cubierto por la entrevista del Capítulo 4) venta a venta, respetando: (i) los ingresos y gastos medios mensuales ya reportados por la empresa; (ii) las comercializadoras y tarifas reales de cada vertical (Naturgy, Octopus y NIBA en Luz —con tarifa plana exclusiva de Naturgy— y Gas; Movistar y Vodafone en Telefonía; SEGURMA y Verisure en Alarmas; Ambito Solar y Quantica en Placas Solares); (iii) los rangos de comisión reales por vertical (Energía 40-80 €, Telefonía 80-100 €, Alarmas 500 €, Placas Solares 1.000 € por venta) y la comisión del 80% del importe pagada al equipo comercial; y (iv) el calendario de descomisión aplicable a Energía y Telefonía (100% si la baja ocurre dentro del primer mes, 75% en el segundo, 50% en el tercero y 25% en el cuarto), configurado en la pestaña Comercializadoras de Betty.</w:t>
      </w:r>
    </w:p>
    <w:p>
      <w:pPr/>
      <w:r>
        <w:t>Esta reconstrucción es, por tanto, un ejercicio ilustrativo construido sobre los parámetros de negocio reales confirmados por la empresa, y no una exportación literal de su sistema transaccional (que la empresa no ha podido facilitar, epígrafe 7.1); su valor para la validación reside en que permite observar, con las reglas de negocio correctas, el comportamiento conjunto de todos los indicadores de los 4 Pilares y confirmar que el aplicativo los calcula de forma coherente entre sí.</w:t>
      </w:r>
    </w:p>
    <w:p>
      <w:pPr>
        <w:pStyle w:val="Caption"/>
      </w:pPr>
      <w:r>
        <w:t>Tabla 7.2. Resultados de Betty sobre la reconstrucción transaccional de TeComparoTodo.es (abril-septiembre 2026).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Indicador</w:t>
            </w:r>
          </w:p>
        </w:tc>
        <w:tc>
          <w:tcPr>
            <w:tcW w:type="dxa" w:w="2880"/>
          </w:tcPr>
          <w:p>
            <w:r/>
            <w:r>
              <w:rPr>
                <w:b/>
              </w:rPr>
              <w:t>Resultado</w:t>
            </w:r>
          </w:p>
        </w:tc>
        <w:tc>
          <w:tcPr>
            <w:tcW w:type="dxa" w:w="2880"/>
          </w:tcPr>
          <w:p>
            <w:r/>
            <w:r>
              <w:rPr>
                <w:b/>
              </w:rPr>
              <w:t>Clasificación (banda del Glosario)</w:t>
            </w:r>
          </w:p>
        </w:tc>
      </w:tr>
      <w:tr>
        <w:tc>
          <w:tcPr>
            <w:tcW w:type="dxa" w:w="2880"/>
          </w:tcPr>
          <w:p>
            <w:r/>
            <w:r>
              <w:t>Caja Inicial (abril 2026) / Caja Disponible (fin de periodo)</w:t>
            </w:r>
          </w:p>
        </w:tc>
        <w:tc>
          <w:tcPr>
            <w:tcW w:type="dxa" w:w="2880"/>
          </w:tcPr>
          <w:p>
            <w:r/>
            <w:r>
              <w:t>45.000 € / 27.936 €</w:t>
            </w:r>
          </w:p>
        </w:tc>
        <w:tc>
          <w:tcPr>
            <w:tcW w:type="dxa" w:w="2880"/>
          </w:tcPr>
          <w:p>
            <w:r/>
            <w:r>
              <w:t>—</w:t>
            </w:r>
          </w:p>
        </w:tc>
      </w:tr>
      <w:tr>
        <w:tc>
          <w:tcPr>
            <w:tcW w:type="dxa" w:w="2880"/>
          </w:tcPr>
          <w:p>
            <w:r/>
            <w:r>
              <w:t>Net Burn Rate / Gross Burn Rate</w:t>
            </w:r>
          </w:p>
        </w:tc>
        <w:tc>
          <w:tcPr>
            <w:tcW w:type="dxa" w:w="2880"/>
          </w:tcPr>
          <w:p>
            <w:r/>
            <w:r>
              <w:t>2.844 € / 6.900 € por mes</w:t>
            </w:r>
          </w:p>
        </w:tc>
        <w:tc>
          <w:tcPr>
            <w:tcW w:type="dxa" w:w="2880"/>
          </w:tcPr>
          <w:p>
            <w:r/>
            <w:r>
              <w:t>—</w:t>
            </w:r>
          </w:p>
        </w:tc>
      </w:tr>
      <w:tr>
        <w:tc>
          <w:tcPr>
            <w:tcW w:type="dxa" w:w="2880"/>
          </w:tcPr>
          <w:p>
            <w:r/>
            <w:r>
              <w:t>Runway</w:t>
            </w:r>
          </w:p>
        </w:tc>
        <w:tc>
          <w:tcPr>
            <w:tcW w:type="dxa" w:w="2880"/>
          </w:tcPr>
          <w:p>
            <w:r/>
            <w:r>
              <w:t>9,8 meses</w:t>
            </w:r>
          </w:p>
        </w:tc>
        <w:tc>
          <w:tcPr>
            <w:tcW w:type="dxa" w:w="2880"/>
          </w:tcPr>
          <w:p>
            <w:r/>
            <w:r>
              <w:t>✅ Zona cómoda (≥ 9 meses) — sin alerta de Runway</w:t>
            </w:r>
          </w:p>
        </w:tc>
      </w:tr>
      <w:tr>
        <w:tc>
          <w:tcPr>
            <w:tcW w:type="dxa" w:w="2880"/>
          </w:tcPr>
          <w:p>
            <w:r/>
            <w:r>
              <w:t>Margen de Contribución</w:t>
            </w:r>
          </w:p>
        </w:tc>
        <w:tc>
          <w:tcPr>
            <w:tcW w:type="dxa" w:w="2880"/>
          </w:tcPr>
          <w:p>
            <w:r/>
            <w:r>
              <w:t>17,53 %</w:t>
            </w:r>
          </w:p>
        </w:tc>
        <w:tc>
          <w:tcPr>
            <w:tcW w:type="dxa" w:w="2880"/>
          </w:tcPr>
          <w:p>
            <w:r/>
            <w:r>
              <w:t>⚠️ Bajo (≤ 20%, banda fijada por el CEO) — alerta activa</w:t>
            </w:r>
          </w:p>
        </w:tc>
      </w:tr>
      <w:tr>
        <w:tc>
          <w:tcPr>
            <w:tcW w:type="dxa" w:w="2880"/>
          </w:tcPr>
          <w:p>
            <w:r/>
            <w:r>
              <w:t>Churn Rate</w:t>
            </w:r>
          </w:p>
        </w:tc>
        <w:tc>
          <w:tcPr>
            <w:tcW w:type="dxa" w:w="2880"/>
          </w:tcPr>
          <w:p>
            <w:r/>
            <w:r>
              <w:t>4,17 % (8 bajas / 192 clientes)</w:t>
            </w:r>
          </w:p>
        </w:tc>
        <w:tc>
          <w:tcPr>
            <w:tcW w:type="dxa" w:w="2880"/>
          </w:tcPr>
          <w:p>
            <w:r/>
            <w:r>
              <w:t>🟡 A vigilar (3-10%)</w:t>
            </w:r>
          </w:p>
        </w:tc>
      </w:tr>
      <w:tr>
        <w:tc>
          <w:tcPr>
            <w:tcW w:type="dxa" w:w="2880"/>
          </w:tcPr>
          <w:p>
            <w:r/>
            <w:r>
              <w:t>CAC / LTV</w:t>
            </w:r>
          </w:p>
        </w:tc>
        <w:tc>
          <w:tcPr>
            <w:tcW w:type="dxa" w:w="2880"/>
          </w:tcPr>
          <w:p>
            <w:r/>
            <w:r>
              <w:t>151,40 € / 532,97 €</w:t>
            </w:r>
          </w:p>
        </w:tc>
        <w:tc>
          <w:tcPr>
            <w:tcW w:type="dxa" w:w="2880"/>
          </w:tcPr>
          <w:p>
            <w:r/>
            <w:r>
              <w:t>Ratio LTV/CAC ≈ 3,5 (saludable, &gt; 3:1)</w:t>
            </w:r>
          </w:p>
        </w:tc>
      </w:tr>
      <w:tr>
        <w:tc>
          <w:tcPr>
            <w:tcW w:type="dxa" w:w="2880"/>
          </w:tcPr>
          <w:p>
            <w:r/>
            <w:r>
              <w:t>Ingreso Medio por Cliente</w:t>
            </w:r>
          </w:p>
        </w:tc>
        <w:tc>
          <w:tcPr>
            <w:tcW w:type="dxa" w:w="2880"/>
          </w:tcPr>
          <w:p>
            <w:r/>
            <w:r>
              <w:t>126,75 €</w:t>
            </w:r>
          </w:p>
        </w:tc>
        <w:tc>
          <w:tcPr>
            <w:tcW w:type="dxa" w:w="2880"/>
          </w:tcPr>
          <w:p>
            <w:r/>
            <w:r>
              <w:t>—</w:t>
            </w:r>
          </w:p>
        </w:tc>
      </w:tr>
      <w:tr>
        <w:tc>
          <w:tcPr>
            <w:tcW w:type="dxa" w:w="2880"/>
          </w:tcPr>
          <w:p>
            <w:r/>
            <w:r>
              <w:t>MoM Growth</w:t>
            </w:r>
          </w:p>
        </w:tc>
        <w:tc>
          <w:tcPr>
            <w:tcW w:type="dxa" w:w="2880"/>
          </w:tcPr>
          <w:p>
            <w:r/>
            <w:r>
              <w:t>0 %</w:t>
            </w:r>
          </w:p>
        </w:tc>
        <w:tc>
          <w:tcPr>
            <w:tcW w:type="dxa" w:w="2880"/>
          </w:tcPr>
          <w:p>
            <w:r/>
            <w:r>
              <w:t>Estancamiento (ventas idénticas por diseño en esta reconstrucción)</w:t>
            </w:r>
          </w:p>
        </w:tc>
      </w:tr>
    </w:tbl>
    <w:p>
      <w:r>
        <w:t>Fuente: Elaboración propia, salida directa del dashboard Betty sobre el fichero del Anexo.</w:t>
      </w:r>
    </w:p>
    <w:p>
      <w:pPr/>
      <w:r>
        <w:t>El resultado más relevante para la validación es el del propio Runway. La estimación aproximada del Capítulo 4 (≈ 10,3 meses, a partir de una caja de 30.000 € en el momento de la entrevista) se calculó como una fotografía estática de partida, sin desglose transaccional. Al fijar la caja inicial del negocio en 45.000 € (abril de 2026) y dejar que Betty procese la actividad real de los seis meses siguientes, la caja disponible al final del periodo converge a 27.936 €, un valor muy próximo a los 30.000 € reportados en el Capítulo 4, y el Runway recalculado por el dashboard a partir de esa caja resulta en 9,8 meses: prácticamente idéntico a la estimación inicial (≈ 10,3 meses) y clasificado, igual que aquella, en la «zona cómoda» (≥ 9 meses) del Glosario. Esta coincidencia entre una estimación agregada hecha a mano y el cálculo transaccional completo de Betty constituye una evidencia directa de que el dashboard reproduce correctamente, con mucho mayor detalle y trazabilidad, la misma realidad financiera que la empresa ya percibía de forma aproximada.</w:t>
      </w:r>
    </w:p>
    <w:p>
      <w:pPr/>
      <w:r>
        <w:t>El segundo resultado destacable es el Margen de Contribución, que la reconstrucción sitúa en el 17,53% global, por debajo en los cuatro verticales de negocio (Energía 15,28%, Telefonía 16,67%, Alarmas 19,00% y Placas Solares 19,70%) de la banda «bajo» fijada por el CEO de la empresa (≤ 20%, Capítulo 5). La comisión comercial fija del 80% del importe de cada venta deja, por construcción, un margen bruto máximo del 20%, que el coste por lead (3 € en Energía, Telefonía y Placas Solares; 5 € en Alarmas) reduce algo más en cada venta, de forma más acusada en Energía por tratarse del vertical con el importe medio por venta más bajo. El dashboard señala esta situación mediante una alerta automática en los cuatro verticales, lo que ilustra con un caso concreto por qué dicha banda es operativamente relevante para TeComparoTodo.es: una comisión comercial del 80% apenas deja margen de maniobra por encima del umbral que la propia dirección considera saludable, y el coste de adquisición de leads termina de situar el margen real por debajo de dicho umbral en todas las líneas de negocio.</w:t>
      </w:r>
    </w:p>
    <w:p>
      <w:pPr/>
      <w:r>
        <w:t>Por último, el modelo de «mes cerrado vs. mes actual» (Capítulo 6) se confirma con datos reales de descomisión: los meses de abril a agosto permanecen inmutables en 4.056 € de Ingreso Cobrado, mientras que septiembre —el mes actual— incorpora de una sola vez los 337,50 € de descomisión acumulada de las ocho bajas de Energía y Telefonía registradas en meses anteriores, reduciendo su Ingreso Cobrado a 3.718,50 €. La validación del resto de indicadores (Ratios Financieros, cuyo cálculo requiere el balance y la cuenta de resultados de un ejercicio cerrado, aún inexistente) queda, en consecuencia, pendiente de que la empresa cierre su primer ejercicio económico; su utilidad puede justificarse, no obstante, ya en este momento, como se desarrolla en el epígrafe siguiente.</w:t>
      </w:r>
    </w:p>
    <w:p>
      <w:pPr>
        <w:pStyle w:val="Heading2"/>
      </w:pPr>
      <w:r>
        <w:t>7.3. Justificación de la utilidad de los ratios financieros para la empresa</w:t>
      </w:r>
    </w:p>
    <w:p>
      <w:pPr/>
      <w:r>
        <w:t>TeComparoTodo.es contaba, en el momento de este trabajo, con apenas seis meses de actividad, por lo que aún no ha cerrado su primer ejercicio económico ni dispone de un balance de situación y una cuenta de resultados auditados sobre los que aplicar los once ratios financieros tradicionales del Capítulo 5 con sus propios datos. Esta circunstancia no resta utilidad al módulo de Ratios: lo pospone a un hito concreto y cercano en el ciclo de vida de la empresa, por tres razones.</w:t>
      </w:r>
    </w:p>
    <w:p>
      <w:pPr/>
      <w:r>
        <w:t>En primer lugar, una obligación legal: conforme al Código de Comercio y a la Ley de Sociedades de Capital, toda sociedad mercantil española —y TeComparoTodo.es se constituyó como tal, encuadrada además en la Ley de Startups— debe depositar anualmente sus cuentas en el Registro Mercantil, lo que obliga a calcular, de una u otra forma, la práctica totalidad de los indicadores que Betty automatiza (endeudamiento, solvencia, rentabilidad y márgenes). En segundo lugar, una necesidad previsible de financiación: la propia literatura revisada en el marco conceptual (Capítulo 2) señala que las startups dependen de rondas sucesivas de financiación externa, y tanto los inversores como las entidades bancarias exigen, en todo proceso de due diligence, precisamente estos ratios. En tercer lugar, la validación indirecta ya realizada en el Capítulo 5 mediante benchmarking con cuatro empresas comparables del sector (Tasfor, Rastreator, Selectra y Watiofy, a partir de sus cuentas depositadas en SABI) confirma que las fórmulas y las bandas de interpretación empleadas por Betty producen resultados coherentes con el comportamiento real de empresas de su mismo sector de actividad, aun cuando todavía no puedan aplicarse a los datos propios de TeComparoTodo.es.</w:t>
      </w:r>
    </w:p>
    <w:p>
      <w:pPr/>
      <w:r>
        <w:t>En consecuencia, el módulo de Ratios Financieros de Betty queda ya validado en cuanto a la corrección de sus fórmulas y a la pertinencia de sus bandas de interpretación (Capítulo 5), y su utilidad para la empresa quedará plenamente demostrable con datos propios en el momento en que TeComparoTodo.es cierre su primer ejercicio económico, sin que ello implique ninguna modificación del aplicativo: la herramienta ya está lista para ese momento.</w:t>
      </w:r>
    </w:p>
    <w:p>
      <w:pPr>
        <w:pStyle w:val="Heading2"/>
      </w:pPr>
      <w:r>
        <w:t>7.4. Contraste con el equipo directivo</w:t>
      </w:r>
    </w:p>
    <w:p>
      <w:pPr/>
      <w:r>
        <w:t>Más allá de la validación cuantitativa descrita, Betty fue presentado, probado y aprobado por la dirección de TeComparoTodo.es (el CEO y la responsable de backoffice, las mismas personas entrevistadas en el Capítulo 4). Esta aprobación es especialmente relevante porque el dashboard da respuesta directa a las carencias de información que los propios fundadores identificaron en la entrevista como preguntas sin respuesta fiable (cuánto runway les queda, cuál es el CAC y cuál es el LTV de un cliente) y a los tres indicadores que señalaron como prioritarios para «dormir tranquilos» cada mes: la evolución de ventas, el nivel de bajas/descomisiones y el rendimiento de cada canal de captación, todos ellos disponibles en los pilares de Crecimiento, Bajas por Comercializadora y Eficiencia (ROI por Subcanal) de Betty.</w:t>
      </w:r>
    </w:p>
    <w:p>
      <w:pPr/>
      <w:r>
        <w:t>Esta aprobación directiva constituye la evidencia principal de validación de utilidad exigida por el objetivo específico de este capítulo: no se trata de una expectativa de uso futuro, sino de un dashboard ya revisado y aceptado como herramienta de trabajo por quienes toman las decisiones financieras y comerciales de la empresa.</w:t>
      </w:r>
    </w:p>
    <w:p>
      <w:pPr>
        <w:pStyle w:val="Heading2"/>
      </w:pPr>
      <w:r>
        <w:t>7.5. Síntesis</w:t>
      </w:r>
    </w:p>
    <w:p>
      <w:pPr/>
      <w:r>
        <w:t>La validación de Betty combina, por tanto, tres evidencias de naturaleza distinta pero complementaria: (i) la aplicación efectiva del dashboard a una reconstrucción transaccional fundamentada en los datos y parámetros reales de negocio de TeComparoTodo.es, que arroja un Runway de 9,8 meses —coincidente con la estimación estática inicial del Capítulo 4 (≈ 10,3 meses) y clasificado en la misma «zona cómoda»—, un Margen de Contribución del 17,53% (por debajo, en las cuatro verticales, de la banda fijada por el CEO) y un Churn Rate del 4,17% (zona a vigilar), entre otros indicadores recogidos en la Tabla 7.2; (ii) la validación indirecta, mediante benchmarking sectorial, de los ratios financieros que aún no pueden aplicarse a los datos propios de la empresa por no haber cerrado su primer ejercicio; y (iii) la aprobación explícita del dashboard por parte del equipo directivo de la organización. En conjunto, estas tres evidencias permiten considerar cumplido el objetivo específico de validar la utilidad de Betty, dejando explícitamente acotado qué parte de dicha validación podrá completarse con datos propios, a nivel transaccional y de balance, a medida que el historial financiero de la empresa se amplíe.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