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44"/>
        </w:rPr>
        <w:t>📖 Glosario de Ratios Financieros y 4 Pilares</w:t>
      </w:r>
    </w:p>
    <w:p>
      <w:pPr>
        <w:spacing w:after="320"/>
        <w:jc w:val="center"/>
      </w:pPr>
      <w:r>
        <w:rPr>
          <w:i/>
          <w:color w:val="555555"/>
          <w:sz w:val="24"/>
        </w:rPr>
        <w:t>BETTY — Análisis Financiero</w:t>
      </w:r>
    </w:p>
    <w:p>
      <w:pPr>
        <w:pStyle w:val="Heading1"/>
      </w:pPr>
      <w:r>
        <w:rPr>
          <w:color w:val="1F4E5F"/>
        </w:rPr>
        <w:t>💰 Ratios Financieros</w:t>
      </w:r>
    </w:p>
    <w:p>
      <w:pPr>
        <w:spacing w:after="200"/>
      </w:pPr>
      <w:r>
        <w:rPr>
          <w:i/>
          <w:color w:val="555555"/>
          <w:sz w:val="21"/>
        </w:rPr>
        <w:t>Ratios utilizados para el análisis de endeudamiento, rentabilidad, liquidez y márgenes sobre ventas.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13"/>
        <w:gridCol w:w="4713"/>
        <w:gridCol w:w="4713"/>
      </w:tblGrid>
      <w:tr>
        <w:tc>
          <w:tcPr>
            <w:tcW w:type="dxa" w:w="2041"/>
            <w:vAlign w:val="center"/>
            <w:shd w:val="clear" w:color="auto" w:fill="1F4E5F"/>
          </w:tcPr>
          <w:p>
            <w:r/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type="dxa" w:w="3515"/>
            <w:vAlign w:val="center"/>
            <w:shd w:val="clear" w:color="auto" w:fill="1F4E5F"/>
          </w:tcPr>
          <w:p>
            <w:r/>
            <w:r>
              <w:rPr>
                <w:b/>
                <w:color w:val="FFFFFF"/>
                <w:sz w:val="21"/>
              </w:rPr>
              <w:t>Fórmula</w:t>
            </w:r>
          </w:p>
        </w:tc>
        <w:tc>
          <w:tcPr>
            <w:tcW w:type="dxa" w:w="6803"/>
            <w:vAlign w:val="center"/>
            <w:shd w:val="clear" w:color="auto" w:fill="1F4E5F"/>
          </w:tcPr>
          <w:p>
            <w:r/>
            <w:r>
              <w:rPr>
                <w:b/>
                <w:color w:val="FFFFFF"/>
                <w:sz w:val="21"/>
              </w:rPr>
              <w:t>Interpretación</w:t>
            </w:r>
          </w:p>
        </w:tc>
      </w:tr>
      <w:tr>
        <w:tc>
          <w:tcPr>
            <w:tcW w:type="dxa" w:w="6803"/>
            <w:gridSpan w:val="3"/>
            <w:shd w:val="clear" w:color="auto" w:fill="D9E7EC"/>
            <w:vAlign w:val="center"/>
          </w:tcPr>
          <w:p>
            <w:r/>
            <w:r>
              <w:rPr>
                <w:b/>
                <w:color w:val="1F4E5F"/>
                <w:sz w:val="22"/>
              </w:rPr>
              <w:t>💰 Ratios de Endeudamiento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Nivel de Endeudamiento (%)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(Pasivo NC + Pasivo C) / Total Activo × 100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Indica qué porcentaje del activo total está financiado con deuda (recursos ajenos).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&lt; 50%: nivel de endeudamiento bajo (más financiación con recursos propios)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50–70%: nivel moderado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70%: alto endeudamiento (mayor riesgo financiero)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Ratio Endeudamiento Total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(Pasivo NC + Pasivo C) / Fondos Propios × 100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Compara la deuda total con los fondos propios. Muestra cuántos euros de deuda hay por cada euro de patrimonio.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&lt; 100%: más fondos propios que deuda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= 100%: deuda igual a fondos propios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100%: más deuda que fondos propios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Solvencia Total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Total Activo / (Pasivo NC + Pasivo C)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Mide la capacidad de la empresa para hacer frente a todas sus deudas con todos sus activos.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&lt; 1: no puede cubrir sus deudas con sus activos (situación crítica)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= 1: punto de equilibrio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1.5: buena solvencia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2: solvencia excelente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Apalancamiento Financiero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Fondos Ajenos / Fondos Propios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Mide cuántos euros de deuda hay por cada euro de patrimonio propio.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&lt; 0.5: bajo apalancamiento (estructura conservadora)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0.5–1.5: apalancamiento moderado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1.5: alto apalancamiento (mayor riesgo, potencial mayor rentabilidad)</w:t>
            </w:r>
          </w:p>
        </w:tc>
      </w:tr>
      <w:tr>
        <w:tc>
          <w:tcPr>
            <w:tcW w:type="dxa" w:w="6803"/>
            <w:gridSpan w:val="3"/>
            <w:shd w:val="clear" w:color="auto" w:fill="D9E7EC"/>
            <w:vAlign w:val="center"/>
          </w:tcPr>
          <w:p>
            <w:r/>
            <w:r>
              <w:rPr>
                <w:b/>
                <w:color w:val="1F4E5F"/>
                <w:sz w:val="22"/>
              </w:rPr>
              <w:t>📈 Ratios de Rentabilidad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ROA — Return on Assets (%)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EBIT / Total Activo × 100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Mide la rentabilidad de los activos: cuánto beneficio genera cada euro invertido en activos.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&lt; 5%: rentabilidad baja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5–10%: rentabilidad aceptable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10%: buena rentabilidad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15%: excelente rentabilidad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ROE — Return on Equity (%)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Resultado del Ejercicio / Fondos Propios × 100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Mide la rentabilidad para los accionistas: beneficio generado por cada euro de capital propio invertido.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&lt; 10%: rentabilidad baja para el accionista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10–15%: rentabilidad aceptable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15%: buena rentabilidad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20%: excelente rentabilidad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ROE &gt; ROA: el apalancamiento genera rentabilidad adicional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ROE &lt; ROA: el coste de la deuda reduce la rentabilidad del accionista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Ratio de Madurez (%)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Activo No Corriente / Total Activo × 100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Indica el porcentaje de activos a largo plazo (inmovilizado) sobre el total de activos.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&lt; 30%: empresa comercial o de servicios (poco inmovilizado)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30–60%: estructura equilibrada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60%: empresa industrial (mucho inmovilizado)</w:t>
            </w:r>
          </w:p>
        </w:tc>
      </w:tr>
      <w:tr>
        <w:tc>
          <w:tcPr>
            <w:tcW w:type="dxa" w:w="6803"/>
            <w:gridSpan w:val="3"/>
            <w:shd w:val="clear" w:color="auto" w:fill="D9E7EC"/>
            <w:vAlign w:val="center"/>
          </w:tcPr>
          <w:p>
            <w:r/>
            <w:r>
              <w:rPr>
                <w:b/>
                <w:color w:val="1F4E5F"/>
                <w:sz w:val="22"/>
              </w:rPr>
              <w:t>💧 Ratios de Liquidez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Solvencia Corriente (Ratio de Liquidez)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Activo Corriente / Pasivo Corriente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Mide la capacidad de la empresa para pagar sus deudas a corto plazo con sus activos líquidos.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&lt; 1: riesgo de liquidez (no puede pagar deudas a corto plazo)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1–1.5: zona ajustada (liquidez justa)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1.5: zona cómoda (buena liquidez)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2: excelente liquidez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Disponibilidad Inmediata (Test Ácido)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Tesorería / Pasivo Corriente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Mide la capacidad de pagar deudas inmediatas solo con el efectivo disponible.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&lt; 0.2: muy dependiente de cobros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0.2–0.5: nivel normal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0.5: buena disponibilidad de efectivo</w:t>
            </w:r>
          </w:p>
        </w:tc>
      </w:tr>
      <w:tr>
        <w:tc>
          <w:tcPr>
            <w:tcW w:type="dxa" w:w="6803"/>
            <w:gridSpan w:val="3"/>
            <w:shd w:val="clear" w:color="auto" w:fill="D9E7EC"/>
            <w:vAlign w:val="center"/>
          </w:tcPr>
          <w:p>
            <w:r/>
            <w:r>
              <w:rPr>
                <w:b/>
                <w:color w:val="1F4E5F"/>
                <w:sz w:val="22"/>
              </w:rPr>
              <w:t>📊 Márgenes sobre Ventas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EBITDA / Ventas (%)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EBITDA / Cifra de Ventas × 100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Margen operativo antes de amortizaciones, intereses e impuestos. Mide la rentabilidad operativa pura.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&lt; 10%: margen bajo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10–20%: margen aceptable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20%: buen margen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30%: excelente margen operativo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BAIT / Ventas (%)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EBIT / Cifra de Ventas × 100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Margen operativo después de amortizaciones pero antes de intereses e impuestos.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&lt; 5%: margen bajo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5–15%: margen aceptable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15%: buen margen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Resultado / Ventas (%)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Resultado del Ejercicio / Cifra de Ventas × 100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Margen neto final: qué porcentaje de las ventas se convierte en beneficio final.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&lt; 3%: margen muy ajustado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3–8%: margen aceptable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8%: buen margen neto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15%: excelente margen neto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5F"/>
        </w:rPr>
        <w:t>🎯 4 Pilares</w:t>
      </w:r>
    </w:p>
    <w:p>
      <w:pPr>
        <w:spacing w:after="200"/>
      </w:pPr>
      <w:r>
        <w:rPr>
          <w:i/>
          <w:color w:val="555555"/>
          <w:sz w:val="21"/>
        </w:rPr>
        <w:t>Indicadores organizados en los cuatro pilares del análisis de startups: Cash Management, Eficiencia, Crecimiento y OpEx.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13"/>
        <w:gridCol w:w="4713"/>
        <w:gridCol w:w="4713"/>
      </w:tblGrid>
      <w:tr>
        <w:tc>
          <w:tcPr>
            <w:tcW w:type="dxa" w:w="2041"/>
            <w:vAlign w:val="center"/>
            <w:shd w:val="clear" w:color="auto" w:fill="1F4E5F"/>
          </w:tcPr>
          <w:p>
            <w:r/>
            <w:r>
              <w:rPr>
                <w:b/>
                <w:color w:val="FFFFFF"/>
                <w:sz w:val="21"/>
              </w:rPr>
              <w:t>Nombre</w:t>
            </w:r>
          </w:p>
        </w:tc>
        <w:tc>
          <w:tcPr>
            <w:tcW w:type="dxa" w:w="3515"/>
            <w:vAlign w:val="center"/>
            <w:shd w:val="clear" w:color="auto" w:fill="1F4E5F"/>
          </w:tcPr>
          <w:p>
            <w:r/>
            <w:r>
              <w:rPr>
                <w:b/>
                <w:color w:val="FFFFFF"/>
                <w:sz w:val="21"/>
              </w:rPr>
              <w:t>Fórmula</w:t>
            </w:r>
          </w:p>
        </w:tc>
        <w:tc>
          <w:tcPr>
            <w:tcW w:type="dxa" w:w="6803"/>
            <w:vAlign w:val="center"/>
            <w:shd w:val="clear" w:color="auto" w:fill="1F4E5F"/>
          </w:tcPr>
          <w:p>
            <w:r/>
            <w:r>
              <w:rPr>
                <w:b/>
                <w:color w:val="FFFFFF"/>
                <w:sz w:val="21"/>
              </w:rPr>
              <w:t>Interpretación</w:t>
            </w:r>
          </w:p>
        </w:tc>
      </w:tr>
      <w:tr>
        <w:tc>
          <w:tcPr>
            <w:tcW w:type="dxa" w:w="6803"/>
            <w:gridSpan w:val="3"/>
            <w:shd w:val="clear" w:color="auto" w:fill="D9E7EC"/>
            <w:vAlign w:val="center"/>
          </w:tcPr>
          <w:p>
            <w:r/>
            <w:r>
              <w:rPr>
                <w:b/>
                <w:color w:val="1F4E5F"/>
                <w:sz w:val="22"/>
              </w:rPr>
              <w:t>💰 Pilar 1: Cash Management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Runway (Meses de Vida)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Caja Disponible / Net Burn Rate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Cuántos meses puede sobrevivir la startup con el efectivo actual, manteniendo el ritmo de consumo de caja.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&lt; 3 meses: situación crítica — financiación urgente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3–6 meses: zona de riesgo — iniciar conversaciones con inversores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6–12 meses: zona cómoda — tiempo para crecer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12 meses: excelente posición financiera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Net Burn Rate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Salidas de caja (Gastos) − Ingresos de caja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Cantidad neta de dinero que la startup consume cada mes, una vez descontados los ingresos (se calcula mes a mes).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Positivo: se está quemando efectivo (normal en early-stage)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0: break-even (ingresos = gastos)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Negativo: se genera más efectivo del que se gasta (cash-flow positivo)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Gross Burn Rate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Suma de todos los gastos (Tipo = G) del mes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Total de gastos operativos de cada mes, sin restar los ingresos. Siempre ≥ Net Burn Rate cuando hay ingresos.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Caja Disponible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/>
                <w:sz w:val="20"/>
              </w:rPr>
              <w:t>—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Efectivo disponible ahora mismo (saldo inicial + ingresos − gastos acumulados). No incluye cuentas por cobrar, inventario ni activos no líquidos.</w:t>
            </w:r>
          </w:p>
        </w:tc>
      </w:tr>
      <w:tr>
        <w:tc>
          <w:tcPr>
            <w:tcW w:type="dxa" w:w="6803"/>
            <w:gridSpan w:val="3"/>
            <w:shd w:val="clear" w:color="auto" w:fill="D9E7EC"/>
            <w:vAlign w:val="center"/>
          </w:tcPr>
          <w:p>
            <w:r/>
            <w:r>
              <w:rPr>
                <w:b/>
                <w:color w:val="1F4E5F"/>
                <w:sz w:val="22"/>
              </w:rPr>
              <w:t>⚡ Pilar 2: Eficiencia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Margen de Contribución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((Ingresos por ventas − Comisiones − Coste por leads) / Ingresos) × 100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Porcentaje de cada venta que queda tras pagar comisiones y coste de adquisición de leads; lo que contribuye a cubrir costos fijos.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&lt; 30%: margen muy bajo — difícil ser rentable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30–50%: margen aceptable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50–70%: buen margen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70%: excelente margen (típico de SaaS)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CAC — Customer Acquisition Cost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(Inversión en Marketing + Inversión en Venta) / Clientes Nuevos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Coste medio de adquirir un cliente nuevo (marketing = gastos Categoría MK; venta = sueldos de energía/teleco/alarmas + comisiones).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Debe ser menor que el Lifetime Value (LTV) del cliente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Ratio ideal LTV/CAC: 3:1 o mayor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ROI por Subcanal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(Ingresos del subcanal − Inversión del subcanal) / Inversión del subcanal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Retorno de la inversión de cada subcanal de marketing (Categoría = MK, Subcategoría = canal).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&lt; 0%: se pierde dinero en ese subcanal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0–100%: se recupera la inversión pero con bajo retorno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200%: subcanal muy rentable — escalarlo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Ingreso Medio por Cliente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Suma de importes de ventas / Cantidad de ventas registradas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Ticket promedio de cada venta; ayuda a entender el valor típico de los clientes. Comparar con el CAC para validar el modelo.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Churn Rate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(Bajas / ID Cliente sin repetición) × 100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Porcentaje de clientes que abandonan el servicio (bajas = registros con Baja = Sí; clientes únicos = total registrado).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&lt; 3%: excelente retención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3–10%: retención a vigilar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10%: churn crítico — revisar producto y experiencia</w:t>
            </w:r>
          </w:p>
        </w:tc>
      </w:tr>
      <w:tr>
        <w:tc>
          <w:tcPr>
            <w:tcW w:type="dxa" w:w="6803"/>
            <w:gridSpan w:val="3"/>
            <w:shd w:val="clear" w:color="auto" w:fill="D9E7EC"/>
            <w:vAlign w:val="center"/>
          </w:tcPr>
          <w:p>
            <w:r/>
            <w:r>
              <w:rPr>
                <w:b/>
                <w:color w:val="1F4E5F"/>
                <w:sz w:val="22"/>
              </w:rPr>
              <w:t>📈 Pilar 3: Crecimiento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MoM Growth (Month-over-Month)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((Ventas Mes Actual − Ventas Mes Anterior) / Ventas Mes Anterior) × 100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Tasa de crecimiento mensual de las ventas.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&lt; 0%: decrecimiento (alarma roja)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0–5%: crecimiento lento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5–15%: crecimiento moderado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15%: alto crecimiento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&gt; 30%: crecimiento explosivo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Tendencia de Ventas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/>
                <w:sz w:val="20"/>
              </w:rPr>
              <w:t>—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Dirección general de las ventas en el tiempo (creciente, decreciente o estable); identifica si el producto gana o pierde tracción.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Ventas por Categoría/Sector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/>
                <w:sz w:val="20"/>
              </w:rPr>
              <w:t>—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Desglose de ingresos por tipo de producto o línea de negocio; identifica qué productos generan más ingresos.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Ventas por Canal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/>
                <w:sz w:val="20"/>
              </w:rPr>
              <w:t>—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Desglose de ventas según canal de adquisición (Instagram, Web, Email, etc.); se combina con el ROI por subcanal.</w:t>
            </w:r>
          </w:p>
        </w:tc>
      </w:tr>
      <w:tr>
        <w:tc>
          <w:tcPr>
            <w:tcW w:type="dxa" w:w="6803"/>
            <w:gridSpan w:val="3"/>
            <w:shd w:val="clear" w:color="auto" w:fill="D9E7EC"/>
            <w:vAlign w:val="center"/>
          </w:tcPr>
          <w:p>
            <w:r/>
            <w:r>
              <w:rPr>
                <w:b/>
                <w:color w:val="1F4E5F"/>
                <w:sz w:val="22"/>
              </w:rPr>
              <w:t>💸 Pilar 4: OpEx (Gastos Operativos)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OpEx — Operating Expenses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/>
                <w:sz w:val="20"/>
              </w:rPr>
              <w:t>—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Todos los gastos necesarios para operar el negocio, excluyendo costos directos de producción (nóminas, alquiler, software, marketing, servicios profesionales, suministros).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Gastos Fijos vs Variables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/>
                <w:sz w:val="20"/>
              </w:rPr>
              <w:t>—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Fijos (F): no cambian mes a mes (alquiler, nóminas, suscripciones). Variables (V): varían según actividad (publicidad, comisiones, envíos).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Los fijos son predecibles pero difíciles de reducir; los variables se ajustan rápido si hay que bajar el burn rate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Gastos por Categoría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/>
                <w:sz w:val="20"/>
              </w:rPr>
              <w:t>—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Desglose de gastos por tipo (Personal, Marketing, Software, etc.); identifica dónde se va el dinero.</w:t>
            </w:r>
          </w:p>
          <w:p>
            <w:pPr>
              <w:spacing w:after="40"/>
            </w:pPr>
            <w:r>
              <w:rPr>
                <w:b/>
                <w:i w:val="0"/>
                <w:sz w:val="20"/>
              </w:rPr>
              <w:t>Benchmarks típicos para startups: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Personal: 40–60% del OpEx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Marketing: 15–30% del OpEx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Software/Infraestructura: 10–20% del OpEx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Oficina/Admin: 5–10% del OpEx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Promedio de Gastos Mensual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Total Gastos / Número de Meses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Cuánto se gasta en promedio cada mes; útil para presupuestos y proyecciones, y para detectar gastos atípicos.</w:t>
            </w:r>
          </w:p>
        </w:tc>
      </w:tr>
      <w:tr>
        <w:tc>
          <w:tcPr>
            <w:tcW w:type="dxa" w:w="6803"/>
            <w:gridSpan w:val="3"/>
            <w:shd w:val="clear" w:color="auto" w:fill="D9E7EC"/>
            <w:vAlign w:val="center"/>
          </w:tcPr>
          <w:p>
            <w:r/>
            <w:r>
              <w:rPr>
                <w:b/>
                <w:color w:val="1F4E5F"/>
                <w:sz w:val="22"/>
              </w:rPr>
              <w:t>🎯 Conceptos Generales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Break-Even Point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/>
                <w:sz w:val="20"/>
              </w:rPr>
              <w:t>—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Punto donde los ingresos igualan a los gastos. Alcanzarlo significa ser sostenible sin inversión externa.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Cash-Flow Positivo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/>
                <w:sz w:val="20"/>
              </w:rPr>
              <w:t>—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Se genera más efectivo del que se gasta cada mes (Burn Rate positivo). Permite crecer sin levantar capital constantemente.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Unit Economics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/>
                <w:sz w:val="20"/>
              </w:rPr>
              <w:t>—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Economía a nivel de unidad individual (un cliente, una venta, un producto): CAC, LTV, margen de contribución por unidad.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Si los unit economics no funcionan, escalar solo amplifica las pérdidas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40"/>
            </w:pPr>
            <w:r/>
            <w:r>
              <w:rPr>
                <w:b/>
                <w:i w:val="0"/>
                <w:sz w:val="20"/>
              </w:rPr>
              <w:t>LTV — Lifetime Value</w:t>
            </w:r>
          </w:p>
        </w:tc>
        <w:tc>
          <w:tcPr>
            <w:tcW w:type="dxa" w:w="3515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Valor promedio de venta − Valor promedio de comisiones</w:t>
            </w:r>
          </w:p>
        </w:tc>
        <w:tc>
          <w:tcPr>
            <w:tcW w:type="dxa" w:w="6803"/>
            <w:vAlign w:val="center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Valor neto que aporta cada venta una vez descontada la comisión promedio asociada.</w:t>
            </w:r>
          </w:p>
          <w:p>
            <w:pPr>
              <w:spacing w:after="40"/>
            </w:pPr>
            <w:r>
              <w:rPr>
                <w:b w:val="0"/>
                <w:i w:val="0"/>
                <w:sz w:val="20"/>
              </w:rPr>
              <w:t>• El CAC debe ser idealmente menor a 1/3 del LTV para un modelo saludable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BETTY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88888"/>
        <w:sz w:val="16"/>
      </w:rPr>
      <w:t>BETTY — Glosario Financiero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