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2.4. Fundamentación teórica de los "4 Pilares" de análisis para startups y de sus criterios de interpretación</w:t>
      </w:r>
    </w:p>
    <w:p/>
    <w:p>
      <w:pPr>
        <w:jc w:val="both"/>
      </w:pPr>
      <w:r>
        <w:t>A diferencia de los ratios contable-financieros clásicos abordados en el epígrafe anterior, cuyo origen se remonta a la teoría financiera corporativa y a la doctrina contable con décadas de desarrollo académico, las métricas empleadas en el marco de los "4 Pilares" (Cash Management, Eficiencia, Crecimiento y OpEx) proceden mayoritariamente de la práctica del capital riesgo (</w:t>
      </w:r>
      <w:r>
        <w:rPr>
          <w:i/>
        </w:rPr>
        <w:t>venture capital</w:t>
      </w:r>
      <w:r>
        <w:t xml:space="preserve">) y de la literatura de emprendimiento tecnológico surgida a partir de la última década de los años 2000, en particular del movimiento </w:t>
      </w:r>
      <w:r>
        <w:rPr>
          <w:i/>
        </w:rPr>
        <w:t>Lean Startup</w:t>
      </w:r>
      <w:r>
        <w:t xml:space="preserve"> (Ries, 2011) y de la escuela de métricas SaaS impulsada por inversores y operadores del sector (Skok, David; Bessemer Venture Partners; OpenView Partners; KeyBanc Capital Markets). Se trata, por tanto, de un cuerpo de conocimiento más joven, de naturaleza predominantemente aplicada y menos sometido a revisión por pares que el de las finanzas corporativas tradicionales, aunque no por ello carente de fundamentación teórica ni de respaldo empírico agregado, tal y como se expone a continuación. Esta circunstancia se señala explícitamente por su relevancia metodológica para el presente trabajo.</w:t>
      </w:r>
    </w:p>
    <w:p>
      <w:pPr>
        <w:pStyle w:val="Heading2"/>
        <w:jc w:val="left"/>
      </w:pPr>
      <w:r>
        <w:t>2.4.1. Pilar 1: Cash Management</w:t>
      </w:r>
    </w:p>
    <w:p>
      <w:pPr>
        <w:jc w:val="both"/>
      </w:pPr>
      <w:r>
        <w:t xml:space="preserve">El fundamento teórico común a los indicadores de este pilar procede de la constatación empírica, ampliamente documentada en los estudios sobre fracaso de startups, de que el agotamiento de la tesorería constituye la causa más frecuente de cierre de empresas emergentes. El informe </w:t>
      </w:r>
      <w:r>
        <w:rPr>
          <w:i/>
        </w:rPr>
        <w:t>Startup Genome Report</w:t>
      </w:r>
      <w:r>
        <w:t xml:space="preserve"> (Marmer, Herrmann, Dogrultan y Berman, 2011), elaborado a partir del análisis de más de 3.200 startups, identificó el escalado prematuro (</w:t>
      </w:r>
      <w:r>
        <w:rPr>
          <w:i/>
        </w:rPr>
        <w:t>premature scaling</w:t>
      </w:r>
      <w:r>
        <w:t>) —esto es, gastar por encima de la validación real del modelo de negocio— como uno de los principales factores de mortalidad temprana, precisamente por su efecto directo sobre la caja disponible. En la misma línea, los estudios de CB Insights sobre motivos de fracaso de startups sitúan de forma recurrente "quedarse sin efectivo" (</w:t>
      </w:r>
      <w:r>
        <w:rPr>
          <w:i/>
        </w:rPr>
        <w:t>ran out of cash</w:t>
      </w:r>
      <w:r>
        <w:t>) entre las dos causas más citadas por los propios fundadores. Estos hallazgos justifican la relevancia central que el modelo de los "4 Pilares" otorga a la gestión de caja como primer bloque de análisis, con independencia de la rentabilidad o el crecimiento que la empresa pueda mostrar en otros indicadores.</w:t>
      </w:r>
    </w:p>
    <w:p>
      <w:pPr>
        <w:jc w:val="both"/>
      </w:pPr>
      <w:r>
        <w:t xml:space="preserve">El concepto de </w:t>
      </w:r>
      <w:r>
        <w:rPr>
          <w:b/>
        </w:rPr>
        <w:t>Runway</w:t>
      </w:r>
      <w:r>
        <w:t xml:space="preserve">, definido como el cociente entre la caja disponible y el </w:t>
      </w:r>
      <w:r>
        <w:rPr>
          <w:i/>
        </w:rPr>
        <w:t>Net Burn Rate</w:t>
      </w:r>
      <w:r>
        <w:t xml:space="preserve">, procede directamente de la práctica de análisis financiero del capital riesgo y ha sido formalizado de manera influyente por Paul Graham, cofundador de Y Combinator, en su ensayo </w:t>
      </w:r>
      <w:r>
        <w:rPr>
          <w:i/>
        </w:rPr>
        <w:t>"Default Alive or Default Dead?"</w:t>
      </w:r>
      <w:r>
        <w:t xml:space="preserve"> (Graham, 2015). En dicho ensayo se introduce la distinción entre empresas "por defecto vivas" (aquellas que, manteniendo su trayectoria actual sin financiación adicional, alcanzarían la rentabilidad antes de agotar la caja) y "por defecto muertas" (aquellas que se quedarán sin efectivo antes de ese punto), y se advierte de la existencia de un "pellizco fatal" (</w:t>
      </w:r>
      <w:r>
        <w:rPr>
          <w:i/>
        </w:rPr>
        <w:t>fatal pinch</w:t>
      </w:r>
      <w:r>
        <w:t>): la situación en la que una empresa por defecto muerta dispone de un crecimiento insuficiente y de un margen de tiempo —en la práctica, en torno a 6 meses de runway— demasiado corto para corregir el rumbo antes de quedarse sin recursos. Este planteamiento proporciona el fundamento conceptual directo de los umbrales empleados en el glosario: un runway inferior a 3 meses se califica de situación crítica por hallarse ya dentro de la zona del "pellizco fatal"; el intervalo de 3 a 6 meses se corresponde con el umbral de alerta señalado por Graham como margen mínimo de maniobra; y la referencia de 6 a 12 meses como "zona cómoda" —así como el consenso, extendido en la práctica de aceleradoras y fondos de capital riesgo (Y Combinator Startup Library; guías de a16z para fundadores), de iniciar procesos de financiación quedando entre 12 y 18 meses de runway— responde a la necesidad de disponer de tiempo suficiente para completar un proceso de ronda de financiación, que en el mercado suele prolongarse entre 3 y 9 meses, sin comprometer la operativa ordinaria de la empresa.</w:t>
      </w:r>
    </w:p>
    <w:p>
      <w:pPr>
        <w:jc w:val="both"/>
      </w:pPr>
      <w:r>
        <w:t xml:space="preserve">Los conceptos de </w:t>
      </w:r>
      <w:r>
        <w:rPr>
          <w:b/>
        </w:rPr>
        <w:t>Net Burn Rate</w:t>
      </w:r>
      <w:r>
        <w:t xml:space="preserve"> y </w:t>
      </w:r>
      <w:r>
        <w:rPr>
          <w:b/>
        </w:rPr>
        <w:t>Gross Burn Rate</w:t>
      </w:r>
      <w:r>
        <w:t xml:space="preserve"> no constituyen umbrales de interpretación en sentido estricto, sino magnitudes instrumentales para el cálculo del runway, cuya distinción metodológica —el Gross Burn Rate como gasto operativo total, y el Net Burn Rate como dicho gasto neto de los ingresos generados— es estándar en la literatura de finanzas para startups (Ries, 2011; guías de gestión financiera de Y Combinator y de fondos de capital riesgo). Ries (2011) reformula además el concepto de runway en términos cualitativos, definiéndolo no solo como los meses de supervivencia financiera, sino como el número de iteraciones o pivotes (</w:t>
      </w:r>
      <w:r>
        <w:rPr>
          <w:i/>
        </w:rPr>
        <w:t>pivots</w:t>
      </w:r>
      <w:r>
        <w:t>) que la empresa puede permitirse ejecutar antes de agotar sus recursos, lo que conecta la gestión de caja con el marco de "aprendizaje validado" (</w:t>
      </w:r>
      <w:r>
        <w:rPr>
          <w:i/>
        </w:rPr>
        <w:t>validated learning</w:t>
      </w:r>
      <w:r>
        <w:t>) e "contabilidad de la innovación" (</w:t>
      </w:r>
      <w:r>
        <w:rPr>
          <w:i/>
        </w:rPr>
        <w:t>innovation accounting</w:t>
      </w:r>
      <w:r>
        <w:t xml:space="preserve">) propuesto por dicho autor como eje central de la metodología </w:t>
      </w:r>
      <w:r>
        <w:rPr>
          <w:i/>
        </w:rPr>
        <w:t>Lean Startup</w:t>
      </w:r>
      <w:r>
        <w:t>.</w:t>
      </w:r>
    </w:p>
    <w:p>
      <w:pPr>
        <w:pStyle w:val="Heading2"/>
        <w:jc w:val="left"/>
      </w:pPr>
      <w:r>
        <w:t>2.4.2. Pilar 2: Eficiencia</w:t>
      </w:r>
    </w:p>
    <w:p>
      <w:pPr>
        <w:jc w:val="both"/>
      </w:pPr>
      <w:r>
        <w:t xml:space="preserve">El </w:t>
      </w:r>
      <w:r>
        <w:rPr>
          <w:b/>
        </w:rPr>
        <w:t>Margen de Contribución</w:t>
      </w:r>
      <w:r>
        <w:t>, definido en el glosario como el porcentaje de los ingresos por ventas que resta tras descontar comisiones y coste de adquisición de leads directamente imputables a la venta, es conceptualmente equivalente al margen de contribución de la microeconomía de la empresa y al margen bruto (</w:t>
      </w:r>
      <w:r>
        <w:rPr>
          <w:i/>
        </w:rPr>
        <w:t>gross margin</w:t>
      </w:r>
      <w:r>
        <w:t>) empleado en el análisis de modelos de negocio digitales. La justificación de sus umbrales de interpretación (por debajo del 30% como margen muy bajo; 30-50% como aceptable; 50-70% como bueno; superior al 70% como excelente y "típico de SaaS") no procede de una regla teórica única, sino del contraste empírico entre modelos de negocio con estructuras de costes directos muy distintas. Los informes anuales de referencia sobre empresas de software como servicio —</w:t>
      </w:r>
      <w:r>
        <w:rPr>
          <w:i/>
        </w:rPr>
        <w:t>KeyBanc Capital Markets SaaS Survey</w:t>
      </w:r>
      <w:r>
        <w:t xml:space="preserve"> (edición 2025, 16ª anual), </w:t>
      </w:r>
      <w:r>
        <w:rPr>
          <w:i/>
        </w:rPr>
        <w:t>OpenView SaaS Benchmarks Report</w:t>
      </w:r>
      <w:r>
        <w:t xml:space="preserve"> y </w:t>
      </w:r>
      <w:r>
        <w:rPr>
          <w:i/>
        </w:rPr>
        <w:t>Bessemer Cloud 100 Benchmarks</w:t>
      </w:r>
      <w:r>
        <w:t>— sitúan de forma consistente el margen bruto mediano de las compañías SaaS en torno al 76-77%, con el cuartil superior por encima del 84% y con más del 60% de las compañías SaaS cotizadas superando el 70% (SEG Q2 2025 SaaS Cohort). Ello explica que un margen superior al 70% se identifique en el glosario como "típico de SaaS": en este modelo de negocio, el coste marginal de servir a un cliente adicional (alojamiento en la nube, soporte) es muy reducido en comparación con el precio de venta. Por el contrario, modelos de negocio con componente de intermediación, logística física o coste variable elevado por transacción (comercio electrónico, marketplaces, servicios con reparto de comisiones) operan de forma estructural en bandas de margen de contribución sensiblemente inferiores, lo que justifica las bandas intermedias (30-50% y 50-70%) como referencias razonables para modelos híbridos o no puramente digitales. Resulta pertinente señalar, no obstante, que esta banda constituye una adaptación práctica de los benchmarks de márgenes SaaS a un concepto de margen de contribución más amplio, y que su aplicación debería idealmente contrastarse con el modelo de negocio concreto de la empresa analizada.</w:t>
      </w:r>
    </w:p>
    <w:p>
      <w:pPr>
        <w:jc w:val="both"/>
      </w:pPr>
      <w:r>
        <w:t xml:space="preserve">El </w:t>
      </w:r>
      <w:r>
        <w:rPr>
          <w:b/>
        </w:rPr>
        <w:t>CAC (Customer Acquisition Cost)</w:t>
      </w:r>
      <w:r>
        <w:t xml:space="preserve"> y su relación con el </w:t>
      </w:r>
      <w:r>
        <w:rPr>
          <w:b/>
        </w:rPr>
        <w:t>LTV (Lifetime Value)</w:t>
      </w:r>
      <w:r>
        <w:t xml:space="preserve"> constituyen el núcleo de lo que la literatura de emprendimiento denomina "economía unitaria" (</w:t>
      </w:r>
      <w:r>
        <w:rPr>
          <w:i/>
        </w:rPr>
        <w:t>unit economics</w:t>
      </w:r>
      <w:r>
        <w:t xml:space="preserve">) (Blank y Dorf, 2012; Croll y Yoskovitz, 2013). La regla según la cual el ratio LTV/CAC debería ser igual o superior a 3:1 fue formulada y popularizada por David Skok, socio de Matrix Partners, en su influyente marco </w:t>
      </w:r>
      <w:r>
        <w:rPr>
          <w:i/>
        </w:rPr>
        <w:t>"SaaS Metrics 2.0"</w:t>
      </w:r>
      <w:r>
        <w:t xml:space="preserve"> (Skok, ca. 2010, forEntrepreneurs.com), y ha sido adoptada posteriormente como estándar de facto por buena parte de la industria del capital riesgo. Su justificación económica es la siguiente: un ratio de 3:1 implica que, por cada euro invertido en adquirir un cliente, dicho cliente genera tres euros de margen bruto a lo largo de su vida útil, lo que deja un margen suficiente para cubrir los costes de estructura no directamente atribuibles a la venta (investigación y desarrollo, administración) y obtener un retorno razonable sobre el capital invertido, una vez se tiene en cuenta el valor temporal del dinero y el riesgo de abandono (</w:t>
      </w:r>
      <w:r>
        <w:rPr>
          <w:i/>
        </w:rPr>
        <w:t>churn</w:t>
      </w:r>
      <w:r>
        <w:t>) del cliente. Skok derivó esta referencia observando el comportamiento de compañías SaaS públicas maduras (HubSpot, Salesforce, NetSuite) en estado estacionario, con tasas de abandono estables y periodos de recuperación de la inversión (</w:t>
      </w:r>
      <w:r>
        <w:rPr>
          <w:i/>
        </w:rPr>
        <w:t>payback period</w:t>
      </w:r>
      <w:r>
        <w:t>) cómodamente inferiores a los 12 meses; conviene señalar, como matiz relevante para el presente trabajo, que la regla no fue formulada originalmente para empresas en fase inicial o previas al ajuste producto-mercado, contexto en el que su aplicación debe realizarse con cautela. La propia definición de LTV empleada en el glosario —valor promedio de venta menos valor promedio de comisiones— es una simplificación operativa de los modelos de valor del ciclo de vida del cliente desarrollados en el ámbito del marketing cuantitativo, cuya formalización académica se debe a Berger y Nasr (1998) y a su posterior conexión con la valoración financiera de la cartera de clientes por parte de Gupta, Lehmann y Stuart (2004).</w:t>
      </w:r>
    </w:p>
    <w:p>
      <w:pPr>
        <w:jc w:val="both"/>
      </w:pPr>
      <w:r>
        <w:t xml:space="preserve">El indicador de </w:t>
      </w:r>
      <w:r>
        <w:rPr>
          <w:b/>
        </w:rPr>
        <w:t>ROI por subcanal</w:t>
      </w:r>
      <w:r>
        <w:t xml:space="preserve"> aplica al ámbito del marketing de adquisición la lógica estándar de retorno sobre la inversión, cuyos umbrales (negativo: pérdida; 0-100%: recuperación de la inversión con retorno bajo; superior al 200%: canal muy rentable) responden a una convención práctica del marketing de resultados (</w:t>
      </w:r>
      <w:r>
        <w:rPr>
          <w:i/>
        </w:rPr>
        <w:t>performance marketing</w:t>
      </w:r>
      <w:r>
        <w:t xml:space="preserve">) más que a un desarrollo teórico específico, si bien se apoyan en los mismos principios de medición de eficacia publicitaria sistematizados en la obra de referencia de Farris, Bendle, Pfeifer y Reibstein, </w:t>
      </w:r>
      <w:r>
        <w:rPr>
          <w:i/>
        </w:rPr>
        <w:t>Marketing Metrics: The Definitive Guide to Measuring Marketing Performance</w:t>
      </w:r>
      <w:r>
        <w:t xml:space="preserve"> (2010), ampliamente utilizada como manual de referencia académico-profesional para la definición y el uso correcto de indicadores de retorno de marketing.</w:t>
      </w:r>
    </w:p>
    <w:p>
      <w:pPr>
        <w:jc w:val="both"/>
      </w:pPr>
      <w:r>
        <w:t xml:space="preserve">El </w:t>
      </w:r>
      <w:r>
        <w:rPr>
          <w:b/>
        </w:rPr>
        <w:t>Churn Rate</w:t>
      </w:r>
      <w:r>
        <w:t xml:space="preserve">, o tasa de abandono de clientes, es uno de los indicadores con mayor respaldo tanto académico como empírico de todo el modelo de los "4 Pilares". Su relevancia teórica se sustenta en el trabajo seminal de Reichheld y Sasser (1990), </w:t>
      </w:r>
      <w:r>
        <w:rPr>
          <w:i/>
        </w:rPr>
        <w:t>"Zero Defections: Quality Comes to Services"</w:t>
      </w:r>
      <w:r>
        <w:t xml:space="preserve">, publicado en </w:t>
      </w:r>
      <w:r>
        <w:rPr>
          <w:i/>
        </w:rPr>
        <w:t>Harvard Business Review</w:t>
      </w:r>
      <w:r>
        <w:t xml:space="preserve">, en el que se demuestra —a partir del análisis de varios sectores de servicios— que reducciones incluso pequeñas en la tasa de abandono de clientes generan incrementos muy superiores en la rentabilidad (por ejemplo, una reducción del 5% en la tasa de deserción se tradujo en incrementos de beneficio de entre el 25% y el 85% según el sector analizado), debido al efecto compuesto de la reducción del coste de reposición de clientes y al incremento del valor generado por los clientes retenidos a lo largo de su ciclo de vida. Este hallazgo fue posteriormente ampliado por Reichheld (1996) en </w:t>
      </w:r>
      <w:r>
        <w:rPr>
          <w:i/>
        </w:rPr>
        <w:t>The Loyalty Effect</w:t>
      </w:r>
      <w:r>
        <w:t>. En cuanto a los umbrales cuantitativos concretos (inferior al 3% como excelente retención; 3-10% como zona a vigilar; superior al 10% como churn crítico), estos proceden de informes sectoriales sobre empresas de suscripción, en particular de Recurly Research (</w:t>
      </w:r>
      <w:r>
        <w:rPr>
          <w:i/>
        </w:rPr>
        <w:t>Churn Rate Benchmarks</w:t>
      </w:r>
      <w:r>
        <w:t>) y de las encuestas anuales de KeyBanc Capital Markets, que sitúan la tasa de abandono mediana de las compañías SaaS en el entorno del 3% anual, con el cuartil superior de desempeño por debajo del 1,8%. Es importante señalar, como matiz relevante para el marco conceptual del presente trabajo, que dichos informes distinguen sensiblemente el umbral aceptable según el segmento de cliente: una tasa de abandono del 3% mensual se considera crítica en modelos B2B de empresa (donde el estándar saludable es de un 0,5-2% mensual) pero puede resultar habitual en modelos B2C de suscripción masiva (que operan en bandas del 3-8% mensual). Dado que el glosario no especifica la periodicidad (mensual o anual) ni el segmento de cliente al que se aplica la banda, se recomienda declarar expresamente esta limitación en el trabajo y, si el modelo de negocio de la empresa analizada lo permite, precisar dicha periodicidad y segmento al aplicar el criterio.</w:t>
      </w:r>
    </w:p>
    <w:p>
      <w:pPr>
        <w:jc w:val="both"/>
      </w:pPr>
      <w:r>
        <w:t xml:space="preserve">El </w:t>
      </w:r>
      <w:r>
        <w:rPr>
          <w:b/>
        </w:rPr>
        <w:t>Ingreso Medio por Cliente</w:t>
      </w:r>
      <w:r>
        <w:t xml:space="preserve"> no constituye un ratio con banda de interpretación propia, sino una magnitud de contraste que, puesta en relación con el CAC, permite operacionalizar el principio de economía unitaria: si el coste de adquisición supera el ingreso medio generado por cliente, el modelo de negocio no es sostenible en su configuración actual, salvo que existan mecanismos de monetización recurrente o de expansión de ingresos (venta cruzada, incremento de precio) capaces de revertir la ecuación a lo largo del tiempo (Blank y Dorf, 2012).</w:t>
      </w:r>
    </w:p>
    <w:p>
      <w:pPr>
        <w:pStyle w:val="Heading2"/>
        <w:jc w:val="left"/>
      </w:pPr>
      <w:r>
        <w:t>2.4.3. Pilar 3: Crecimiento</w:t>
      </w:r>
    </w:p>
    <w:p>
      <w:pPr>
        <w:jc w:val="both"/>
      </w:pPr>
      <w:r>
        <w:t xml:space="preserve">El </w:t>
      </w:r>
      <w:r>
        <w:rPr>
          <w:b/>
        </w:rPr>
        <w:t>MoM Growth</w:t>
      </w:r>
      <w:r>
        <w:t xml:space="preserve"> (crecimiento mes a mes) recoge en el modelo de los "4 Pilares" el principio, formulado de manera influyente por Paul Graham en su ensayo </w:t>
      </w:r>
      <w:r>
        <w:rPr>
          <w:i/>
        </w:rPr>
        <w:t>"Startup = Growth"</w:t>
      </w:r>
      <w:r>
        <w:t xml:space="preserve"> (Graham, 2012), según el cual la característica definitoria de una startup —a diferencia de una pequeña empresa tradicional— es su capacidad de crecimiento sostenido y elevado, señalando de forma orientativa que las startups de mejor desempeño en los programas de Y Combinator solían crecer en torno a un 5-7% semanal, cifra que compuesta mensualmente equivale a tasas de crecimiento mensual superiores al 20-30%. Este marco de referencia informal ha sido posteriormente formalizado por la industria del capital riesgo en modelos de trayectoria de crecimiento como el denominado </w:t>
      </w:r>
      <w:r>
        <w:rPr>
          <w:b/>
        </w:rPr>
        <w:t>T2D3</w:t>
      </w:r>
      <w:r>
        <w:t xml:space="preserve"> ("Triple, Triple, Double, Double, Double"), atribuido a Neeraj Agrawal (Battery Ventures) y difundido por Bessemer Venture Partners, que describe la senda de crecimiento anual de ingresos recurrentes (ARR) característica de las compañías SaaS de mayor éxito desde el millón de dólares de ARR hasta la fase de escalado. Las bandas de interpretación del glosario (decrecimiento: alarma; 0-5%: crecimiento lento; 5-15%: moderado; superior al 15%: alto; superior al 30%: explosivo) constituyen una adaptación de estas referencias de crecimiento anualizado y de las encuestas de KeyBanc Capital Markets sobre tasas de crecimiento por percentil y por tramo de ingresos recurrentes anuales a una métrica de periodicidad mensual, por lo que, de nuevo, conviene señalar en el marco conceptual del trabajo que la comparación directa entre un umbral de crecimiento mensual y otro pensado originalmente en términos anuales debe realizarse con cautela, dado que tasas de crecimiento mensual sostenidas del 15-30% —si se mantuvieran de forma constante— implicarían tasas de crecimiento anual muy superiores a las observadas incluso en las compañías de mayor éxito del sector.</w:t>
      </w:r>
    </w:p>
    <w:p>
      <w:pPr>
        <w:jc w:val="both"/>
      </w:pPr>
      <w:r>
        <w:t xml:space="preserve">Los indicadores de </w:t>
      </w:r>
      <w:r>
        <w:rPr>
          <w:b/>
        </w:rPr>
        <w:t>Tendencia de Ventas</w:t>
      </w:r>
      <w:r>
        <w:t xml:space="preserve">, </w:t>
      </w:r>
      <w:r>
        <w:rPr>
          <w:b/>
        </w:rPr>
        <w:t>Ventas por Categoría/Sector</w:t>
      </w:r>
      <w:r>
        <w:t xml:space="preserve"> y </w:t>
      </w:r>
      <w:r>
        <w:rPr>
          <w:b/>
        </w:rPr>
        <w:t>Ventas por Canal</w:t>
      </w:r>
      <w:r>
        <w:t xml:space="preserve"> no incorporan bandas de interpretación numérica, sino que constituyen herramientas de desagregación analítica cuyo fundamento se encuentra en el marco de métricas de embudo y de adquisición conocido como "métricas pirata" (</w:t>
      </w:r>
      <w:r>
        <w:rPr>
          <w:i/>
        </w:rPr>
        <w:t>AARRR: Acquisition, Activation, Retention, Referral, Revenue</w:t>
      </w:r>
      <w:r>
        <w:t xml:space="preserve">), sistematizado por Dave McClure y posteriormente formalizado en el ámbito académico-profesional por Croll y Yoskovitz (2013) en </w:t>
      </w:r>
      <w:r>
        <w:rPr>
          <w:i/>
        </w:rPr>
        <w:t>Lean Analytics</w:t>
      </w:r>
      <w:r>
        <w:t>, cuyo valor reside en permitir identificar qué segmentos, productos o canales concretos explican la evolución agregada de las ventas antes de tomar decisiones de asignación de recursos.</w:t>
      </w:r>
    </w:p>
    <w:p>
      <w:pPr>
        <w:pStyle w:val="Heading2"/>
        <w:jc w:val="left"/>
      </w:pPr>
      <w:r>
        <w:t>2.4.4. Pilar 4: OpEx (Gastos Operativos)</w:t>
      </w:r>
    </w:p>
    <w:p>
      <w:pPr>
        <w:jc w:val="both"/>
      </w:pPr>
      <w:r>
        <w:t xml:space="preserve">Los </w:t>
      </w:r>
      <w:r>
        <w:rPr>
          <w:b/>
        </w:rPr>
        <w:t>benchmarks de distribución del OpEx</w:t>
      </w:r>
      <w:r>
        <w:t xml:space="preserve"> por categoría (Personal: 40-60%; Marketing: 15-30%; Software/Infraestructura: 10-20%; Oficina/Administración: 5-10%) se inspiran en los informes anuales de referencia sobre estructura de gasto de empresas SaaS —principalmente OpenView Partners (</w:t>
      </w:r>
      <w:r>
        <w:rPr>
          <w:i/>
        </w:rPr>
        <w:t>SaaS Benchmarks Report</w:t>
      </w:r>
      <w:r>
        <w:t>) y KeyBanc Capital Markets (</w:t>
      </w:r>
      <w:r>
        <w:rPr>
          <w:i/>
        </w:rPr>
        <w:t>SaaS Survey</w:t>
      </w:r>
      <w:r>
        <w:t>)—, que desglosan tradicionalmente el gasto operativo en tres grandes funciones: investigación y desarrollo (R&amp;D), ventas y marketing (S&amp;M) y administración general (G&amp;A). Dichos informes sitúan la distribución mediana en torno al 26-30% para R&amp;D, 48-50% para S&amp;M y 20-22% para G&amp;A, lo que ha llevado a la propia industria a revisar el benchmark tradicional de "40/40/20" hacia una referencia más ajustada de "30/50/20". Resulta importante señalar, a efectos de rigor metodológico en el presente trabajo, que la clasificación empleada en el glosario de la aplicación (por tipo de coste: personal, marketing, software, administración) no es directamente equivalente a la clasificación funcional de los informes citados (por área de actividad: R&amp;D, S&amp;M, G&amp;A), en la medida en que el coste de personal se encuentra distribuido de forma transversal entre las tres funciones —los ingenieros de producto se imputan a R&amp;D, el equipo comercial a S&amp;M y el equipo de administración a G&amp;A— y no constituye una partida funcional autónoma en dichos informes. La banda del 40-60% para "Personal" del glosario debe entenderse, por tanto, como una estimación agregada del peso que habitualmente representan los costes salariales sobre el total del OpEx en empresas de base tecnológica en fase temprana —en las que la plantilla constituye el principal activo y el principal coste—, más que como una cifra directamente extraída de los informes sectoriales citados, que la reparten en su lugar entre funciones. Se recomienda declarar esta matización en el marco conceptual del trabajo.</w:t>
      </w:r>
    </w:p>
    <w:p>
      <w:pPr>
        <w:jc w:val="both"/>
      </w:pPr>
      <w:r>
        <w:t xml:space="preserve">La distinción entre </w:t>
      </w:r>
      <w:r>
        <w:rPr>
          <w:b/>
        </w:rPr>
        <w:t>Gastos Fijos y Variables</w:t>
      </w:r>
      <w:r>
        <w:t xml:space="preserve"> remite a la teoría clásica de costes y al concepto de apalancamiento operativo desarrollado en la literatura de contabilidad de gestión (véase, en el ámbito de la teoría financiera general, Brealey, Myers y Allen, 2020, en su tratamiento del riesgo operativo), en virtud del cual una estructura de costes con mayor peso relativo de costes variables proporciona a la empresa una mayor capacidad de ajuste rápido ante caídas de actividad —relevante en el contexto de una startup que necesite reducir su </w:t>
      </w:r>
      <w:r>
        <w:rPr>
          <w:i/>
        </w:rPr>
        <w:t>burn rate</w:t>
      </w:r>
      <w:r>
        <w:t>—, mientras que una estructura con mayor peso de costes fijos ofrece más predictibilidad presupuestaria a cambio de mayor rigidez y mayor riesgo operativo en escenarios de caída de ingresos.</w:t>
      </w:r>
    </w:p>
    <w:p>
      <w:pPr>
        <w:pStyle w:val="Heading2"/>
        <w:jc w:val="left"/>
      </w:pPr>
      <w:r>
        <w:t>2.4.5. Conceptos transversales</w:t>
      </w:r>
    </w:p>
    <w:p>
      <w:pPr>
        <w:jc w:val="both"/>
      </w:pPr>
      <w:r>
        <w:t xml:space="preserve">El </w:t>
      </w:r>
      <w:r>
        <w:rPr>
          <w:b/>
        </w:rPr>
        <w:t>Break-Even Point</w:t>
      </w:r>
      <w:r>
        <w:t xml:space="preserve"> (punto de equilibrio) y el concepto de </w:t>
      </w:r>
      <w:r>
        <w:rPr>
          <w:b/>
        </w:rPr>
        <w:t>Cash-Flow Positivo</w:t>
      </w:r>
      <w:r>
        <w:t xml:space="preserve"> son categorías clásicas de la teoría microeconómica de la empresa y del análisis coste-volumen-beneficio, que en el contexto específico de las startups adquieren un significado adicional vinculado a la independencia de la financiación externa: alcanzar el punto de equilibrio implica, en la literatura de emprendimiento (Ries, 2011; Blank y Dorf, 2012), que la empresa puede sostener su operativa y potencialmente crecer sin depender de sucesivas rondas de financiación, lo que constituye un hito reputacional y estratégico relevante frente a inversores.</w:t>
      </w:r>
    </w:p>
    <w:p>
      <w:pPr>
        <w:jc w:val="both"/>
      </w:pPr>
      <w:r>
        <w:t xml:space="preserve">El concepto de </w:t>
      </w:r>
      <w:r>
        <w:rPr>
          <w:b/>
        </w:rPr>
        <w:t>Unit Economics</w:t>
      </w:r>
      <w:r>
        <w:t xml:space="preserve"> (economía unitaria), que engloba el CAC, el LTV y el margen de contribución por unidad, ha sido formalizado como marco de análisis integral en </w:t>
      </w:r>
      <w:r>
        <w:rPr>
          <w:i/>
        </w:rPr>
        <w:t>The Startup Owner's Manual</w:t>
      </w:r>
      <w:r>
        <w:t xml:space="preserve"> de Blank y Dorf (2012) y en </w:t>
      </w:r>
      <w:r>
        <w:rPr>
          <w:i/>
        </w:rPr>
        <w:t>Lean Analytics</w:t>
      </w:r>
      <w:r>
        <w:t xml:space="preserve"> de Croll y Yoskovitz (2013), ambas obras de referencia en el ámbito de la metodología </w:t>
      </w:r>
      <w:r>
        <w:rPr>
          <w:i/>
        </w:rPr>
        <w:t>Lean Startup</w:t>
      </w:r>
      <w:r>
        <w:t>. La "regla de oro" recogida en el glosario —según la cual, si la economía unitaria de una empresa no es positiva, escalar el negocio solo amplifica las pérdidas— es una formulación directa del argumento central de dicha literatura: el crecimiento no crea valor por sí mismo si cada unidad adicional vendida (cada cliente adquirido) genera una pérdida neta, de modo que la validación de la economía unitaria debe preceder, conceptualmente, a cualquier decisión de escalado o de inversión en crecimiento acelerado.</w:t>
      </w:r>
    </w:p>
    <w:p>
      <w:pPr>
        <w:pStyle w:val="Heading2"/>
        <w:jc w:val="left"/>
      </w:pPr>
      <w:r>
        <w:t>2.4.6. Limitaciones de los criterios empleados</w:t>
      </w:r>
    </w:p>
    <w:p>
      <w:pPr>
        <w:jc w:val="both"/>
      </w:pPr>
      <w:r>
        <w:t>Procede señalar, a modo de cierre de este epígrafe, que los umbrales de interpretación del modelo de los "4 Pilares" presentan un grado de consolidación académica sensiblemente inferior al de los ratios contable-financieros clásicos analizados en el epígrafe anterior. Mientras que indicadores como el Runway (Graham, 2015; Ries, 2011) y, muy especialmente, el Churn Rate (Reichheld y Sasser, 1990) cuentan con fundamentación teórica y evidencia empírica sólidas, otros —como los umbrales del ROI por subcanal o la adaptación mensual de las bandas de crecimiento— constituyen heurísticas de la práctica del capital riesgo y del emprendimiento tecnológico, útiles como primer criterio de diagnóstico pero sujetas a una elevada variabilidad según el modelo de negocio, el segmento de cliente (B2B frente a B2C), la etapa de madurez de la empresa y el sector de actividad. Se recomienda, por ello, que la interpretación de estos indicadores en el presente trabajo se realice de forma prudente, contrastando en la medida de lo posible los resultados obtenidos con los informes sectoriales específicos citados (KeyBanc Capital Markets SaaS Survey; OpenView SaaS Benchmarks Report; Recurly Churn Rate Benchmarks) y declarando expresamente el carácter orientativo de las bandas genéricas empleadas.</w:t>
      </w:r>
    </w:p>
    <w:p>
      <w:pPr>
        <w:pStyle w:val="Heading2"/>
        <w:jc w:val="left"/>
      </w:pPr>
      <w:r>
        <w:t>Referencias bibliográficas</w:t>
      </w:r>
    </w:p>
    <w:p>
      <w:pPr>
        <w:spacing w:after="160"/>
        <w:ind w:left="709" w:hanging="709"/>
        <w:jc w:val="both"/>
      </w:pPr>
      <w:r>
        <w:t xml:space="preserve">Berger, P. D., y Nasr, N. I. (1998). Customer lifetime value: Marketing models and applications. </w:t>
      </w:r>
      <w:r>
        <w:rPr>
          <w:i/>
        </w:rPr>
        <w:t>Journal of Interactive Marketing</w:t>
      </w:r>
      <w:r>
        <w:t>, 12(1), 17-30.</w:t>
      </w:r>
    </w:p>
    <w:p>
      <w:pPr>
        <w:spacing w:after="160"/>
        <w:ind w:left="709" w:hanging="709"/>
        <w:jc w:val="both"/>
      </w:pPr>
      <w:r>
        <w:t xml:space="preserve">Blank, S., y Dorf, B. (2012). </w:t>
      </w:r>
      <w:r>
        <w:rPr>
          <w:i/>
        </w:rPr>
        <w:t>The startup owner's manual: The step-by-step guide for building a great company</w:t>
      </w:r>
      <w:r>
        <w:t>. K&amp;S Ranch.</w:t>
      </w:r>
    </w:p>
    <w:p>
      <w:pPr>
        <w:spacing w:after="160"/>
        <w:ind w:left="709" w:hanging="709"/>
        <w:jc w:val="both"/>
      </w:pPr>
      <w:r>
        <w:t xml:space="preserve">Bessemer Venture Partners. (2025). </w:t>
      </w:r>
      <w:r>
        <w:rPr>
          <w:i/>
        </w:rPr>
        <w:t>State of the Cloud / Cloud 100 Benchmarks Report</w:t>
      </w:r>
      <w:r>
        <w:t>. Bessemer Venture Partners.</w:t>
      </w:r>
    </w:p>
    <w:p>
      <w:pPr>
        <w:spacing w:after="160"/>
        <w:ind w:left="709" w:hanging="709"/>
        <w:jc w:val="both"/>
      </w:pPr>
      <w:r>
        <w:t xml:space="preserve">Brealey, R. A., Myers, S. C., y Allen, F. (2020). </w:t>
      </w:r>
      <w:r>
        <w:rPr>
          <w:i/>
        </w:rPr>
        <w:t>Principios de finanzas corporativas</w:t>
      </w:r>
      <w:r>
        <w:t xml:space="preserve"> (13ª ed.). McGraw-Hill.</w:t>
      </w:r>
    </w:p>
    <w:p>
      <w:pPr>
        <w:spacing w:after="160"/>
        <w:ind w:left="709" w:hanging="709"/>
        <w:jc w:val="both"/>
      </w:pPr>
      <w:r>
        <w:t xml:space="preserve">Croll, A., y Yoskovitz, B. (2013). </w:t>
      </w:r>
      <w:r>
        <w:rPr>
          <w:i/>
        </w:rPr>
        <w:t>Lean analytics: Use data to build a better startup faster</w:t>
      </w:r>
      <w:r>
        <w:t>. O'Reilly Media.</w:t>
      </w:r>
    </w:p>
    <w:p>
      <w:pPr>
        <w:spacing w:after="160"/>
        <w:ind w:left="709" w:hanging="709"/>
        <w:jc w:val="both"/>
      </w:pPr>
      <w:r>
        <w:t xml:space="preserve">Farris, P. W., Bendle, N. T., Pfeifer, P. E., y Reibstein, D. J. (2010). </w:t>
      </w:r>
      <w:r>
        <w:rPr>
          <w:i/>
        </w:rPr>
        <w:t>Marketing metrics: The definitive guide to measuring marketing performance</w:t>
      </w:r>
      <w:r>
        <w:t xml:space="preserve"> (2ª ed.). Pearson.</w:t>
      </w:r>
    </w:p>
    <w:p>
      <w:pPr>
        <w:spacing w:after="160"/>
        <w:ind w:left="709" w:hanging="709"/>
        <w:jc w:val="both"/>
      </w:pPr>
      <w:r>
        <w:t xml:space="preserve">Graham, P. (2012). </w:t>
      </w:r>
      <w:r>
        <w:rPr>
          <w:i/>
        </w:rPr>
        <w:t>Startup = Growth</w:t>
      </w:r>
      <w:r>
        <w:t>. Y Combinator Essays. http://www.paulgraham.com/growth.html</w:t>
      </w:r>
    </w:p>
    <w:p>
      <w:pPr>
        <w:spacing w:after="160"/>
        <w:ind w:left="709" w:hanging="709"/>
        <w:jc w:val="both"/>
      </w:pPr>
      <w:r>
        <w:t xml:space="preserve">Graham, P. (2015). </w:t>
      </w:r>
      <w:r>
        <w:rPr>
          <w:i/>
        </w:rPr>
        <w:t>Default alive or default dead?</w:t>
      </w:r>
      <w:r>
        <w:t>. Y Combinator Essays. http://www.paulgraham.com/aord.html</w:t>
      </w:r>
    </w:p>
    <w:p>
      <w:pPr>
        <w:spacing w:after="160"/>
        <w:ind w:left="709" w:hanging="709"/>
        <w:jc w:val="both"/>
      </w:pPr>
      <w:r>
        <w:t xml:space="preserve">Gupta, S., Lehmann, D. R., y Stuart, J. A. (2004). Valuing customers. </w:t>
      </w:r>
      <w:r>
        <w:rPr>
          <w:i/>
        </w:rPr>
        <w:t>Journal of Marketing Research</w:t>
      </w:r>
      <w:r>
        <w:t>, 41(1), 7-18.</w:t>
      </w:r>
    </w:p>
    <w:p>
      <w:pPr>
        <w:spacing w:after="160"/>
        <w:ind w:left="709" w:hanging="709"/>
        <w:jc w:val="both"/>
      </w:pPr>
      <w:r>
        <w:t xml:space="preserve">KeyBanc Capital Markets. (2025). </w:t>
      </w:r>
      <w:r>
        <w:rPr>
          <w:i/>
        </w:rPr>
        <w:t>SaaS Survey</w:t>
      </w:r>
      <w:r>
        <w:t xml:space="preserve"> (16ª ed. anual). KeyBanc Capital Markets.</w:t>
      </w:r>
    </w:p>
    <w:p>
      <w:pPr>
        <w:spacing w:after="160"/>
        <w:ind w:left="709" w:hanging="709"/>
        <w:jc w:val="both"/>
      </w:pPr>
      <w:r>
        <w:t xml:space="preserve">Marmer, M., Herrmann, B. L., Dogrultan, E., y Berman, R. (2011). </w:t>
      </w:r>
      <w:r>
        <w:rPr>
          <w:i/>
        </w:rPr>
        <w:t>Startup Genome Report: A new framework for understanding why startups succeed</w:t>
      </w:r>
      <w:r>
        <w:t>. Startup Genome.</w:t>
      </w:r>
    </w:p>
    <w:p>
      <w:pPr>
        <w:spacing w:after="160"/>
        <w:ind w:left="709" w:hanging="709"/>
        <w:jc w:val="both"/>
      </w:pPr>
      <w:r>
        <w:t xml:space="preserve">OpenView Partners. (2023-2025). </w:t>
      </w:r>
      <w:r>
        <w:rPr>
          <w:i/>
        </w:rPr>
        <w:t>SaaS Benchmarks Report</w:t>
      </w:r>
      <w:r>
        <w:t>. OpenView Venture Partners.</w:t>
      </w:r>
    </w:p>
    <w:p>
      <w:pPr>
        <w:spacing w:after="160"/>
        <w:ind w:left="709" w:hanging="709"/>
        <w:jc w:val="both"/>
      </w:pPr>
      <w:r>
        <w:t xml:space="preserve">Recurly Research. (2025). </w:t>
      </w:r>
      <w:r>
        <w:rPr>
          <w:i/>
        </w:rPr>
        <w:t>Churn rate benchmarks: SaaS, media, retail &amp; more industries</w:t>
      </w:r>
      <w:r>
        <w:t>. Recurly.</w:t>
      </w:r>
    </w:p>
    <w:p>
      <w:pPr>
        <w:spacing w:after="160"/>
        <w:ind w:left="709" w:hanging="709"/>
        <w:jc w:val="both"/>
      </w:pPr>
      <w:r>
        <w:t xml:space="preserve">Reichheld, F. F. (1996). </w:t>
      </w:r>
      <w:r>
        <w:rPr>
          <w:i/>
        </w:rPr>
        <w:t>The loyalty effect: The hidden force behind growth, profits, and lasting value</w:t>
      </w:r>
      <w:r>
        <w:t>. Harvard Business School Press.</w:t>
      </w:r>
    </w:p>
    <w:p>
      <w:pPr>
        <w:spacing w:after="160"/>
        <w:ind w:left="709" w:hanging="709"/>
        <w:jc w:val="both"/>
      </w:pPr>
      <w:r>
        <w:t xml:space="preserve">Reichheld, F. F., y Sasser, W. E., Jr. (1990). Zero defections: Quality comes to services. </w:t>
      </w:r>
      <w:r>
        <w:rPr>
          <w:i/>
        </w:rPr>
        <w:t>Harvard Business Review</w:t>
      </w:r>
      <w:r>
        <w:t>, 68(5), 105-111.</w:t>
      </w:r>
    </w:p>
    <w:p>
      <w:pPr>
        <w:spacing w:after="160"/>
        <w:ind w:left="709" w:hanging="709"/>
        <w:jc w:val="both"/>
      </w:pPr>
      <w:r>
        <w:t xml:space="preserve">Ries, E. (2011). </w:t>
      </w:r>
      <w:r>
        <w:rPr>
          <w:i/>
        </w:rPr>
        <w:t>The lean startup: How today's entrepreneurs use continuous innovation to create radically successful businesses</w:t>
      </w:r>
      <w:r>
        <w:t>. Crown Business.</w:t>
      </w:r>
    </w:p>
    <w:p>
      <w:pPr>
        <w:spacing w:after="160"/>
        <w:ind w:left="709" w:hanging="709"/>
        <w:jc w:val="both"/>
      </w:pPr>
      <w:r>
        <w:t xml:space="preserve">Skok, D. (ca. 2010). </w:t>
      </w:r>
      <w:r>
        <w:rPr>
          <w:i/>
        </w:rPr>
        <w:t>SaaS metrics 2.0 - A guide to measuring and improving what matters</w:t>
      </w:r>
      <w:r>
        <w:t>. For Entrepreneurs. https://www.forentrepreneurs.com/saas-metrics-2/</w:t>
      </w:r>
    </w:p>
    <w:p/>
    <w:p>
      <w:pPr>
        <w:jc w:val="both"/>
      </w:pPr>
      <w:r>
        <w:t>Nota metodológica: las citas anteriores han sido verificadas en cuanto a su existencia, autoría y contenido general mediante fuentes secundarias actuales (informes sectoriales, reseñas académicas y las propias fuentes primarias cuando ha sido posible acceder a ellas). Dado que varias de las fuentes de la práctica del capital riesgo (ensayos de Y Combinator, blog de David Skok, informes de OpenView/KeyBanc/Bessemer/Recurly) son recursos web de acceso abierto y no artículos revisados por pares, se recomienda al autor del TFM acceder directamente a las URL indicadas para confirmar la vigencia del contenido y, si el formato de citación de la universidad lo exige, adaptar la referencia al estilo de "página web"/"informe corporativo" en lugar de "libro"/"artículo de revista".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0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Times New Roman" w:hAnsi="Times New Roman"/>
      <w:b/>
      <w:bCs/>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