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</w:p>
    <w:p>
      <w:pPr>
        <w:spacing w:after="320"/>
        <w:jc w:val="center"/>
      </w:pPr>
      <w:r>
        <w:rPr>
          <w:b/>
          <w:color w:val="2E74B5"/>
          <w:sz w:val="20"/>
        </w:rPr>
        <w:t>RESEARCH BRIEF</w:t>
      </w:r>
    </w:p>
    <w:p>
      <w:pPr>
        <w:spacing w:after="200"/>
        <w:jc w:val="center"/>
      </w:pPr>
      <w:r>
        <w:rPr>
          <w:b/>
          <w:color w:val="203748"/>
          <w:sz w:val="56"/>
        </w:rPr>
        <w:t>轨迹数据与思维链 SFT</w:t>
        <w:br/>
        <w:t>数据增强调研</w:t>
      </w:r>
    </w:p>
    <w:p>
      <w:pPr>
        <w:spacing w:after="440"/>
        <w:jc w:val="center"/>
      </w:pPr>
      <w:r>
        <w:rPr>
          <w:color w:val="5C6876"/>
          <w:sz w:val="26"/>
        </w:rPr>
        <w:t>可行方法、公开产业实践、质量风险与落地建议</w:t>
      </w:r>
    </w:p>
    <w:p>
      <w:pPr>
        <w:jc w:val="center"/>
      </w:pPr>
      <w:r>
        <w:rPr>
          <w:sz w:val="18"/>
        </w:rPr>
        <w:t>Harness Docs  ·  研究日期：2026-08-31  ·  公开资料综述</w:t>
      </w:r>
    </w:p>
    <w:p>
      <w:r>
        <w:br w:type="page"/>
      </w:r>
    </w:p>
    <w:p>
      <w:pPr>
        <w:pStyle w:val="Heading1"/>
      </w:pPr>
      <w:r>
        <w:t>结论先行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核心判断  </w:t>
            </w:r>
            <w:r>
              <w:t>轨迹数据和思维链 SFT 都可以做数据增强。真正有效的不是“同义改写 × 10”，而是多样化生成、真实执行或过程验证、拒绝采样、去重配平与迭代训练。验证器质量通常比生成量更重要。</w:t>
            </w:r>
          </w:p>
        </w:tc>
      </w:tr>
    </w:tbl>
    <w:p>
      <w:pPr>
        <w:spacing w:after="0"/>
      </w:pPr>
    </w:p>
    <w:p>
      <w:r>
        <w:t>本文把“轨迹数据”理解为 Agent rollout：任务、状态、观察、计划、工具调用、环境反馈和最终结果构成的序列。若讨论的是自动驾驶或机器人坐标轨迹，具体扰动方式不同，但“保持物理约束并重新验证”的原则相同。</w:t>
      </w:r>
    </w:p>
    <w:p>
      <w:pPr>
        <w:pStyle w:val="Heading2"/>
      </w:pPr>
      <w:r>
        <w:t>两类数据，两个关键差异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816"/>
        <w:gridCol w:w="3816"/>
      </w:tblGrid>
      <w:tr>
        <w:tc>
          <w:tcPr>
            <w:tcW w:type="dxa" w:w="1728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对象</w:t>
            </w:r>
          </w:p>
        </w:tc>
        <w:tc>
          <w:tcPr>
            <w:tcW w:type="dxa" w:w="3816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可增广什么</w:t>
            </w:r>
          </w:p>
        </w:tc>
        <w:tc>
          <w:tcPr>
            <w:tcW w:type="dxa" w:w="3816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不可省略的验证</w:t>
            </w:r>
          </w:p>
        </w:tc>
      </w:tr>
      <w:tr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Agent 轨迹</w:t>
            </w:r>
          </w:p>
        </w:tc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任务变体、多次 rollout、工具顺序、故障恢复、前缀分叉</w:t>
            </w:r>
          </w:p>
        </w:tc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在真实环境执行；校验动作合法性、状态一致性与最终结果</w:t>
            </w:r>
          </w:p>
        </w:tc>
      </w:tr>
      <w:tr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CoT SFT</w:t>
            </w:r>
          </w:p>
        </w:tc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多解法、多长度、工具辅助、批评与修复链、题目联合生成</w:t>
            </w:r>
          </w:p>
        </w:tc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答案验证之外，还要检查中间步骤，防止猜中和事后合理化</w:t>
            </w:r>
          </w:p>
        </w:tc>
      </w:tr>
    </w:tbl>
    <w:p>
      <w:pPr>
        <w:pStyle w:val="Heading1"/>
      </w:pPr>
      <w:r>
        <w:t>一、Agent 轨迹数据怎么增广</w:t>
      </w:r>
    </w:p>
    <w:p>
      <w:pPr>
        <w:pStyle w:val="Heading3"/>
      </w:pPr>
      <w:r>
        <w:rPr>
          <w:b/>
        </w:rPr>
        <w:t>同一任务多次 rollout</w:t>
      </w:r>
      <w:r>
        <w:rPr>
          <w:color w:val="5C6876"/>
          <w:sz w:val="18"/>
        </w:rPr>
        <w:t xml:space="preserve">  Multi-Rollout</w:t>
      </w:r>
    </w:p>
    <w:p>
      <w:pPr>
        <w:ind w:left="230"/>
      </w:pPr>
      <w:r>
        <w:t>提高采样多样性，改变计划粒度、工具调用顺序与探索策略；在环境中实际执行后，保留成功轨迹，或按成功率、成本、步数排序。相比对旧轨迹做文字变换，这种方式更能保证状态和动作相符。</w:t>
      </w:r>
    </w:p>
    <w:p>
      <w:pPr>
        <w:pStyle w:val="Heading3"/>
      </w:pPr>
      <w:r>
        <w:rPr>
          <w:b/>
        </w:rPr>
        <w:t>任务级变体</w:t>
      </w:r>
      <w:r>
        <w:rPr>
          <w:color w:val="5C6876"/>
          <w:sz w:val="18"/>
        </w:rPr>
        <w:t xml:space="preserve">  Task Variation</w:t>
      </w:r>
    </w:p>
    <w:p>
      <w:pPr>
        <w:ind w:left="230"/>
      </w:pPr>
      <w:r>
        <w:t>替换实体、数值、文件、数据库 schema、语言和约束，或构造不同难度。任务变化后必须重新执行整条轨迹，不能改了 prompt 却沿用旧工具返回。</w:t>
      </w:r>
    </w:p>
    <w:p>
      <w:pPr>
        <w:pStyle w:val="Heading3"/>
      </w:pPr>
      <w:r>
        <w:rPr>
          <w:b/>
        </w:rPr>
        <w:t>故障注入与恢复</w:t>
      </w:r>
      <w:r>
        <w:rPr>
          <w:color w:val="5C6876"/>
          <w:sz w:val="18"/>
        </w:rPr>
        <w:t xml:space="preserve">  Failure &amp; Recovery</w:t>
      </w:r>
    </w:p>
    <w:p>
      <w:pPr>
        <w:ind w:left="230"/>
      </w:pPr>
      <w:r>
        <w:t>人为加入错误工具参数、超时、空结果、页面结构变化或代码执行失败，让模型生成诊断、回退与修复路径。这类数据训练的是现实环境中的鲁棒性。</w:t>
      </w:r>
    </w:p>
    <w:p>
      <w:pPr>
        <w:pStyle w:val="Heading3"/>
      </w:pPr>
      <w:r>
        <w:rPr>
          <w:b/>
        </w:rPr>
        <w:t>前缀分叉</w:t>
      </w:r>
      <w:r>
        <w:rPr>
          <w:color w:val="5C6876"/>
          <w:sz w:val="18"/>
        </w:rPr>
        <w:t xml:space="preserve">  Prefix Branching</w:t>
      </w:r>
    </w:p>
    <w:p>
      <w:pPr>
        <w:ind w:left="230"/>
      </w:pPr>
      <w:r>
        <w:t>从一段共享历史的中间状态重新采样后续动作，得到失败、绕路成功和低成本成功分支。成功路径可用于 SFT，同题优劣路径可用于偏好优化，步骤级信号可用于过程奖励。</w:t>
      </w:r>
    </w:p>
    <w:p>
      <w:pPr>
        <w:pStyle w:val="Heading3"/>
      </w:pPr>
      <w:r>
        <w:rPr>
          <w:b/>
        </w:rPr>
        <w:t>轨迹压缩</w:t>
      </w:r>
      <w:r>
        <w:rPr>
          <w:color w:val="5C6876"/>
          <w:sz w:val="18"/>
        </w:rPr>
        <w:t xml:space="preserve">  Trajectory Compression</w:t>
      </w:r>
    </w:p>
    <w:p>
      <w:pPr>
        <w:ind w:left="230"/>
      </w:pPr>
      <w:r>
        <w:t>把冗长成功轨迹压缩为更短路径，删除无效搜索和重复观察；但应保留一部分真实探索轨迹，否则模型只会模仿漂亮答案，不会探索和纠错。</w:t>
      </w:r>
    </w:p>
    <w:p>
      <w:pPr>
        <w:pStyle w:val="Heading1"/>
      </w:pPr>
      <w:r>
        <w:t>二、思维链 SFT 怎么增广</w:t>
      </w:r>
    </w:p>
    <w:p>
      <w:pPr>
        <w:pStyle w:val="Heading3"/>
      </w:pPr>
      <w:r>
        <w:rPr>
          <w:b/>
        </w:rPr>
        <w:t>多路径采样与拒绝采样</w:t>
      </w:r>
      <w:r>
        <w:rPr>
          <w:color w:val="5C6876"/>
          <w:sz w:val="18"/>
        </w:rPr>
        <w:t xml:space="preserve">  Sample &amp; Reject</w:t>
      </w:r>
    </w:p>
    <w:p>
      <w:pPr>
        <w:ind w:left="230"/>
      </w:pPr>
      <w:r>
        <w:t>为同一道题生成多条推理链，只保留答案正确、格式合格、中间过程通过检查且长度合适的数据。对于数学、代码和工具任务，优先使用可执行验证器。</w:t>
      </w:r>
    </w:p>
    <w:p>
      <w:pPr>
        <w:pStyle w:val="Heading3"/>
      </w:pPr>
      <w:r>
        <w:rPr>
          <w:b/>
        </w:rPr>
        <w:t>教师蒸馏与自举</w:t>
      </w:r>
      <w:r>
        <w:rPr>
          <w:color w:val="5C6876"/>
          <w:sz w:val="18"/>
        </w:rPr>
        <w:t xml:space="preserve">  Distillation &amp; Bootstrapping</w:t>
      </w:r>
    </w:p>
    <w:p>
      <w:pPr>
        <w:ind w:left="230"/>
      </w:pPr>
      <w:r>
        <w:t>用更强模型生成问题、推理和答案；由程序或答案校验筛选，再继续训练学生模型。STaR 展示了“生成 rationale - 验证答案 - 再训练”的经典循环。</w:t>
      </w:r>
    </w:p>
    <w:p>
      <w:pPr>
        <w:pStyle w:val="Heading3"/>
      </w:pPr>
      <w:r>
        <w:rPr>
          <w:b/>
        </w:rPr>
        <w:t>题目与推理联合生成</w:t>
      </w:r>
      <w:r>
        <w:rPr>
          <w:color w:val="5C6876"/>
          <w:sz w:val="18"/>
        </w:rPr>
        <w:t xml:space="preserve">  Joint Synthesis</w:t>
      </w:r>
    </w:p>
    <w:p>
      <w:pPr>
        <w:ind w:left="230"/>
      </w:pPr>
      <w:r>
        <w:t>从技能点、目标难度和推理结构出发，同时生成新题、解法、答案和验证器，扩大任务覆盖。若只让教师自由出题，容易得到大量结构相似的简单样本。</w:t>
      </w:r>
    </w:p>
    <w:p>
      <w:pPr>
        <w:pStyle w:val="Heading3"/>
      </w:pPr>
      <w:r>
        <w:rPr>
          <w:b/>
        </w:rPr>
        <w:t>错误链与纠错链</w:t>
      </w:r>
      <w:r>
        <w:rPr>
          <w:color w:val="5C6876"/>
          <w:sz w:val="18"/>
        </w:rPr>
        <w:t xml:space="preserve">  Corrective Reasoning</w:t>
      </w:r>
    </w:p>
    <w:p>
      <w:pPr>
        <w:ind w:left="230"/>
      </w:pPr>
      <w:r>
        <w:t>保存局部错误、错误位置、批评和修复路径，可训练 critic、自我纠错、DPO 或过程奖励模型。注入错误应接近真实模型分布，避免机械改数字形成浅层捷径。</w:t>
      </w:r>
    </w:p>
    <w:p>
      <w:pPr>
        <w:pStyle w:val="Heading3"/>
      </w:pPr>
      <w:r>
        <w:rPr>
          <w:b/>
        </w:rPr>
        <w:t>风格和长度配比</w:t>
      </w:r>
      <w:r>
        <w:rPr>
          <w:color w:val="5C6876"/>
          <w:sz w:val="18"/>
        </w:rPr>
        <w:t xml:space="preserve">  Reasoning Mixture</w:t>
      </w:r>
    </w:p>
    <w:p>
      <w:pPr>
        <w:ind w:left="230"/>
      </w:pPr>
      <w:r>
        <w:t>同一推理可生成完整探索版、简洁严谨版和工具辅助版。合理配比能避免模型把“长”“固定开场”或某种话术误当成推理质量。</w:t>
      </w:r>
    </w:p>
    <w:p>
      <w:r>
        <w:br w:type="page"/>
      </w:r>
    </w:p>
    <w:p>
      <w:pPr>
        <w:pStyle w:val="Heading1"/>
      </w:pPr>
      <w:r>
        <w:t>三、大厂公开出来的共同流水线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共同范式  </w:t>
            </w:r>
            <w:r>
              <w:t>少量高质量种子 → 强模型或当前策略多次采样 → 规则、执行器、reward model、独立 judge 与人工抽检 → 去重配平 → SFT / 蒸馏 / 偏好优化 / RL → 新 checkpoint 再采样。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b/>
        </w:rPr>
        <w:t>DeepSeek</w:t>
      </w:r>
      <w:r>
        <w:rPr>
          <w:color w:val="5C6876"/>
          <w:sz w:val="18"/>
        </w:rPr>
        <w:t xml:space="preserve">  Rejection Sampling + RL</w:t>
      </w:r>
    </w:p>
    <w:p>
      <w:pPr>
        <w:ind w:left="230"/>
      </w:pPr>
      <w:r>
        <w:t>DeepSeek-R1 公开说明：以冷启动推理数据开始，经过推理 RL，再从 checkpoint 为问题采样多条推理轨迹；用规则奖励、模型判断和质量过滤构造推理 SFT 数据，并混入非推理数据保持通用能力。</w:t>
      </w:r>
    </w:p>
    <w:p>
      <w:pPr>
        <w:pStyle w:val="Heading3"/>
      </w:pPr>
      <w:r>
        <w:rPr>
          <w:b/>
        </w:rPr>
        <w:t>Microsoft</w:t>
      </w:r>
      <w:r>
        <w:rPr>
          <w:color w:val="5C6876"/>
          <w:sz w:val="18"/>
        </w:rPr>
        <w:t xml:space="preserve">  Synthetic Data Curriculum</w:t>
      </w:r>
    </w:p>
    <w:p>
      <w:pPr>
        <w:ind w:left="230"/>
      </w:pPr>
      <w:r>
        <w:t>Phi-4 把合成数据贯穿训练过程，强调推理任务的数据构造、质量、课程学习和数据配比；公开结论不是简单堆量，而是以高质量数据推动小模型能力。</w:t>
      </w:r>
    </w:p>
    <w:p>
      <w:pPr>
        <w:pStyle w:val="Heading3"/>
      </w:pPr>
      <w:r>
        <w:rPr>
          <w:b/>
        </w:rPr>
        <w:t>Google</w:t>
      </w:r>
      <w:r>
        <w:rPr>
          <w:color w:val="5C6876"/>
          <w:sz w:val="18"/>
        </w:rPr>
        <w:t xml:space="preserve">  STaR and Self-Bootstrapping</w:t>
      </w:r>
    </w:p>
    <w:p>
      <w:pPr>
        <w:ind w:left="230"/>
      </w:pPr>
      <w:r>
        <w:t>STaR 用少量 rationale 示例引导模型生成推理，对正确答案进行筛选并继续训练，代表了推理数据自举的基础范式。Google 的其他公开工作也持续研究合成数据机制和推理结构。</w:t>
      </w:r>
    </w:p>
    <w:p>
      <w:pPr>
        <w:pStyle w:val="Heading3"/>
      </w:pPr>
      <w:r>
        <w:rPr>
          <w:b/>
        </w:rPr>
        <w:t>Anthropic</w:t>
      </w:r>
      <w:r>
        <w:rPr>
          <w:color w:val="5C6876"/>
          <w:sz w:val="18"/>
        </w:rPr>
        <w:t xml:space="preserve">  Constitutional AI</w:t>
      </w:r>
    </w:p>
    <w:p>
      <w:pPr>
        <w:ind w:left="230"/>
      </w:pPr>
      <w:r>
        <w:t>Constitutional AI 让模型依据一组原则批评、修订和比较回答，再把 AI 反馈用于监督或偏好训练；公开的 Constitutional Classifiers 还会生成不同风格和语言的合成数据。</w:t>
      </w:r>
    </w:p>
    <w:p>
      <w:pPr>
        <w:pStyle w:val="Heading3"/>
      </w:pPr>
      <w:r>
        <w:rPr>
          <w:b/>
        </w:rPr>
        <w:t>OpenAI</w:t>
      </w:r>
      <w:r>
        <w:rPr>
          <w:color w:val="5C6876"/>
          <w:sz w:val="18"/>
        </w:rPr>
        <w:t xml:space="preserve">  Process Supervision &amp; Deliberative Alignment</w:t>
      </w:r>
    </w:p>
    <w:p>
      <w:pPr>
        <w:ind w:left="230"/>
      </w:pPr>
      <w:r>
        <w:t>公开数学推理研究比较了过程监督与结果监督；deliberative alignment 则合成模型根据规范推理的数据，经 policy-aware reward model 过滤后用于 SFT。公开安全研究同时警告：对 CoT 施加强监督可能削弱其监控价值。</w:t>
      </w:r>
    </w:p>
    <w:p>
      <w:pPr>
        <w:pStyle w:val="Heading1"/>
      </w:pPr>
      <w:r>
        <w:t>四、主要风险</w:t>
      </w:r>
    </w:p>
    <w:p>
      <w:pPr>
        <w:pStyle w:val="Heading3"/>
      </w:pPr>
      <w:r>
        <w:rPr>
          <w:b/>
        </w:rPr>
        <w:t>只验证最终答案</w:t>
      </w:r>
      <w:r>
        <w:rPr>
          <w:color w:val="5C6876"/>
          <w:sz w:val="18"/>
        </w:rPr>
        <w:t xml:space="preserve">  Outcome-Only</w:t>
      </w:r>
    </w:p>
    <w:p>
      <w:pPr>
        <w:ind w:left="230"/>
      </w:pPr>
      <w:r>
        <w:t>答案可能是猜中，也可能由多个抵消错误得到。应依次验证任务、真实执行、动作、过程和结果。</w:t>
      </w:r>
    </w:p>
    <w:p>
      <w:pPr>
        <w:pStyle w:val="Heading3"/>
      </w:pPr>
      <w:r>
        <w:rPr>
          <w:b/>
        </w:rPr>
        <w:t>同一个模型既生成又审核</w:t>
      </w:r>
      <w:r>
        <w:rPr>
          <w:color w:val="5C6876"/>
          <w:sz w:val="18"/>
        </w:rPr>
        <w:t xml:space="preserve">  Correlated Blind Spots</w:t>
      </w:r>
    </w:p>
    <w:p>
      <w:pPr>
        <w:ind w:left="230"/>
      </w:pPr>
      <w:r>
        <w:t>生成者和 judge 会共享偏差。优先使用规则和执行器；模型审核尽量换模型、换提示、多 judge，并保留人工抽检。</w:t>
      </w:r>
    </w:p>
    <w:p>
      <w:pPr>
        <w:pStyle w:val="Heading3"/>
      </w:pPr>
      <w:r>
        <w:rPr>
          <w:b/>
        </w:rPr>
        <w:t>合成数据模式坍缩</w:t>
      </w:r>
      <w:r>
        <w:rPr>
          <w:color w:val="5C6876"/>
          <w:sz w:val="18"/>
        </w:rPr>
        <w:t xml:space="preserve">  Mode Collapse</w:t>
      </w:r>
    </w:p>
    <w:p>
      <w:pPr>
        <w:ind w:left="230"/>
      </w:pPr>
      <w:r>
        <w:t>常见症状是固定开场、固定长度、单一解法和明显“模型味”。应混入真实、人工、失败和多教师数据，并按任务与难度配平。</w:t>
      </w:r>
    </w:p>
    <w:p>
      <w:pPr>
        <w:pStyle w:val="Heading3"/>
      </w:pPr>
      <w:r>
        <w:rPr>
          <w:b/>
        </w:rPr>
        <w:t>把可读解释等同于真实推理</w:t>
      </w:r>
      <w:r>
        <w:rPr>
          <w:color w:val="5C6876"/>
          <w:sz w:val="18"/>
        </w:rPr>
        <w:t xml:space="preserve">  Rationale Faithfulness</w:t>
      </w:r>
    </w:p>
    <w:p>
      <w:pPr>
        <w:ind w:left="230"/>
      </w:pPr>
      <w:r>
        <w:t>SFT 中的 CoT 是监督序列，不保证忠实反映模型内部计算。面向用户的解释、训练用推理和安全监控信号不一定应完全相同。</w:t>
      </w:r>
    </w:p>
    <w:p>
      <w:pPr>
        <w:pStyle w:val="Heading1"/>
      </w:pPr>
      <w:r>
        <w:t>五、推荐的第一版落地方案</w:t>
      </w:r>
    </w:p>
    <w:p>
      <w:pPr>
        <w:pStyle w:val="ListNumber"/>
        <w:spacing w:after="100"/>
      </w:pPr>
      <w:r>
        <w:t>隔离 10%-20% 的真实任务，只用于最终评测，并另建分布外测试集。</w:t>
      </w:r>
    </w:p>
    <w:p>
      <w:pPr>
        <w:pStyle w:val="ListNumber"/>
        <w:spacing w:after="100"/>
      </w:pPr>
      <w:r>
        <w:t>每个训练任务采样 4-16 条轨迹；所有工具行为在真实环境或可复现沙箱中执行。</w:t>
      </w:r>
    </w:p>
    <w:p>
      <w:pPr>
        <w:pStyle w:val="ListNumber"/>
        <w:spacing w:after="100"/>
      </w:pPr>
      <w:r>
        <w:t>先用规则、测试、数据库状态和执行结果做硬验证，再用独立 judge 检查过程质量。</w:t>
      </w:r>
    </w:p>
    <w:p>
      <w:pPr>
        <w:pStyle w:val="ListNumber"/>
        <w:spacing w:after="100"/>
      </w:pPr>
      <w:r>
        <w:t>同时保存成功、失败与修复轨迹：成功数据做 SFT，同题优劣对做 DPO，步骤标签做过程奖励。</w:t>
      </w:r>
    </w:p>
    <w:p>
      <w:pPr>
        <w:pStyle w:val="ListNumber"/>
        <w:spacing w:after="100"/>
      </w:pPr>
      <w:r>
        <w:t>按任务、难度、长度、工具、结果和语义相似度去重配平，控制合成数据占比。</w:t>
      </w:r>
    </w:p>
    <w:p>
      <w:pPr>
        <w:pStyle w:val="ListNumber"/>
        <w:spacing w:after="100"/>
      </w:pPr>
      <w:r>
        <w:t>做消融实验：原始数据、原始+合成、仅结果验证、全过程验证；只有真实隔离集和分布外测试都提高时才扩量。</w:t>
      </w:r>
    </w:p>
    <w:p>
      <w:pPr>
        <w:pStyle w:val="Heading1"/>
      </w:pPr>
      <w:r>
        <w:t>来源与延伸阅读</w:t>
      </w:r>
    </w:p>
    <w:p>
      <w:pPr>
        <w:pStyle w:val="ListBullet"/>
      </w:pPr>
      <w:hyperlink r:id="rId11">
        <w:r>
          <w:rPr>
            <w:color w:val="2E74B5"/>
            <w:u w:val="single"/>
          </w:rPr>
          <w:t>DeepSeek-R1 官方仓库与技术报告</w:t>
        </w:r>
      </w:hyperlink>
    </w:p>
    <w:p>
      <w:pPr>
        <w:pStyle w:val="ListBullet"/>
      </w:pPr>
      <w:hyperlink r:id="rId12">
        <w:r>
          <w:rPr>
            <w:color w:val="2E74B5"/>
            <w:u w:val="single"/>
          </w:rPr>
          <w:t>DeepSeek-R1 Nature 论文</w:t>
        </w:r>
      </w:hyperlink>
    </w:p>
    <w:p>
      <w:pPr>
        <w:pStyle w:val="ListBullet"/>
      </w:pPr>
      <w:hyperlink r:id="rId13">
        <w:r>
          <w:rPr>
            <w:color w:val="2E74B5"/>
            <w:u w:val="single"/>
          </w:rPr>
          <w:t>Microsoft Phi-4 Technical Report</w:t>
        </w:r>
      </w:hyperlink>
    </w:p>
    <w:p>
      <w:pPr>
        <w:pStyle w:val="ListBullet"/>
      </w:pPr>
      <w:hyperlink r:id="rId14">
        <w:r>
          <w:rPr>
            <w:color w:val="2E74B5"/>
            <w:u w:val="single"/>
          </w:rPr>
          <w:t>Google Research: STaR</w:t>
        </w:r>
      </w:hyperlink>
    </w:p>
    <w:p>
      <w:pPr>
        <w:pStyle w:val="ListBullet"/>
      </w:pPr>
      <w:hyperlink r:id="rId15">
        <w:r>
          <w:rPr>
            <w:color w:val="2E74B5"/>
            <w:u w:val="single"/>
          </w:rPr>
          <w:t>Anthropic: Claude's Constitution / Constitutional AI</w:t>
        </w:r>
      </w:hyperlink>
    </w:p>
    <w:p>
      <w:pPr>
        <w:pStyle w:val="ListBullet"/>
      </w:pPr>
      <w:hyperlink r:id="rId16">
        <w:r>
          <w:rPr>
            <w:color w:val="2E74B5"/>
            <w:u w:val="single"/>
          </w:rPr>
          <w:t>Anthropic: Constitutional Classifiers</w:t>
        </w:r>
      </w:hyperlink>
    </w:p>
    <w:p>
      <w:pPr>
        <w:pStyle w:val="ListBullet"/>
      </w:pPr>
      <w:hyperlink r:id="rId17">
        <w:r>
          <w:rPr>
            <w:color w:val="2E74B5"/>
            <w:u w:val="single"/>
          </w:rPr>
          <w:t>OpenAI: Deliberative alignment</w:t>
        </w:r>
      </w:hyperlink>
    </w:p>
    <w:p>
      <w:pPr>
        <w:pStyle w:val="ListBullet"/>
      </w:pPr>
      <w:hyperlink r:id="rId18">
        <w:r>
          <w:rPr>
            <w:color w:val="2E74B5"/>
            <w:u w:val="single"/>
          </w:rPr>
          <w:t>OpenAI: Improving mathematical reasoning with process supervision</w:t>
        </w:r>
      </w:hyperlink>
    </w:p>
    <w:p>
      <w:pPr>
        <w:pStyle w:val="ListBullet"/>
      </w:pPr>
      <w:hyperlink r:id="rId19">
        <w:r>
          <w:rPr>
            <w:color w:val="2E74B5"/>
            <w:u w:val="single"/>
          </w:rPr>
          <w:t>OpenAI: Detecting misbehavior in frontier reasoning models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轨迹与推理数据增广  ·  2026-08-31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C6876"/>
        <w:sz w:val="16"/>
      </w:rPr>
      <w:t>HARNESS DOCS  /  RESEARCH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epseek-ai/DeepSeek-R1" TargetMode="External"/><Relationship Id="rId12" Type="http://schemas.openxmlformats.org/officeDocument/2006/relationships/hyperlink" Target="https://doi.org/10.1038/s41586-025-09422-z" TargetMode="External"/><Relationship Id="rId13" Type="http://schemas.openxmlformats.org/officeDocument/2006/relationships/hyperlink" Target="https://www.microsoft.com/en-us/research/publication/phi-4-technical-report/" TargetMode="External"/><Relationship Id="rId14" Type="http://schemas.openxmlformats.org/officeDocument/2006/relationships/hyperlink" Target="https://research.google/pubs/star-self-taught-reasoner-bootstrapping-reasoning-with-reasoning/" TargetMode="External"/><Relationship Id="rId15" Type="http://schemas.openxmlformats.org/officeDocument/2006/relationships/hyperlink" Target="https://www.anthropic.com/research/claudes-constitution" TargetMode="External"/><Relationship Id="rId16" Type="http://schemas.openxmlformats.org/officeDocument/2006/relationships/hyperlink" Target="https://www.anthropic.com/news/constitutional-classifiers" TargetMode="External"/><Relationship Id="rId17" Type="http://schemas.openxmlformats.org/officeDocument/2006/relationships/hyperlink" Target="https://openai.com/index/deliberative-alignment/" TargetMode="External"/><Relationship Id="rId18" Type="http://schemas.openxmlformats.org/officeDocument/2006/relationships/hyperlink" Target="https://openai.com/index/improving-mathematical-reasoning-with-process-supervision/" TargetMode="External"/><Relationship Id="rId19" Type="http://schemas.openxmlformats.org/officeDocument/2006/relationships/hyperlink" Target="https://openai.com/index/chain-of-thought-monito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轨迹数据与思维链 SFT 数据增强调研</dc:title>
  <dc:subject>Agent trajectory augmentation, CoT SFT augmentation and public industry practices</dc:subject>
  <dc:creator>Harness Docs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