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C31E1">
      <w:pPr>
        <w:pStyle w:val="2"/>
      </w:pPr>
      <w:bookmarkStart w:id="0" w:name="X79b15abf6319d3691de990169e4f7a51a45f546"/>
      <w:r>
        <w:t>Advanced Layer 3 VPN over Segment Routing (SR-MPLS L3VPN)</w:t>
      </w:r>
    </w:p>
    <w:p w14:paraId="2CDADE28">
      <w:pPr>
        <w:pStyle w:val="24"/>
      </w:pPr>
      <w:r>
        <w:rPr>
          <w:b/>
          <w:bCs/>
        </w:rPr>
        <w:t>Author:</w:t>
      </w:r>
      <w:r>
        <w:t xml:space="preserve"> </w:t>
      </w:r>
      <w:r>
        <w:rPr>
          <w:rFonts w:hint="default"/>
          <w:lang w:val="en-US"/>
        </w:rPr>
        <w:t>Enam Ahmed</w:t>
      </w:r>
      <w:r>
        <w:br w:type="textWrapping"/>
      </w:r>
      <w:r>
        <w:rPr>
          <w:b/>
          <w:bCs/>
        </w:rPr>
        <w:t>Date:</w:t>
      </w:r>
      <w:r>
        <w:t xml:space="preserve"> </w:t>
      </w:r>
      <w:r>
        <w:rPr>
          <w:rFonts w:hint="default"/>
          <w:lang w:val="en-US"/>
        </w:rPr>
        <w:t>June 6</w:t>
      </w:r>
      <w:r>
        <w:t>, 2026</w:t>
      </w:r>
      <w:r>
        <w:br w:type="textWrapping"/>
      </w:r>
      <w:r>
        <w:rPr>
          <w:b/>
          <w:bCs/>
        </w:rPr>
        <w:t>Subject:</w:t>
      </w:r>
      <w:r>
        <w:t xml:space="preserve"> Technical Analysis and Implementation of L3VPN Services over a Segment Routing Infrastructure</w:t>
      </w:r>
      <w:bookmarkStart w:id="13" w:name="_GoBack"/>
      <w:bookmarkEnd w:id="13"/>
    </w:p>
    <w:p w14:paraId="2AA26D92">
      <w:r>
        <w:pict>
          <v:rect id="_x0000_i1025" o:spt="1" style="height:1.5pt;width:0pt;" coordsize="21600,21600" o:hr="t" o:hrstd="t" o:hralign="center">
            <v:path/>
            <v:fill focussize="0,0"/>
            <v:stroke/>
            <v:imagedata o:title=""/>
            <o:lock v:ext="edit"/>
            <w10:wrap type="none"/>
            <w10:anchorlock/>
          </v:rect>
        </w:pict>
      </w:r>
    </w:p>
    <w:p w14:paraId="1D2BD2CB">
      <w:pPr>
        <w:pStyle w:val="4"/>
      </w:pPr>
      <w:bookmarkStart w:id="1" w:name="introduction"/>
      <w:r>
        <w:t>1. Introduction</w:t>
      </w:r>
    </w:p>
    <w:bookmarkEnd w:id="1"/>
    <w:p w14:paraId="6A4FBB2B">
      <w:pPr>
        <w:pStyle w:val="21"/>
        <w:keepNext w:val="0"/>
        <w:keepLines w:val="0"/>
        <w:widowControl/>
        <w:suppressLineNumbers w:val="0"/>
      </w:pPr>
      <w:bookmarkStart w:id="2" w:name="redesigned-network-topology"/>
      <w:r>
        <w:t>Layer 3 VPN (L3VPN) is a fundamental technology used in service provider networks. Previously, these services used a complex combination of protocols: Interior Gateway Protocol (IGP) for network reachability, Label Distribution Protocol (LDP) for transport labels, and Multiprotocol BGP (MP-BGP) for VPN labels. Segment Routing (SR) simplifies this by integrating the transport layer into the IGP. This greatly reduces the complexity of the control plane and improves both scalability and resilience. This document explores the design, deployment, and advanced traffic management features of SR-L3VPN.</w:t>
      </w:r>
    </w:p>
    <w:p w14:paraId="451D4DB6">
      <w:pPr>
        <w:pStyle w:val="4"/>
        <w:numPr>
          <w:ilvl w:val="0"/>
          <w:numId w:val="1"/>
        </w:numPr>
      </w:pPr>
      <w:r>
        <w:t>Network Topology</w:t>
      </w:r>
    </w:p>
    <w:p w14:paraId="7954EB8F">
      <w:pPr>
        <w:pStyle w:val="3"/>
        <w:numPr>
          <w:numId w:val="0"/>
        </w:numPr>
        <w:rPr>
          <w:rFonts w:hint="default"/>
          <w:lang w:val="en-US"/>
        </w:rPr>
      </w:pPr>
      <w:r>
        <w:rPr>
          <w:rFonts w:hint="default"/>
          <w:lang w:val="en-US"/>
        </w:rPr>
        <w:drawing>
          <wp:inline distT="0" distB="0" distL="114300" distR="114300">
            <wp:extent cx="6406515" cy="3714750"/>
            <wp:effectExtent l="0" t="0" r="9525" b="3810"/>
            <wp:docPr id="1" name="Picture 1" descr="L3VPN segment routing networ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3VPN segment routing network diagram"/>
                    <pic:cNvPicPr>
                      <a:picLocks noChangeAspect="1"/>
                    </pic:cNvPicPr>
                  </pic:nvPicPr>
                  <pic:blipFill>
                    <a:blip r:embed="rId5"/>
                    <a:stretch>
                      <a:fillRect/>
                    </a:stretch>
                  </pic:blipFill>
                  <pic:spPr>
                    <a:xfrm>
                      <a:off x="0" y="0"/>
                      <a:ext cx="6406515" cy="3714750"/>
                    </a:xfrm>
                    <a:prstGeom prst="rect">
                      <a:avLst/>
                    </a:prstGeom>
                  </pic:spPr>
                </pic:pic>
              </a:graphicData>
            </a:graphic>
          </wp:inline>
        </w:drawing>
      </w:r>
    </w:p>
    <w:p w14:paraId="47282E62">
      <w:pPr>
        <w:pStyle w:val="5"/>
      </w:pPr>
      <w:bookmarkStart w:id="3" w:name="device-role-and-srgb-mapping"/>
      <w:r>
        <w:t xml:space="preserve"> Device Role and SRGB Mapping</w:t>
      </w:r>
    </w:p>
    <w:tbl>
      <w:tblPr>
        <w:tblStyle w:val="30"/>
        <w:tblW w:w="5000" w:type="pct"/>
        <w:tblInd w:w="0" w:type="dxa"/>
        <w:tblLayout w:type="autofit"/>
        <w:tblCellMar>
          <w:top w:w="0" w:type="dxa"/>
          <w:left w:w="108" w:type="dxa"/>
          <w:bottom w:w="0" w:type="dxa"/>
          <w:right w:w="108" w:type="dxa"/>
        </w:tblCellMar>
      </w:tblPr>
      <w:tblGrid>
        <w:gridCol w:w="886"/>
        <w:gridCol w:w="1673"/>
        <w:gridCol w:w="1312"/>
        <w:gridCol w:w="1835"/>
        <w:gridCol w:w="1682"/>
        <w:gridCol w:w="1468"/>
      </w:tblGrid>
      <w:tr w14:paraId="1F9749BD">
        <w:tblPrEx>
          <w:tblCellMar>
            <w:top w:w="0" w:type="dxa"/>
            <w:left w:w="108" w:type="dxa"/>
            <w:bottom w:w="0" w:type="dxa"/>
            <w:right w:w="108" w:type="dxa"/>
          </w:tblCellMar>
        </w:tblPrEx>
        <w:trPr>
          <w:tblHeader/>
        </w:trPr>
        <w:tc>
          <w:tcPr>
            <w:shd w:val="clear" w:color="auto" w:fill="EEECE1" w:themeFill="background2"/>
          </w:tcPr>
          <w:p w14:paraId="02B62FFB">
            <w:pPr>
              <w:pStyle w:val="25"/>
              <w:jc w:val="left"/>
              <w:rPr>
                <w:sz w:val="22"/>
                <w:szCs w:val="22"/>
              </w:rPr>
            </w:pPr>
            <w:r>
              <w:rPr>
                <w:sz w:val="22"/>
                <w:szCs w:val="22"/>
              </w:rPr>
              <w:t>Device</w:t>
            </w:r>
          </w:p>
        </w:tc>
        <w:tc>
          <w:tcPr>
            <w:shd w:val="clear" w:color="auto" w:fill="EEECE1" w:themeFill="background2"/>
          </w:tcPr>
          <w:p w14:paraId="3DBF58C5">
            <w:pPr>
              <w:pStyle w:val="25"/>
              <w:jc w:val="left"/>
              <w:rPr>
                <w:sz w:val="22"/>
                <w:szCs w:val="22"/>
              </w:rPr>
            </w:pPr>
            <w:r>
              <w:rPr>
                <w:sz w:val="22"/>
                <w:szCs w:val="22"/>
              </w:rPr>
              <w:t>Role</w:t>
            </w:r>
          </w:p>
        </w:tc>
        <w:tc>
          <w:tcPr>
            <w:shd w:val="clear" w:color="auto" w:fill="EEECE1" w:themeFill="background2"/>
          </w:tcPr>
          <w:p w14:paraId="7B32AF67">
            <w:pPr>
              <w:pStyle w:val="25"/>
              <w:jc w:val="left"/>
              <w:rPr>
                <w:sz w:val="22"/>
                <w:szCs w:val="22"/>
              </w:rPr>
            </w:pPr>
            <w:r>
              <w:rPr>
                <w:sz w:val="22"/>
                <w:szCs w:val="22"/>
              </w:rPr>
              <w:t>Loopback0</w:t>
            </w:r>
          </w:p>
        </w:tc>
        <w:tc>
          <w:tcPr>
            <w:shd w:val="clear" w:color="auto" w:fill="EEECE1" w:themeFill="background2"/>
          </w:tcPr>
          <w:p w14:paraId="04AE21FC">
            <w:pPr>
              <w:pStyle w:val="25"/>
              <w:jc w:val="left"/>
              <w:rPr>
                <w:sz w:val="22"/>
                <w:szCs w:val="22"/>
              </w:rPr>
            </w:pPr>
            <w:r>
              <w:rPr>
                <w:sz w:val="22"/>
                <w:szCs w:val="22"/>
              </w:rPr>
              <w:t>Prefix-SID Index</w:t>
            </w:r>
          </w:p>
        </w:tc>
        <w:tc>
          <w:tcPr>
            <w:shd w:val="clear" w:color="auto" w:fill="EEECE1" w:themeFill="background2"/>
          </w:tcPr>
          <w:p w14:paraId="4FECCB62">
            <w:pPr>
              <w:pStyle w:val="25"/>
              <w:jc w:val="left"/>
              <w:rPr>
                <w:sz w:val="22"/>
                <w:szCs w:val="22"/>
              </w:rPr>
            </w:pPr>
            <w:r>
              <w:rPr>
                <w:sz w:val="22"/>
                <w:szCs w:val="22"/>
              </w:rPr>
              <w:t>SRGB Range</w:t>
            </w:r>
          </w:p>
        </w:tc>
        <w:tc>
          <w:tcPr>
            <w:shd w:val="clear" w:color="auto" w:fill="EEECE1" w:themeFill="background2"/>
          </w:tcPr>
          <w:p w14:paraId="2030A14B">
            <w:pPr>
              <w:pStyle w:val="25"/>
              <w:jc w:val="left"/>
              <w:rPr>
                <w:sz w:val="22"/>
                <w:szCs w:val="22"/>
              </w:rPr>
            </w:pPr>
            <w:r>
              <w:rPr>
                <w:sz w:val="22"/>
                <w:szCs w:val="22"/>
              </w:rPr>
              <w:t>Egress Label</w:t>
            </w:r>
          </w:p>
        </w:tc>
      </w:tr>
      <w:tr w14:paraId="790401BC">
        <w:tblPrEx>
          <w:tblCellMar>
            <w:top w:w="0" w:type="dxa"/>
            <w:left w:w="108" w:type="dxa"/>
            <w:bottom w:w="0" w:type="dxa"/>
            <w:right w:w="108" w:type="dxa"/>
          </w:tblCellMar>
        </w:tblPrEx>
        <w:tc>
          <w:p w14:paraId="1C8DAE7C">
            <w:pPr>
              <w:pStyle w:val="25"/>
              <w:jc w:val="left"/>
              <w:rPr>
                <w:sz w:val="22"/>
                <w:szCs w:val="22"/>
              </w:rPr>
            </w:pPr>
            <w:r>
              <w:rPr>
                <w:b/>
                <w:bCs/>
                <w:sz w:val="22"/>
                <w:szCs w:val="22"/>
              </w:rPr>
              <w:t>XRV1</w:t>
            </w:r>
          </w:p>
        </w:tc>
        <w:tc>
          <w:p w14:paraId="7C97BE5E">
            <w:pPr>
              <w:pStyle w:val="25"/>
              <w:jc w:val="left"/>
              <w:rPr>
                <w:sz w:val="22"/>
                <w:szCs w:val="22"/>
              </w:rPr>
            </w:pPr>
            <w:r>
              <w:rPr>
                <w:sz w:val="22"/>
                <w:szCs w:val="22"/>
              </w:rPr>
              <w:t>PE (Head-end)</w:t>
            </w:r>
          </w:p>
        </w:tc>
        <w:tc>
          <w:p w14:paraId="19E694BB">
            <w:pPr>
              <w:pStyle w:val="25"/>
              <w:jc w:val="left"/>
              <w:rPr>
                <w:sz w:val="22"/>
                <w:szCs w:val="22"/>
              </w:rPr>
            </w:pPr>
            <w:r>
              <w:rPr>
                <w:sz w:val="22"/>
                <w:szCs w:val="22"/>
              </w:rPr>
              <w:t>1.1.1.1/32</w:t>
            </w:r>
          </w:p>
        </w:tc>
        <w:tc>
          <w:p w14:paraId="6D6E1170">
            <w:pPr>
              <w:pStyle w:val="25"/>
              <w:jc w:val="left"/>
              <w:rPr>
                <w:sz w:val="22"/>
                <w:szCs w:val="22"/>
              </w:rPr>
            </w:pPr>
            <w:r>
              <w:rPr>
                <w:sz w:val="22"/>
                <w:szCs w:val="22"/>
              </w:rPr>
              <w:t>1</w:t>
            </w:r>
          </w:p>
        </w:tc>
        <w:tc>
          <w:p w14:paraId="038F7D67">
            <w:pPr>
              <w:pStyle w:val="25"/>
              <w:jc w:val="left"/>
              <w:rPr>
                <w:sz w:val="22"/>
                <w:szCs w:val="22"/>
              </w:rPr>
            </w:pPr>
            <w:r>
              <w:rPr>
                <w:sz w:val="22"/>
                <w:szCs w:val="22"/>
              </w:rPr>
              <w:t>16000 - 23999</w:t>
            </w:r>
          </w:p>
        </w:tc>
        <w:tc>
          <w:p w14:paraId="1A66B290">
            <w:pPr>
              <w:pStyle w:val="25"/>
              <w:jc w:val="left"/>
              <w:rPr>
                <w:sz w:val="22"/>
                <w:szCs w:val="22"/>
              </w:rPr>
            </w:pPr>
            <w:r>
              <w:rPr>
                <w:sz w:val="22"/>
                <w:szCs w:val="22"/>
              </w:rPr>
              <w:t>16001</w:t>
            </w:r>
          </w:p>
        </w:tc>
      </w:tr>
      <w:tr w14:paraId="565278FD">
        <w:tblPrEx>
          <w:tblCellMar>
            <w:top w:w="0" w:type="dxa"/>
            <w:left w:w="108" w:type="dxa"/>
            <w:bottom w:w="0" w:type="dxa"/>
            <w:right w:w="108" w:type="dxa"/>
          </w:tblCellMar>
        </w:tblPrEx>
        <w:tc>
          <w:p w14:paraId="66D00BB6">
            <w:pPr>
              <w:pStyle w:val="25"/>
              <w:jc w:val="left"/>
              <w:rPr>
                <w:sz w:val="22"/>
                <w:szCs w:val="22"/>
              </w:rPr>
            </w:pPr>
            <w:r>
              <w:rPr>
                <w:b/>
                <w:bCs/>
                <w:sz w:val="22"/>
                <w:szCs w:val="22"/>
              </w:rPr>
              <w:t>XRV2</w:t>
            </w:r>
          </w:p>
        </w:tc>
        <w:tc>
          <w:p w14:paraId="11A73248">
            <w:pPr>
              <w:pStyle w:val="25"/>
              <w:jc w:val="left"/>
              <w:rPr>
                <w:sz w:val="22"/>
                <w:szCs w:val="22"/>
              </w:rPr>
            </w:pPr>
            <w:r>
              <w:rPr>
                <w:sz w:val="22"/>
                <w:szCs w:val="22"/>
              </w:rPr>
              <w:t>P (Transit)</w:t>
            </w:r>
          </w:p>
        </w:tc>
        <w:tc>
          <w:p w14:paraId="7EB47E9D">
            <w:pPr>
              <w:pStyle w:val="25"/>
              <w:jc w:val="left"/>
              <w:rPr>
                <w:sz w:val="22"/>
                <w:szCs w:val="22"/>
              </w:rPr>
            </w:pPr>
            <w:r>
              <w:rPr>
                <w:sz w:val="22"/>
                <w:szCs w:val="22"/>
              </w:rPr>
              <w:t>2.2.2.2/32</w:t>
            </w:r>
          </w:p>
        </w:tc>
        <w:tc>
          <w:p w14:paraId="3D99C3FA">
            <w:pPr>
              <w:pStyle w:val="25"/>
              <w:jc w:val="left"/>
              <w:rPr>
                <w:sz w:val="22"/>
                <w:szCs w:val="22"/>
              </w:rPr>
            </w:pPr>
            <w:r>
              <w:rPr>
                <w:sz w:val="22"/>
                <w:szCs w:val="22"/>
              </w:rPr>
              <w:t>2</w:t>
            </w:r>
          </w:p>
        </w:tc>
        <w:tc>
          <w:p w14:paraId="1938C163">
            <w:pPr>
              <w:pStyle w:val="25"/>
              <w:jc w:val="left"/>
              <w:rPr>
                <w:sz w:val="22"/>
                <w:szCs w:val="22"/>
              </w:rPr>
            </w:pPr>
            <w:r>
              <w:rPr>
                <w:sz w:val="22"/>
                <w:szCs w:val="22"/>
              </w:rPr>
              <w:t>16000 - 23999</w:t>
            </w:r>
          </w:p>
        </w:tc>
        <w:tc>
          <w:p w14:paraId="53841A33">
            <w:pPr>
              <w:pStyle w:val="25"/>
              <w:jc w:val="left"/>
              <w:rPr>
                <w:sz w:val="22"/>
                <w:szCs w:val="22"/>
              </w:rPr>
            </w:pPr>
            <w:r>
              <w:rPr>
                <w:rFonts w:hint="default"/>
                <w:sz w:val="22"/>
                <w:szCs w:val="22"/>
                <w:lang w:val="en-US"/>
              </w:rPr>
              <w:t>16</w:t>
            </w:r>
            <w:r>
              <w:rPr>
                <w:sz w:val="22"/>
                <w:szCs w:val="22"/>
              </w:rPr>
              <w:t>002</w:t>
            </w:r>
          </w:p>
        </w:tc>
      </w:tr>
      <w:tr w14:paraId="4D37E0A5">
        <w:tblPrEx>
          <w:tblCellMar>
            <w:top w:w="0" w:type="dxa"/>
            <w:left w:w="108" w:type="dxa"/>
            <w:bottom w:w="0" w:type="dxa"/>
            <w:right w:w="108" w:type="dxa"/>
          </w:tblCellMar>
        </w:tblPrEx>
        <w:tc>
          <w:p w14:paraId="3A36B811">
            <w:pPr>
              <w:pStyle w:val="25"/>
              <w:jc w:val="left"/>
              <w:rPr>
                <w:sz w:val="22"/>
                <w:szCs w:val="22"/>
              </w:rPr>
            </w:pPr>
            <w:r>
              <w:rPr>
                <w:b/>
                <w:bCs/>
                <w:sz w:val="22"/>
                <w:szCs w:val="22"/>
              </w:rPr>
              <w:t>XRV3</w:t>
            </w:r>
          </w:p>
        </w:tc>
        <w:tc>
          <w:p w14:paraId="59A6674E">
            <w:pPr>
              <w:pStyle w:val="25"/>
              <w:jc w:val="left"/>
              <w:rPr>
                <w:sz w:val="22"/>
                <w:szCs w:val="22"/>
              </w:rPr>
            </w:pPr>
            <w:r>
              <w:rPr>
                <w:sz w:val="22"/>
                <w:szCs w:val="22"/>
              </w:rPr>
              <w:t>P (Transit)</w:t>
            </w:r>
          </w:p>
        </w:tc>
        <w:tc>
          <w:p w14:paraId="3F649597">
            <w:pPr>
              <w:pStyle w:val="25"/>
              <w:jc w:val="left"/>
              <w:rPr>
                <w:sz w:val="22"/>
                <w:szCs w:val="22"/>
              </w:rPr>
            </w:pPr>
            <w:r>
              <w:rPr>
                <w:sz w:val="22"/>
                <w:szCs w:val="22"/>
              </w:rPr>
              <w:t>3.3.3.3/32</w:t>
            </w:r>
          </w:p>
        </w:tc>
        <w:tc>
          <w:p w14:paraId="3CD15F4A">
            <w:pPr>
              <w:pStyle w:val="25"/>
              <w:jc w:val="left"/>
              <w:rPr>
                <w:sz w:val="22"/>
                <w:szCs w:val="22"/>
              </w:rPr>
            </w:pPr>
            <w:r>
              <w:rPr>
                <w:sz w:val="22"/>
                <w:szCs w:val="22"/>
              </w:rPr>
              <w:t>3</w:t>
            </w:r>
          </w:p>
        </w:tc>
        <w:tc>
          <w:p w14:paraId="5E8609C5">
            <w:pPr>
              <w:pStyle w:val="25"/>
              <w:jc w:val="left"/>
              <w:rPr>
                <w:sz w:val="22"/>
                <w:szCs w:val="22"/>
              </w:rPr>
            </w:pPr>
            <w:r>
              <w:rPr>
                <w:sz w:val="22"/>
                <w:szCs w:val="22"/>
              </w:rPr>
              <w:t>16000 - 23999</w:t>
            </w:r>
          </w:p>
        </w:tc>
        <w:tc>
          <w:p w14:paraId="33B6ABF1">
            <w:pPr>
              <w:pStyle w:val="25"/>
              <w:jc w:val="left"/>
              <w:rPr>
                <w:sz w:val="22"/>
                <w:szCs w:val="22"/>
              </w:rPr>
            </w:pPr>
            <w:r>
              <w:rPr>
                <w:rFonts w:hint="default"/>
                <w:sz w:val="22"/>
                <w:szCs w:val="22"/>
                <w:lang w:val="en-US"/>
              </w:rPr>
              <w:t>16</w:t>
            </w:r>
            <w:r>
              <w:rPr>
                <w:sz w:val="22"/>
                <w:szCs w:val="22"/>
              </w:rPr>
              <w:t>003</w:t>
            </w:r>
          </w:p>
        </w:tc>
      </w:tr>
      <w:tr w14:paraId="4FBE2567">
        <w:tblPrEx>
          <w:tblCellMar>
            <w:top w:w="0" w:type="dxa"/>
            <w:left w:w="108" w:type="dxa"/>
            <w:bottom w:w="0" w:type="dxa"/>
            <w:right w:w="108" w:type="dxa"/>
          </w:tblCellMar>
        </w:tblPrEx>
        <w:tc>
          <w:p w14:paraId="06F66158">
            <w:pPr>
              <w:pStyle w:val="25"/>
              <w:jc w:val="left"/>
              <w:rPr>
                <w:sz w:val="22"/>
                <w:szCs w:val="22"/>
              </w:rPr>
            </w:pPr>
            <w:r>
              <w:rPr>
                <w:b/>
                <w:bCs/>
                <w:sz w:val="22"/>
                <w:szCs w:val="22"/>
              </w:rPr>
              <w:t>XRV4</w:t>
            </w:r>
          </w:p>
        </w:tc>
        <w:tc>
          <w:p w14:paraId="205288F8">
            <w:pPr>
              <w:pStyle w:val="25"/>
              <w:jc w:val="left"/>
              <w:rPr>
                <w:sz w:val="22"/>
                <w:szCs w:val="22"/>
              </w:rPr>
            </w:pPr>
            <w:r>
              <w:rPr>
                <w:sz w:val="22"/>
                <w:szCs w:val="22"/>
              </w:rPr>
              <w:t>PE (Tail-end)</w:t>
            </w:r>
          </w:p>
        </w:tc>
        <w:tc>
          <w:p w14:paraId="339E9AAA">
            <w:pPr>
              <w:pStyle w:val="25"/>
              <w:jc w:val="left"/>
              <w:rPr>
                <w:sz w:val="22"/>
                <w:szCs w:val="22"/>
              </w:rPr>
            </w:pPr>
            <w:r>
              <w:rPr>
                <w:sz w:val="22"/>
                <w:szCs w:val="22"/>
              </w:rPr>
              <w:t>4.4.4.4/32</w:t>
            </w:r>
          </w:p>
        </w:tc>
        <w:tc>
          <w:p w14:paraId="3587A76B">
            <w:pPr>
              <w:pStyle w:val="25"/>
              <w:jc w:val="left"/>
              <w:rPr>
                <w:sz w:val="22"/>
                <w:szCs w:val="22"/>
              </w:rPr>
            </w:pPr>
            <w:r>
              <w:rPr>
                <w:sz w:val="22"/>
                <w:szCs w:val="22"/>
              </w:rPr>
              <w:t>4</w:t>
            </w:r>
          </w:p>
        </w:tc>
        <w:tc>
          <w:p w14:paraId="2D34BF2D">
            <w:pPr>
              <w:pStyle w:val="25"/>
              <w:jc w:val="left"/>
              <w:rPr>
                <w:sz w:val="22"/>
                <w:szCs w:val="22"/>
              </w:rPr>
            </w:pPr>
            <w:r>
              <w:rPr>
                <w:sz w:val="22"/>
                <w:szCs w:val="22"/>
              </w:rPr>
              <w:t>16000 - 23999</w:t>
            </w:r>
          </w:p>
        </w:tc>
        <w:tc>
          <w:p w14:paraId="49D0152A">
            <w:pPr>
              <w:pStyle w:val="25"/>
              <w:jc w:val="left"/>
              <w:rPr>
                <w:sz w:val="22"/>
                <w:szCs w:val="22"/>
              </w:rPr>
            </w:pPr>
            <w:r>
              <w:rPr>
                <w:rFonts w:hint="default"/>
                <w:sz w:val="22"/>
                <w:szCs w:val="22"/>
                <w:lang w:val="en-US"/>
              </w:rPr>
              <w:t>16</w:t>
            </w:r>
            <w:r>
              <w:rPr>
                <w:sz w:val="22"/>
                <w:szCs w:val="22"/>
              </w:rPr>
              <w:t>004</w:t>
            </w:r>
          </w:p>
        </w:tc>
      </w:tr>
      <w:bookmarkEnd w:id="2"/>
      <w:bookmarkEnd w:id="3"/>
    </w:tbl>
    <w:p w14:paraId="4198191C">
      <w:pPr>
        <w:pStyle w:val="4"/>
      </w:pPr>
      <w:bookmarkStart w:id="4" w:name="X5d69673621435b14c628b7462a9b1a36ffd1b13"/>
      <w:r>
        <w:t>3. Technical Deep Dive: The BGP Prefix-SID Attribute</w:t>
      </w:r>
    </w:p>
    <w:p w14:paraId="23BC1354">
      <w:pPr>
        <w:pStyle w:val="21"/>
        <w:keepNext w:val="0"/>
        <w:keepLines w:val="0"/>
        <w:widowControl/>
        <w:suppressLineNumbers w:val="0"/>
      </w:pPr>
      <w:bookmarkStart w:id="5" w:name="bgp-lu-vs.-bgp-prefix-sid"/>
      <w:r>
        <w:t>The BGP Prefix-SID Attribute (RFC 8669) is a major improvement in SR-L3VPN. This optional feature allows BGP to signal segment identifiers for the prefixes it advertises.</w:t>
      </w:r>
    </w:p>
    <w:p w14:paraId="0875803E">
      <w:pPr>
        <w:pStyle w:val="5"/>
      </w:pPr>
      <w:r>
        <w:t>3.1 BGP-LU vs. BGP Prefix-SID</w:t>
      </w:r>
    </w:p>
    <w:bookmarkEnd w:id="4"/>
    <w:bookmarkEnd w:id="5"/>
    <w:p w14:paraId="5F8280A2">
      <w:pPr>
        <w:pStyle w:val="21"/>
        <w:keepNext w:val="0"/>
        <w:keepLines w:val="0"/>
        <w:widowControl/>
        <w:suppressLineNumbers w:val="0"/>
      </w:pPr>
      <w:bookmarkStart w:id="6" w:name="implementation-strategy"/>
      <w:r>
        <w:t>BGP-LU (Labeled Unicast) traditionally distributed transport labels in Inter-AS Option C or large network designs. However, it generated a new label for each prefix at every hop, leading to increased network overhead. In contrast, BGP Prefix-SID uses a Global Index instead of a local label. This means every router in the domain uses the same index to calculate the label based on its local SRGB. As a result, a single, consistent label is maintained for a prefix across the entire domain, regardless of the number of hops.</w:t>
      </w:r>
    </w:p>
    <w:p w14:paraId="08C94D63">
      <w:pPr>
        <w:pStyle w:val="4"/>
      </w:pPr>
      <w:r>
        <w:t>4. Implementation Strategy</w:t>
      </w:r>
    </w:p>
    <w:p w14:paraId="4FA3EEDD">
      <w:pPr>
        <w:pStyle w:val="24"/>
        <w:rPr>
          <w:rFonts w:hint="default" w:ascii="Times New Roman" w:hAnsi="Times New Roman" w:cs="Times New Roman"/>
        </w:rPr>
      </w:pPr>
      <w:r>
        <w:rPr>
          <w:rFonts w:hint="default" w:ascii="Times New Roman" w:hAnsi="Times New Roman" w:cs="Times New Roman"/>
        </w:rPr>
        <w:t xml:space="preserve">The deployment follows a layered approach: </w:t>
      </w:r>
    </w:p>
    <w:p w14:paraId="01105F29">
      <w:pPr>
        <w:pStyle w:val="24"/>
        <w:numPr>
          <w:ilvl w:val="0"/>
          <w:numId w:val="2"/>
        </w:numPr>
        <w:ind w:left="420" w:leftChars="0" w:hanging="420" w:firstLineChars="0"/>
        <w:rPr>
          <w:rFonts w:hint="default" w:ascii="Times New Roman" w:hAnsi="Times New Roman" w:cs="Times New Roman"/>
          <w:color w:val="C0504D" w:themeColor="accent2"/>
          <w14:textFill>
            <w14:solidFill>
              <w14:schemeClr w14:val="accent2"/>
            </w14:solidFill>
          </w14:textFill>
        </w:rPr>
      </w:pPr>
      <w:r>
        <w:rPr>
          <w:rFonts w:hint="default" w:ascii="Times New Roman" w:hAnsi="Times New Roman" w:cs="Times New Roman"/>
          <w:color w:val="C0504D" w:themeColor="accent2"/>
          <w14:textFill>
            <w14:solidFill>
              <w14:schemeClr w14:val="accent2"/>
            </w14:solidFill>
          </w14:textFill>
        </w:rPr>
        <w:t xml:space="preserve">Underlay (IGP+SR), </w:t>
      </w:r>
    </w:p>
    <w:p w14:paraId="1231C262">
      <w:pPr>
        <w:pStyle w:val="24"/>
        <w:numPr>
          <w:ilvl w:val="0"/>
          <w:numId w:val="2"/>
        </w:numPr>
        <w:ind w:left="420" w:leftChars="0" w:hanging="420" w:firstLineChars="0"/>
        <w:rPr>
          <w:rFonts w:hint="default" w:ascii="Times New Roman" w:hAnsi="Times New Roman" w:cs="Times New Roman"/>
          <w:color w:val="C0504D" w:themeColor="accent2"/>
          <w14:textFill>
            <w14:solidFill>
              <w14:schemeClr w14:val="accent2"/>
            </w14:solidFill>
          </w14:textFill>
        </w:rPr>
      </w:pPr>
      <w:r>
        <w:rPr>
          <w:rFonts w:hint="default" w:ascii="Times New Roman" w:hAnsi="Times New Roman" w:cs="Times New Roman"/>
          <w:color w:val="C0504D" w:themeColor="accent2"/>
          <w14:textFill>
            <w14:solidFill>
              <w14:schemeClr w14:val="accent2"/>
            </w14:solidFill>
          </w14:textFill>
        </w:rPr>
        <w:t xml:space="preserve">Overlay (MP-BGP), </w:t>
      </w:r>
    </w:p>
    <w:p w14:paraId="52F90567">
      <w:pPr>
        <w:pStyle w:val="24"/>
        <w:numPr>
          <w:ilvl w:val="0"/>
          <w:numId w:val="2"/>
        </w:numPr>
        <w:ind w:left="420" w:leftChars="0" w:hanging="420" w:firstLineChars="0"/>
        <w:rPr>
          <w:rFonts w:hint="default" w:ascii="Times New Roman" w:hAnsi="Times New Roman" w:cs="Times New Roman"/>
          <w:color w:val="C0504D" w:themeColor="accent2"/>
          <w14:textFill>
            <w14:solidFill>
              <w14:schemeClr w14:val="accent2"/>
            </w14:solidFill>
          </w14:textFill>
        </w:rPr>
      </w:pPr>
      <w:r>
        <w:rPr>
          <w:rFonts w:hint="default" w:ascii="Times New Roman" w:hAnsi="Times New Roman" w:cs="Times New Roman"/>
          <w:color w:val="C0504D" w:themeColor="accent2"/>
          <w14:textFill>
            <w14:solidFill>
              <w14:schemeClr w14:val="accent2"/>
            </w14:solidFill>
          </w14:textFill>
        </w:rPr>
        <w:t>Service (VRF).</w:t>
      </w:r>
    </w:p>
    <w:p w14:paraId="4048B7DB">
      <w:pPr>
        <w:pStyle w:val="5"/>
      </w:pPr>
      <w:bookmarkStart w:id="7" w:name="underlay-activation"/>
      <w:r>
        <w:t>4.1 Underlay Activation</w:t>
      </w:r>
    </w:p>
    <w:p w14:paraId="45C037D1">
      <w:pPr>
        <w:pStyle w:val="24"/>
        <w:rPr>
          <w:rFonts w:hint="default" w:ascii="Times New Roman" w:hAnsi="Times New Roman" w:cs="Times New Roman"/>
        </w:rPr>
      </w:pPr>
      <w:r>
        <w:rPr>
          <w:rFonts w:hint="default" w:ascii="Times New Roman" w:hAnsi="Times New Roman" w:cs="Times New Roman"/>
        </w:rPr>
        <w:t xml:space="preserve">Enable SR within the IGP (OSPF ). </w:t>
      </w:r>
    </w:p>
    <w:bookmarkEnd w:id="7"/>
    <w:p w14:paraId="5CF9A8F2">
      <w:pPr>
        <w:pStyle w:val="5"/>
      </w:pPr>
      <w:bookmarkStart w:id="8" w:name="overlay-and-service-configuration"/>
      <w:r>
        <w:t>4.2 Overlay and Service Configuration</w:t>
      </w:r>
    </w:p>
    <w:p w14:paraId="33291CBD">
      <w:pPr>
        <w:pStyle w:val="24"/>
        <w:rPr>
          <w:rFonts w:hint="default"/>
          <w:lang w:val="en-US"/>
        </w:rPr>
      </w:pPr>
      <w:r>
        <w:rPr>
          <w:rFonts w:hint="default" w:ascii="Times New Roman" w:hAnsi="Times New Roman" w:cs="Times New Roman"/>
        </w:rPr>
        <w:t>MP-BGP VPNv4 sessions are established between PEs. VRFs are configured with Route Targets (RT) to control prefix import/export.</w:t>
      </w:r>
    </w:p>
    <w:p w14:paraId="1CFAFCE7">
      <w:pPr>
        <w:pStyle w:val="3"/>
        <w:rPr>
          <w:rFonts w:hint="default"/>
        </w:rPr>
      </w:pPr>
    </w:p>
    <w:bookmarkEnd w:id="6"/>
    <w:bookmarkEnd w:id="8"/>
    <w:p w14:paraId="2C8F153C">
      <w:pPr>
        <w:pStyle w:val="4"/>
      </w:pPr>
      <w:bookmarkStart w:id="9" w:name="verification-and-label-operations"/>
      <w:r>
        <w:t>5. Verification and Label Operations</w:t>
      </w:r>
    </w:p>
    <w:p w14:paraId="0D12AA89">
      <w:pPr>
        <w:pStyle w:val="24"/>
      </w:pPr>
      <w:r>
        <w:t xml:space="preserve">In an SR-L3VPN, a packet carries a </w:t>
      </w:r>
      <w:r>
        <w:rPr>
          <w:b/>
          <w:bCs/>
        </w:rPr>
        <w:t>2-label stack</w:t>
      </w:r>
      <w:r>
        <w:t>.</w:t>
      </w:r>
    </w:p>
    <w:p w14:paraId="2109EA4D">
      <w:pPr>
        <w:pStyle w:val="25"/>
        <w:numPr>
          <w:ilvl w:val="0"/>
          <w:numId w:val="3"/>
        </w:numPr>
        <w:rPr>
          <w:rFonts w:hint="default" w:ascii="Times New Roman" w:hAnsi="Times New Roman" w:cs="Times New Roman"/>
        </w:rPr>
      </w:pPr>
      <w:r>
        <w:rPr>
          <w:rFonts w:hint="default" w:ascii="Times New Roman" w:hAnsi="Times New Roman" w:cs="Times New Roman"/>
          <w:b/>
          <w:bCs/>
        </w:rPr>
        <w:t>Top Label (Transport):</w:t>
      </w:r>
      <w:r>
        <w:rPr>
          <w:rFonts w:hint="default" w:ascii="Times New Roman" w:hAnsi="Times New Roman" w:cs="Times New Roman"/>
        </w:rPr>
        <w:t xml:space="preserve"> The Prefix-SID of the egress PE (XRV4). In this lab, if XRV1 sends to XRV4, the top label is </w:t>
      </w:r>
      <w:r>
        <w:rPr>
          <w:rStyle w:val="37"/>
          <w:rFonts w:hint="default" w:ascii="Times New Roman" w:hAnsi="Times New Roman" w:cs="Times New Roman"/>
          <w:lang w:val="en-US"/>
        </w:rPr>
        <w:t>16</w:t>
      </w:r>
      <w:r>
        <w:rPr>
          <w:rStyle w:val="37"/>
          <w:rFonts w:hint="default" w:ascii="Times New Roman" w:hAnsi="Times New Roman" w:cs="Times New Roman"/>
        </w:rPr>
        <w:t>004</w:t>
      </w:r>
      <w:r>
        <w:rPr>
          <w:rFonts w:hint="default" w:ascii="Times New Roman" w:hAnsi="Times New Roman" w:cs="Times New Roman"/>
        </w:rPr>
        <w:t>.</w:t>
      </w:r>
    </w:p>
    <w:p w14:paraId="0A80E400">
      <w:pPr>
        <w:pStyle w:val="25"/>
        <w:numPr>
          <w:ilvl w:val="0"/>
          <w:numId w:val="3"/>
        </w:numPr>
        <w:rPr>
          <w:rFonts w:hint="default" w:ascii="Times New Roman" w:hAnsi="Times New Roman" w:cs="Times New Roman"/>
        </w:rPr>
      </w:pPr>
      <w:r>
        <w:rPr>
          <w:rFonts w:hint="default" w:ascii="Times New Roman" w:hAnsi="Times New Roman" w:cs="Times New Roman"/>
          <w:b/>
          <w:bCs/>
        </w:rPr>
        <w:t>Bottom Label (VPN):</w:t>
      </w:r>
      <w:r>
        <w:rPr>
          <w:rFonts w:hint="default" w:ascii="Times New Roman" w:hAnsi="Times New Roman" w:cs="Times New Roman"/>
        </w:rPr>
        <w:t xml:space="preserve"> The label allocated by MP-BGP for the specific VRF prefix (e.g., </w:t>
      </w:r>
      <w:r>
        <w:rPr>
          <w:rStyle w:val="37"/>
          <w:rFonts w:hint="default" w:ascii="Times New Roman" w:hAnsi="Times New Roman" w:cs="Times New Roman"/>
        </w:rPr>
        <w:t>24002</w:t>
      </w:r>
      <w:r>
        <w:rPr>
          <w:rFonts w:hint="default" w:ascii="Times New Roman" w:hAnsi="Times New Roman" w:cs="Times New Roman"/>
        </w:rPr>
        <w:t>).</w:t>
      </w:r>
    </w:p>
    <w:p w14:paraId="07E9B046">
      <w:pPr>
        <w:pStyle w:val="5"/>
      </w:pPr>
      <w:bookmarkStart w:id="10" w:name="the-penultimate-hop-popping-php-behavior"/>
      <w:r>
        <w:t>5.1 The “Penultimate Hop Popping” (PHP) Behavior</w:t>
      </w:r>
    </w:p>
    <w:p w14:paraId="6E0988C2">
      <w:pPr>
        <w:pStyle w:val="24"/>
        <w:rPr>
          <w:rFonts w:hint="default" w:asciiTheme="majorHAnsi" w:hAnsiTheme="majorHAnsi" w:eastAsiaTheme="majorEastAsia" w:cstheme="majorBidi"/>
          <w:b/>
          <w:bCs/>
          <w:color w:val="4F81BD" w:themeColor="accent1"/>
          <w:sz w:val="28"/>
          <w:szCs w:val="28"/>
          <w:lang w:val="en-US" w:eastAsia="en-US" w:bidi="ar-SA"/>
        </w:rPr>
      </w:pPr>
      <w:r>
        <w:t xml:space="preserve">In SR-MPLS, the behavior of the top label depends on the configuration. If PHP is enabled, the penultimate router (XRV2 or XRV3) will pop the transport label, and the egress PE (XRV4) receives only the VPN label. However, in modern SR designs, </w:t>
      </w:r>
      <w:r>
        <w:rPr>
          <w:b/>
          <w:bCs/>
        </w:rPr>
        <w:t>Uniform Propagation</w:t>
      </w:r>
      <w:r>
        <w:t xml:space="preserve"> or </w:t>
      </w:r>
      <w:r>
        <w:rPr>
          <w:b/>
          <w:bCs/>
        </w:rPr>
        <w:t>Explicit Null</w:t>
      </w:r>
      <w:r>
        <w:t xml:space="preserve"> is often preferred to maintain the full label stack for OAM visibility.</w:t>
      </w:r>
      <w:r>
        <w:br w:type="textWrapping"/>
      </w:r>
      <w:r>
        <w:br w:type="textWrapping"/>
      </w:r>
      <w:r>
        <w:rPr>
          <w:rFonts w:hint="default" w:asciiTheme="majorHAnsi" w:hAnsiTheme="majorHAnsi" w:eastAsiaTheme="majorEastAsia" w:cstheme="majorBidi"/>
          <w:b/>
          <w:bCs/>
          <w:color w:val="4F81BD" w:themeColor="accent1"/>
          <w:sz w:val="28"/>
          <w:szCs w:val="28"/>
          <w:lang w:val="en-US" w:eastAsia="en-US" w:bidi="ar-SA"/>
        </w:rPr>
        <w:t>6. Configuration Details</w:t>
      </w:r>
    </w:p>
    <w:p w14:paraId="44146178">
      <w:pPr>
        <w:pStyle w:val="3"/>
        <w:rPr>
          <w:rFonts w:hint="default"/>
          <w:lang w:val="en-US"/>
        </w:rPr>
      </w:pPr>
    </w:p>
    <w:p w14:paraId="73219299">
      <w:pPr>
        <w:pStyle w:val="3"/>
        <w:rPr>
          <w:rFonts w:hint="default"/>
          <w:lang w:val="en-US"/>
        </w:rPr>
      </w:pPr>
    </w:p>
    <w:bookmarkEnd w:id="9"/>
    <w:bookmarkEnd w:id="10"/>
    <w:p w14:paraId="61F18CEC">
      <w:pPr>
        <w:pStyle w:val="4"/>
      </w:pPr>
      <w:bookmarkStart w:id="11" w:name="conclusion"/>
      <w:r>
        <w:rPr>
          <w:rFonts w:hint="default"/>
          <w:lang w:val="en-US"/>
        </w:rPr>
        <w:t>7</w:t>
      </w:r>
      <w:r>
        <w:t>. Conclusion</w:t>
      </w:r>
    </w:p>
    <w:p w14:paraId="30F1B2E1">
      <w:pPr>
        <w:pStyle w:val="24"/>
      </w:pPr>
      <w:r>
        <w:t>SR-MPLS L3VPN represents the pinnacle of service provider network evolution. By leveraging the BGP Prefix-SID attribute and consolidating transport into the IGP, operators can achieve massive scale, 100% coverage for fast-reroute (via TI-LFA), and a simplified operational model that is ready for the demands of 5G and cloud-scale networking.</w:t>
      </w:r>
    </w:p>
    <w:p w14:paraId="4E4F1615">
      <w:r>
        <w:pict>
          <v:rect id="_x0000_i1026" o:spt="1" style="height:1.5pt;width:0pt;" coordsize="21600,21600" o:hr="t" o:hrstd="t" o:hralign="center">
            <v:path/>
            <v:fill focussize="0,0"/>
            <v:stroke/>
            <v:imagedata o:title=""/>
            <o:lock v:ext="edit"/>
            <w10:wrap type="none"/>
            <w10:anchorlock/>
          </v:rect>
        </w:pict>
      </w:r>
    </w:p>
    <w:bookmarkEnd w:id="11"/>
    <w:p w14:paraId="63C3F08E">
      <w:pPr>
        <w:pStyle w:val="25"/>
        <w:numPr>
          <w:numId w:val="0"/>
        </w:numPr>
        <w:ind w:left="240" w:leftChars="0"/>
      </w:pPr>
      <w:bookmarkStart w:id="12" w:name="references"/>
    </w:p>
    <w:bookmarkEnd w:id="0"/>
    <w:bookmarkEnd w:id="12"/>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8E23E1"/>
    <w:multiLevelType w:val="singleLevel"/>
    <w:tmpl w:val="B68E23E1"/>
    <w:lvl w:ilvl="0" w:tentative="0">
      <w:start w:val="2"/>
      <w:numFmt w:val="decimal"/>
      <w:suff w:val="space"/>
      <w:lvlText w:val="%1."/>
      <w:lvlJc w:val="left"/>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84C9951"/>
    <w:multiLevelType w:val="singleLevel"/>
    <w:tmpl w:val="084C995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2"/>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048A44A4"/>
    <w:rsid w:val="08EE53ED"/>
    <w:rsid w:val="1DCD4EF1"/>
    <w:rsid w:val="27856599"/>
    <w:rsid w:val="31E632A0"/>
    <w:rsid w:val="3E0575D8"/>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qFormat/>
    <w:uiPriority w:val="0"/>
    <w:rPr>
      <w:color w:val="4F81BD" w:themeColor="accent1"/>
    </w:rPr>
  </w:style>
  <w:style w:type="paragraph" w:styleId="21">
    <w:name w:val="Normal (Web)"/>
    <w:uiPriority w:val="0"/>
    <w:pPr>
      <w:spacing w:before="0" w:beforeAutospacing="1" w:after="0" w:afterAutospacing="1"/>
      <w:ind w:left="0" w:right="0"/>
      <w:jc w:val="left"/>
    </w:pPr>
    <w:rPr>
      <w:kern w:val="0"/>
      <w:sz w:val="24"/>
      <w:szCs w:val="24"/>
      <w:lang w:val="en-US" w:eastAsia="zh-CN" w:bidi="ar"/>
    </w:rPr>
  </w:style>
  <w:style w:type="paragraph" w:styleId="22">
    <w:name w:val="Subtitle"/>
    <w:basedOn w:val="23"/>
    <w:next w:val="3"/>
    <w:qFormat/>
    <w:uiPriority w:val="0"/>
    <w:pPr>
      <w:keepNext/>
      <w:keepLines/>
      <w:spacing w:before="240" w:after="240"/>
      <w:jc w:val="center"/>
    </w:pPr>
    <w:rPr>
      <w:sz w:val="30"/>
      <w:szCs w:val="30"/>
    </w:rPr>
  </w:style>
  <w:style w:type="paragraph" w:styleId="23">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customStyle="1" w:styleId="24">
    <w:name w:val="First Paragraph"/>
    <w:basedOn w:val="3"/>
    <w:next w:val="3"/>
    <w:qFormat/>
    <w:uiPriority w:val="0"/>
  </w:style>
  <w:style w:type="paragraph" w:customStyle="1" w:styleId="25">
    <w:name w:val="Compact"/>
    <w:basedOn w:val="3"/>
    <w:qFormat/>
    <w:uiPriority w:val="0"/>
    <w:pPr>
      <w:spacing w:before="36" w:after="36"/>
    </w:pPr>
  </w:style>
  <w:style w:type="paragraph" w:customStyle="1" w:styleId="26">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7">
    <w:name w:val="Abstract Title"/>
    <w:basedOn w:val="1"/>
    <w:next w:val="28"/>
    <w:qFormat/>
    <w:uiPriority w:val="0"/>
    <w:pPr>
      <w:keepNext/>
      <w:keepLines/>
      <w:spacing w:before="300" w:after="0"/>
      <w:jc w:val="center"/>
    </w:pPr>
    <w:rPr>
      <w:b/>
      <w:color w:val="345A8A"/>
      <w:sz w:val="20"/>
      <w:szCs w:val="20"/>
    </w:rPr>
  </w:style>
  <w:style w:type="paragraph" w:customStyle="1" w:styleId="28">
    <w:name w:val="Abstract"/>
    <w:basedOn w:val="1"/>
    <w:next w:val="3"/>
    <w:qFormat/>
    <w:uiPriority w:val="0"/>
    <w:pPr>
      <w:keepNext/>
      <w:keepLines/>
      <w:spacing w:before="100" w:after="300"/>
    </w:pPr>
    <w:rPr>
      <w:sz w:val="20"/>
      <w:szCs w:val="20"/>
    </w:rPr>
  </w:style>
  <w:style w:type="paragraph" w:customStyle="1" w:styleId="29">
    <w:name w:val="Bibliography"/>
    <w:basedOn w:val="1"/>
    <w:qFormat/>
    <w:uiPriority w:val="0"/>
  </w:style>
  <w:style w:type="table" w:customStyle="1" w:styleId="30">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1">
    <w:name w:val="Definition Term"/>
    <w:basedOn w:val="1"/>
    <w:next w:val="32"/>
    <w:qFormat/>
    <w:uiPriority w:val="0"/>
    <w:pPr>
      <w:keepNext/>
      <w:keepLines/>
      <w:spacing w:after="0"/>
    </w:pPr>
    <w:rPr>
      <w:b/>
    </w:rPr>
  </w:style>
  <w:style w:type="paragraph" w:customStyle="1" w:styleId="32">
    <w:name w:val="Definition"/>
    <w:basedOn w:val="1"/>
    <w:qFormat/>
    <w:uiPriority w:val="0"/>
  </w:style>
  <w:style w:type="paragraph" w:customStyle="1" w:styleId="33">
    <w:name w:val="Table Caption"/>
    <w:basedOn w:val="15"/>
    <w:uiPriority w:val="0"/>
    <w:pPr>
      <w:keepNext/>
    </w:pPr>
  </w:style>
  <w:style w:type="paragraph" w:customStyle="1" w:styleId="34">
    <w:name w:val="Image Caption"/>
    <w:basedOn w:val="15"/>
    <w:qFormat/>
    <w:uiPriority w:val="0"/>
  </w:style>
  <w:style w:type="paragraph" w:customStyle="1" w:styleId="35">
    <w:name w:val="Figure"/>
    <w:basedOn w:val="1"/>
    <w:qFormat/>
    <w:uiPriority w:val="0"/>
  </w:style>
  <w:style w:type="paragraph" w:customStyle="1" w:styleId="36">
    <w:name w:val="Captioned Figure"/>
    <w:basedOn w:val="35"/>
    <w:uiPriority w:val="0"/>
    <w:pPr>
      <w:keepNext/>
    </w:pPr>
  </w:style>
  <w:style w:type="character" w:customStyle="1" w:styleId="37">
    <w:name w:val="Verbatim Char"/>
    <w:basedOn w:val="18"/>
    <w:link w:val="38"/>
    <w:qFormat/>
    <w:uiPriority w:val="0"/>
    <w:rPr>
      <w:rFonts w:ascii="Consolas" w:hAnsi="Consolas"/>
      <w:sz w:val="22"/>
    </w:rPr>
  </w:style>
  <w:style w:type="paragraph" w:customStyle="1" w:styleId="38">
    <w:name w:val="Source Code"/>
    <w:basedOn w:val="1"/>
    <w:link w:val="37"/>
    <w:uiPriority w:val="0"/>
    <w:pPr>
      <w:wordWrap w:val="0"/>
    </w:pPr>
  </w:style>
  <w:style w:type="character" w:customStyle="1" w:styleId="39">
    <w:name w:val="Section Number"/>
    <w:basedOn w:val="18"/>
    <w:uiPriority w:val="0"/>
  </w:style>
  <w:style w:type="paragraph" w:customStyle="1" w:styleId="40">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1">
    <w:name w:val="KeywordTok"/>
    <w:basedOn w:val="37"/>
    <w:uiPriority w:val="0"/>
    <w:rPr>
      <w:b/>
      <w:color w:val="007020"/>
    </w:rPr>
  </w:style>
  <w:style w:type="character" w:customStyle="1" w:styleId="42">
    <w:name w:val="DataTypeTok"/>
    <w:basedOn w:val="37"/>
    <w:uiPriority w:val="0"/>
    <w:rPr>
      <w:color w:val="902000"/>
    </w:rPr>
  </w:style>
  <w:style w:type="character" w:customStyle="1" w:styleId="43">
    <w:name w:val="DecValTok"/>
    <w:basedOn w:val="37"/>
    <w:uiPriority w:val="0"/>
    <w:rPr>
      <w:color w:val="40A070"/>
    </w:rPr>
  </w:style>
  <w:style w:type="character" w:customStyle="1" w:styleId="44">
    <w:name w:val="BaseNTok"/>
    <w:basedOn w:val="37"/>
    <w:qFormat/>
    <w:uiPriority w:val="0"/>
    <w:rPr>
      <w:color w:val="40A070"/>
    </w:rPr>
  </w:style>
  <w:style w:type="character" w:customStyle="1" w:styleId="45">
    <w:name w:val="FloatTok"/>
    <w:basedOn w:val="37"/>
    <w:qFormat/>
    <w:uiPriority w:val="0"/>
    <w:rPr>
      <w:color w:val="40A070"/>
    </w:rPr>
  </w:style>
  <w:style w:type="character" w:customStyle="1" w:styleId="46">
    <w:name w:val="ConstantTok"/>
    <w:basedOn w:val="37"/>
    <w:qFormat/>
    <w:uiPriority w:val="0"/>
    <w:rPr>
      <w:color w:val="880000"/>
    </w:rPr>
  </w:style>
  <w:style w:type="character" w:customStyle="1" w:styleId="47">
    <w:name w:val="CharTok"/>
    <w:basedOn w:val="37"/>
    <w:uiPriority w:val="0"/>
    <w:rPr>
      <w:color w:val="4070A0"/>
    </w:rPr>
  </w:style>
  <w:style w:type="character" w:customStyle="1" w:styleId="48">
    <w:name w:val="SpecialCharTok"/>
    <w:basedOn w:val="37"/>
    <w:uiPriority w:val="0"/>
    <w:rPr>
      <w:color w:val="4070A0"/>
    </w:rPr>
  </w:style>
  <w:style w:type="character" w:customStyle="1" w:styleId="49">
    <w:name w:val="StringTok"/>
    <w:basedOn w:val="37"/>
    <w:uiPriority w:val="0"/>
    <w:rPr>
      <w:color w:val="4070A0"/>
    </w:rPr>
  </w:style>
  <w:style w:type="character" w:customStyle="1" w:styleId="50">
    <w:name w:val="VerbatimStringTok"/>
    <w:basedOn w:val="37"/>
    <w:uiPriority w:val="0"/>
    <w:rPr>
      <w:color w:val="4070A0"/>
    </w:rPr>
  </w:style>
  <w:style w:type="character" w:customStyle="1" w:styleId="51">
    <w:name w:val="SpecialStringTok"/>
    <w:basedOn w:val="37"/>
    <w:uiPriority w:val="0"/>
    <w:rPr>
      <w:color w:val="BB6688"/>
    </w:rPr>
  </w:style>
  <w:style w:type="character" w:customStyle="1" w:styleId="52">
    <w:name w:val="ImportTok"/>
    <w:basedOn w:val="37"/>
    <w:qFormat/>
    <w:uiPriority w:val="0"/>
    <w:rPr>
      <w:b/>
      <w:color w:val="008000"/>
    </w:rPr>
  </w:style>
  <w:style w:type="character" w:customStyle="1" w:styleId="53">
    <w:name w:val="CommentTok"/>
    <w:basedOn w:val="37"/>
    <w:qFormat/>
    <w:uiPriority w:val="0"/>
    <w:rPr>
      <w:i/>
      <w:color w:val="60A0B0"/>
    </w:rPr>
  </w:style>
  <w:style w:type="character" w:customStyle="1" w:styleId="54">
    <w:name w:val="DocumentationTok"/>
    <w:basedOn w:val="37"/>
    <w:uiPriority w:val="0"/>
    <w:rPr>
      <w:i/>
      <w:color w:val="BA2121"/>
    </w:rPr>
  </w:style>
  <w:style w:type="character" w:customStyle="1" w:styleId="55">
    <w:name w:val="AnnotationTok"/>
    <w:basedOn w:val="37"/>
    <w:qFormat/>
    <w:uiPriority w:val="0"/>
    <w:rPr>
      <w:b/>
      <w:i/>
      <w:color w:val="60A0B0"/>
    </w:rPr>
  </w:style>
  <w:style w:type="character" w:customStyle="1" w:styleId="56">
    <w:name w:val="CommentVarTok"/>
    <w:basedOn w:val="37"/>
    <w:uiPriority w:val="0"/>
    <w:rPr>
      <w:b/>
      <w:i/>
      <w:color w:val="60A0B0"/>
    </w:rPr>
  </w:style>
  <w:style w:type="character" w:customStyle="1" w:styleId="57">
    <w:name w:val="OtherTok"/>
    <w:basedOn w:val="37"/>
    <w:qFormat/>
    <w:uiPriority w:val="0"/>
    <w:rPr>
      <w:color w:val="007020"/>
    </w:rPr>
  </w:style>
  <w:style w:type="character" w:customStyle="1" w:styleId="58">
    <w:name w:val="FunctionTok"/>
    <w:basedOn w:val="37"/>
    <w:uiPriority w:val="0"/>
    <w:rPr>
      <w:color w:val="06287E"/>
    </w:rPr>
  </w:style>
  <w:style w:type="character" w:customStyle="1" w:styleId="59">
    <w:name w:val="VariableTok"/>
    <w:basedOn w:val="37"/>
    <w:uiPriority w:val="0"/>
    <w:rPr>
      <w:color w:val="19177C"/>
    </w:rPr>
  </w:style>
  <w:style w:type="character" w:customStyle="1" w:styleId="60">
    <w:name w:val="ControlFlowTok"/>
    <w:basedOn w:val="37"/>
    <w:qFormat/>
    <w:uiPriority w:val="0"/>
    <w:rPr>
      <w:b/>
      <w:color w:val="007020"/>
    </w:rPr>
  </w:style>
  <w:style w:type="character" w:customStyle="1" w:styleId="61">
    <w:name w:val="OperatorTok"/>
    <w:basedOn w:val="37"/>
    <w:qFormat/>
    <w:uiPriority w:val="0"/>
    <w:rPr>
      <w:color w:val="666666"/>
    </w:rPr>
  </w:style>
  <w:style w:type="character" w:customStyle="1" w:styleId="62">
    <w:name w:val="BuiltInTok"/>
    <w:basedOn w:val="37"/>
    <w:uiPriority w:val="0"/>
    <w:rPr>
      <w:color w:val="008000"/>
    </w:rPr>
  </w:style>
  <w:style w:type="character" w:customStyle="1" w:styleId="63">
    <w:name w:val="ExtensionTok"/>
    <w:basedOn w:val="37"/>
    <w:uiPriority w:val="0"/>
  </w:style>
  <w:style w:type="character" w:customStyle="1" w:styleId="64">
    <w:name w:val="PreprocessorTok"/>
    <w:basedOn w:val="37"/>
    <w:uiPriority w:val="0"/>
    <w:rPr>
      <w:color w:val="BC7A00"/>
    </w:rPr>
  </w:style>
  <w:style w:type="character" w:customStyle="1" w:styleId="65">
    <w:name w:val="AttributeTok"/>
    <w:basedOn w:val="37"/>
    <w:qFormat/>
    <w:uiPriority w:val="0"/>
    <w:rPr>
      <w:color w:val="7D9029"/>
    </w:rPr>
  </w:style>
  <w:style w:type="character" w:customStyle="1" w:styleId="66">
    <w:name w:val="RegionMarkerTok"/>
    <w:basedOn w:val="37"/>
    <w:uiPriority w:val="0"/>
  </w:style>
  <w:style w:type="character" w:customStyle="1" w:styleId="67">
    <w:name w:val="InformationTok"/>
    <w:basedOn w:val="37"/>
    <w:qFormat/>
    <w:uiPriority w:val="0"/>
    <w:rPr>
      <w:b/>
      <w:i/>
      <w:color w:val="60A0B0"/>
    </w:rPr>
  </w:style>
  <w:style w:type="character" w:customStyle="1" w:styleId="68">
    <w:name w:val="WarningTok"/>
    <w:basedOn w:val="37"/>
    <w:qFormat/>
    <w:uiPriority w:val="0"/>
    <w:rPr>
      <w:b/>
      <w:i/>
      <w:color w:val="60A0B0"/>
    </w:rPr>
  </w:style>
  <w:style w:type="character" w:customStyle="1" w:styleId="69">
    <w:name w:val="AlertTok"/>
    <w:basedOn w:val="37"/>
    <w:qFormat/>
    <w:uiPriority w:val="0"/>
    <w:rPr>
      <w:b/>
      <w:color w:val="FF0000"/>
    </w:rPr>
  </w:style>
  <w:style w:type="character" w:customStyle="1" w:styleId="70">
    <w:name w:val="ErrorTok"/>
    <w:basedOn w:val="37"/>
    <w:qFormat/>
    <w:uiPriority w:val="0"/>
    <w:rPr>
      <w:b/>
      <w:color w:val="FF0000"/>
    </w:rPr>
  </w:style>
  <w:style w:type="character" w:customStyle="1" w:styleId="71">
    <w:name w:val="NormalTok"/>
    <w:basedOn w:val="37"/>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697</Words>
  <Characters>3992</Characters>
  <Lines>12</Lines>
  <Paragraphs>8</Paragraphs>
  <TotalTime>109</TotalTime>
  <ScaleCrop>false</ScaleCrop>
  <LinksUpToDate>false</LinksUpToDate>
  <CharactersWithSpaces>4715</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2026-06-06T14:33:00Z</dcterms:created>
  <dc:creator>Enam Ahmed</dc:creator>
  <cp:lastModifiedBy>Enam Ahmed</cp:lastModifiedBy>
  <dcterms:modified xsi:type="dcterms:W3CDTF">2026-06-06T17:09:00Z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eyJoZGlkIjoiNDM1ODYxMDcwYzczNjU0MGQ5ODg0NTBkNTM4OWNmNDQiLCJ1c2VySWQiOiI4ODEzMzQyOTk0NzM5In0=</vt:lpwstr>
  </property>
  <property fmtid="{D5CDD505-2E9C-101B-9397-08002B2CF9AE}" pid="3" name="KSOProductBuildVer">
    <vt:lpwstr>1033-12.1.0.26880</vt:lpwstr>
  </property>
  <property fmtid="{D5CDD505-2E9C-101B-9397-08002B2CF9AE}" pid="4" name="ICV">
    <vt:lpwstr>9D64A422FF1F446DBCA54FCCB2FD4965_12</vt:lpwstr>
  </property>
</Properties>
</file>