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mbria" w:cs="Cambria" w:eastAsia="Cambria" w:hAnsi="Cambria"/>
          <w:b/>
          <w:bCs/>
          <w:color w:val="1A1A1A"/>
          <w:spacing w:val="20"/>
          <w:sz w:val="40"/>
          <w:szCs w:val="40"/>
        </w:rPr>
        <w:t xml:space="preserve">MD ENAMUL HOQ</w:t>
      </w:r>
    </w:p>
    <w:p>
      <w:pPr>
        <w:spacing w:after="80"/>
      </w:pPr>
      <w:r>
        <w:rPr>
          <w:rFonts w:ascii="Calibri" w:cs="Calibri" w:eastAsia="Calibri" w:hAnsi="Calibri"/>
          <w:color w:val="0B5563"/>
          <w:sz w:val="20"/>
          <w:szCs w:val="20"/>
        </w:rPr>
        <w:t xml:space="preserve">Ph.D. Candidate, Biomedical Informatics (Imaging)  ·  Translational Imaging AI for Oncology</w:t>
      </w:r>
    </w:p>
    <w:p>
      <w:pPr>
        <w:spacing w:after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Little Rock, AR  ·  +1 (985) 602-6909  ·  </w:t>
      </w:r>
      <w:hyperlink w:history="1" r:id="rIdb4ydev3sdyrwg9myeqvth">
        <w:r>
          <w:rPr>
            <w:rFonts w:ascii="Calibri" w:cs="Calibri" w:eastAsia="Calibri" w:hAnsi="Calibri"/>
            <w:color w:val="0B5563"/>
            <w:sz w:val="20"/>
            <w:szCs w:val="20"/>
            <w:u w:val="single"/>
          </w:rPr>
          <w:t xml:space="preserve">mdenamulmte@gmail.com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·  </w:t>
      </w:r>
      <w:hyperlink w:history="1" r:id="rIdykw9wai_6tv9d44b_pnwb">
        <w:r>
          <w:rPr>
            <w:rFonts w:ascii="Calibri" w:cs="Calibri" w:eastAsia="Calibri" w:hAnsi="Calibri"/>
            <w:color w:val="0B5563"/>
            <w:sz w:val="20"/>
            <w:szCs w:val="20"/>
            <w:u w:val="single"/>
          </w:rPr>
          <w:t xml:space="preserve">mhoq@uams.edu</w:t>
        </w:r>
      </w:hyperlink>
    </w:p>
    <w:p>
      <w:pPr>
        <w:pBdr>
          <w:bottom w:val="single" w:color="0B5563" w:sz="12" w:space="8"/>
        </w:pBdr>
      </w:pPr>
      <w:hyperlink w:history="1" r:id="rId7hvmgdra3wets-_b7j9v1">
        <w:r>
          <w:rPr>
            <w:rFonts w:ascii="Calibri" w:cs="Calibri" w:eastAsia="Calibri" w:hAnsi="Calibri"/>
            <w:color w:val="0B5563"/>
            <w:sz w:val="20"/>
            <w:szCs w:val="20"/>
            <w:u w:val="single"/>
          </w:rPr>
          <w:t xml:space="preserve">Website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·  </w:t>
      </w:r>
      <w:hyperlink w:history="1" r:id="rIdlq8j3wdzyzatqrnuz0z3t">
        <w:r>
          <w:rPr>
            <w:rFonts w:ascii="Calibri" w:cs="Calibri" w:eastAsia="Calibri" w:hAnsi="Calibri"/>
            <w:color w:val="0B5563"/>
            <w:sz w:val="20"/>
            <w:szCs w:val="20"/>
            <w:u w:val="single"/>
          </w:rPr>
          <w:t xml:space="preserve">Google Scholar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·  </w:t>
      </w:r>
      <w:hyperlink w:history="1" r:id="rIdqmioriwbyefp5tfiledyy">
        <w:r>
          <w:rPr>
            <w:rFonts w:ascii="Calibri" w:cs="Calibri" w:eastAsia="Calibri" w:hAnsi="Calibri"/>
            <w:color w:val="0B5563"/>
            <w:sz w:val="20"/>
            <w:szCs w:val="20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·  </w:t>
      </w:r>
      <w:hyperlink w:history="1" r:id="rIdvt6sdcobog3jihbtkf_1y">
        <w:r>
          <w:rPr>
            <w:rFonts w:ascii="Calibri" w:cs="Calibri" w:eastAsia="Calibri" w:hAnsi="Calibri"/>
            <w:color w:val="0B5563"/>
            <w:sz w:val="20"/>
            <w:szCs w:val="20"/>
            <w:u w:val="single"/>
          </w:rPr>
          <w:t xml:space="preserve">LinkedIn</w:t>
        </w:r>
      </w:hyperlink>
    </w:p>
    <w:p>
      <w:pPr>
        <w:pBdr>
          <w:bottom w:val="single" w:color="BFCBD0" w:sz="6" w:space="4"/>
        </w:pBdr>
        <w:spacing w:after="120" w:before="300"/>
      </w:pPr>
      <w:r>
        <w:rPr>
          <w:rFonts w:ascii="Cambria" w:cs="Cambria" w:eastAsia="Cambria" w:hAnsi="Cambria"/>
          <w:b/>
          <w:bCs/>
          <w:color w:val="0B5563"/>
          <w:spacing w:val="30"/>
          <w:sz w:val="22"/>
          <w:szCs w:val="22"/>
        </w:rPr>
        <w:t xml:space="preserve">RESEARCH INTERESTS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Translational imaging informatics and computer vision for oncology, spanning radiology and digital pathology: large-scale imaging pipelines, self-supervised foundation models, and multimodal learning across CT and whole-slide imaging. My work centres on representation learning, DICOM-aware preprocessing, dataset curation and annotation, CT quality control, explainable AI, and clinically aligned evaluation — linking imaging phenotypes to histomorphological and molecular characterisation to build robust, interpretable and reproducible systems for cancer diagnosis, monitoring, prognosis and clinical translation.</w:t>
      </w:r>
    </w:p>
    <w:p>
      <w:pPr>
        <w:pBdr>
          <w:bottom w:val="single" w:color="BFCBD0" w:sz="6" w:space="4"/>
        </w:pBdr>
        <w:spacing w:after="120" w:before="300"/>
      </w:pPr>
      <w:r>
        <w:rPr>
          <w:rFonts w:ascii="Cambria" w:cs="Cambria" w:eastAsia="Cambria" w:hAnsi="Cambria"/>
          <w:b/>
          <w:bCs/>
          <w:color w:val="0B5563"/>
          <w:spacing w:val="30"/>
          <w:sz w:val="22"/>
          <w:szCs w:val="22"/>
        </w:rPr>
        <w:t xml:space="preserve">EDUCATION</w:t>
      </w:r>
    </w:p>
    <w:p>
      <w:pPr>
        <w:tabs>
          <w:tab w:val="right" w:pos="9936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Ph.D., Biomedical Informatics (Imaging Track)</w:t>
      </w:r>
      <w:r>
        <w:tab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Expected May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University of Arkansas for Medical Sciences (UAMS), Little Rock, AR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Dissertation: Foundation Models for Lung Cancer Screening CT (LCS-DINO, native-resolution 2D).</w:t>
      </w:r>
    </w:p>
    <w:p>
      <w:pPr>
        <w:tabs>
          <w:tab w:val="right" w:pos="9936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M.S., Engineering Physics</w:t>
      </w:r>
      <w:r>
        <w:tab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December 2020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Southeastern Louisiana University, Hammond, LA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Thesis: Image correlation for LDPE film deformation — computational imaging in MATLAB.</w:t>
      </w:r>
    </w:p>
    <w:p>
      <w:pPr>
        <w:pBdr>
          <w:bottom w:val="single" w:color="BFCBD0" w:sz="6" w:space="4"/>
        </w:pBdr>
        <w:spacing w:after="120" w:before="300"/>
      </w:pPr>
      <w:r>
        <w:rPr>
          <w:rFonts w:ascii="Cambria" w:cs="Cambria" w:eastAsia="Cambria" w:hAnsi="Cambria"/>
          <w:b/>
          <w:bCs/>
          <w:color w:val="0B5563"/>
          <w:spacing w:val="30"/>
          <w:sz w:val="22"/>
          <w:szCs w:val="22"/>
        </w:rPr>
        <w:t xml:space="preserve">RESEARCH EXPERIENCE &amp; APPOINTMENTS</w:t>
      </w:r>
    </w:p>
    <w:p>
      <w:pPr>
        <w:tabs>
          <w:tab w:val="right" w:pos="9936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Graduate Research Assistant (Ph.D. Researcher)</w:t>
      </w:r>
      <w:r>
        <w:tab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07/2021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University of Arkansas for Medical Sciences (UAMS), Little Rock, AR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 end-to-end lung cancer screening pipeline — DICOM/PACS-compliant curation, embedding generation, training and patient-level evaluation — across 20M+ CT slices.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Managed large-scale cohorts in TCIA and the NCI Imaging Data Commons: cohort definition, manifest generation, DICOMweb/gsutil transfer, BigQuery access, metadata harmonisation (DICOM tags, RadLex, SNOMED) and research governance (DUAs, PHI checks).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threshold-aware evaluation (ROC/AUC, PR/F1, prevalence-matched cut-points) reflecting real screening prevalence; reduced false-positive follow-ups in experimental cohorts.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Scaled multi-GPU training and inference on A100 clusters with Slurm; automated experiment tracking, versioning and report generation for reproducible, auditable results.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Initiated and lead a longitudinal phantom-based study of the reliability and drift of commercial AI lung-nodule detection software (Riverain VS-CT) at the Winthrop P. Rockefeller Cancer Institute, under an IRB-approved prospective protocol.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 MATLAB phantom-modelling pipeline that injects synthetic pulmonary nodules into real DICOM CT volumes, with a database and analysis workflow for detection accuracy, measurement reproducibility and longitudinal stability.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Collaborated with 15+ radiologists and clinicians to translate model outputs into clinically interpretable metrics and structured reporting.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Mentored three Ph.D. students and one M.D. student in GPU/HPC workflows, DICOM/PACS handling, experimental design and reproducible research.</w:t>
      </w:r>
    </w:p>
    <w:p>
      <w:pPr>
        <w:tabs>
          <w:tab w:val="right" w:pos="9936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Site Lead — Federated LDCT AI Collaboration (Site 2)</w:t>
      </w:r>
      <w:r>
        <w:tab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06/2025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UAMS, Little Rock, AR · with Moffitt, Vanderbilt, UCLA and the University of Pittsburgh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Lead UAMS as Site 2 in a five-institution federated learning programme for low-dose CT lung cancer screening using NVIDIA FLARE.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Architected privacy-preserving training workflows — secure model updates and cross-site evaluation protocols — that improve detection performance without sharing raw PHI.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Curate and harmonise multi-site imaging datasets with leakage-safe splits and AI-ready pipelines for cross-institution generalisability.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Approach recognised as Champion in three of five categories at the CMU–NVIDIA Federated Learning Hackathon, 2026.</w:t>
      </w:r>
    </w:p>
    <w:p>
      <w:pPr>
        <w:tabs>
          <w:tab w:val="right" w:pos="9936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&amp; Informatics Research Intern</w:t>
      </w:r>
      <w:r>
        <w:tab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02/2025 – 07/2025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Mayo Clinic, Rochester, MN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 multimodal pathology retrieval and auto-captioning framework using vision foundation models and LLMs — top-ten poster, Mayo Clinic AI Summit 2025.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Raised semantic alignment of generated captions to above 0.82 cosine similarity via a hybrid rule-based and LLM summarisation pipeline, and introduced retrieval-guided generation to reduce unsafe and hallucinated captions.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Co-led a workshop on fine-tuning and deploying vision–language models in clinical research workflows.</w:t>
      </w:r>
    </w:p>
    <w:p>
      <w:pPr>
        <w:tabs>
          <w:tab w:val="right" w:pos="9936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Graduate Research &amp; Teaching Associate; Lab Manager</w:t>
      </w:r>
      <w:r>
        <w:tab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08/2019 – 12/2020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Southeastern Louisiana University, Hammond, LA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MATLAB pipelines for digital image correlation (LDPE deformation) with visualisation and modelling tools.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Supported 13+ researchers with debugging and optimisation; instructed Physics 101/102 laboratory courses.</w:t>
      </w:r>
    </w:p>
    <w:p>
      <w:pPr>
        <w:tabs>
          <w:tab w:val="right" w:pos="9936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Research Intern — Multimedia Lab</w:t>
      </w:r>
      <w:r>
        <w:tab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09/2018 – 02/2019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National Chung Cheng University, Chiayi, Taiwan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depth-estimation algorithms for 2D→3D video conversion, improving perceived depth and visual quality.</w:t>
      </w:r>
    </w:p>
    <w:p>
      <w:pPr>
        <w:tabs>
          <w:tab w:val="right" w:pos="9936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R&amp;D Engineer</w:t>
      </w:r>
      <w:r>
        <w:tab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08/2017 – 07/2018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TN Solution — Karlsruhe, Germany &amp; Ho Chi Minh City, Vietnam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image/signal-processing and IoT projects; improved PCB fault diagnosis through noise reduction and feature extraction.</w:t>
      </w:r>
    </w:p>
    <w:p>
      <w:pPr>
        <w:pBdr>
          <w:bottom w:val="single" w:color="BFCBD0" w:sz="6" w:space="4"/>
        </w:pBdr>
        <w:spacing w:after="120" w:before="300"/>
      </w:pPr>
      <w:r>
        <w:rPr>
          <w:rFonts w:ascii="Cambria" w:cs="Cambria" w:eastAsia="Cambria" w:hAnsi="Cambria"/>
          <w:b/>
          <w:bCs/>
          <w:color w:val="0B5563"/>
          <w:spacing w:val="30"/>
          <w:sz w:val="22"/>
          <w:szCs w:val="22"/>
        </w:rPr>
        <w:t xml:space="preserve">PUBLICATIONS &amp; SCHOLARLY WORK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B5563"/>
          <w:sz w:val="20"/>
          <w:szCs w:val="20"/>
        </w:rPr>
        <w:t xml:space="preserve">Peer-reviewed publications</w:t>
      </w:r>
    </w:p>
    <w:p>
      <w:pPr>
        <w:spacing w:after="90"/>
        <w:ind w:left="300" w:hanging="3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Hoq ME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Tarbox L, Johann D Jr, Larson-Prior L, Prior F. Harnessing native-resolution 2D embeddings for lung cancer classification: a feasibility study with the RAD-DINO self-supervised foundation model.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Journal of Imaging Informatics in Medicine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2025. </w:t>
      </w:r>
      <w:hyperlink w:history="1" r:id="rIdsl_5g7vbvt-hxiah4y8ue">
        <w:r>
          <w:rPr>
            <w:rFonts w:ascii="Calibri" w:cs="Calibri" w:eastAsia="Calibri" w:hAnsi="Calibri"/>
            <w:color w:val="0B5563"/>
            <w:sz w:val="20"/>
            <w:szCs w:val="20"/>
            <w:u w:val="single"/>
          </w:rPr>
          <w:t xml:space="preserve">doi:10.1007/s10278-025-01748-4</w:t>
        </w:r>
      </w:hyperlink>
    </w:p>
    <w:p>
      <w:pPr>
        <w:spacing w:after="90"/>
        <w:ind w:left="300" w:hanging="3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Alfasly S, Uegami W,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Hoq ME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Alabtah G, Tizhoosh HR. Semantic and visual crop-guided diffusion models for heterogeneous tissue synthesis in histopathology.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Advances in Neural Information Processing Systems (NeurIPS)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2025. </w:t>
      </w:r>
      <w:hyperlink w:history="1" r:id="rIdf4ymgwh4qq1kamgtcrmmd">
        <w:r>
          <w:rPr>
            <w:rFonts w:ascii="Calibri" w:cs="Calibri" w:eastAsia="Calibri" w:hAnsi="Calibri"/>
            <w:color w:val="0B5563"/>
            <w:sz w:val="20"/>
            <w:szCs w:val="20"/>
            <w:u w:val="single"/>
          </w:rPr>
          <w:t xml:space="preserve">openreview.net/forum?id=yNVDkAjGjw</w:t>
        </w:r>
      </w:hyperlink>
    </w:p>
    <w:p>
      <w:pPr>
        <w:spacing w:after="90"/>
        <w:ind w:left="300" w:hanging="3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Hoq ME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Uegami W, Alfasly S, Alabtah G, Malakshan S, Kazemi A, Schmitgen AT, Prior F, Tizhoosh HR. Retrieval-guided generation for safer histopathology image captioning.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Ital-IA 2026, CEUR Workshop Proceedings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(ISSN 1613-0073), 2026. </w:t>
      </w:r>
      <w:hyperlink w:history="1" r:id="rIdypwbct6sthk8t6_4ydr7d">
        <w:r>
          <w:rPr>
            <w:rFonts w:ascii="Calibri" w:cs="Calibri" w:eastAsia="Calibri" w:hAnsi="Calibri"/>
            <w:color w:val="0B5563"/>
            <w:sz w:val="20"/>
            <w:szCs w:val="20"/>
            <w:u w:val="single"/>
          </w:rPr>
          <w:t xml:space="preserve">arXiv:2605.00893</w:t>
        </w:r>
      </w:hyperlink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0B5563"/>
          <w:sz w:val="20"/>
          <w:szCs w:val="20"/>
        </w:rPr>
        <w:t xml:space="preserve">Accepted / in press</w:t>
      </w:r>
    </w:p>
    <w:p>
      <w:pPr>
        <w:spacing w:after="90"/>
        <w:ind w:left="300" w:hanging="3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Hoq ME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Larson-Prior L, Prior F. Virtual-Eyes: quantitative validation of a lung CT quality-control pipeline for foundation-model cancer-risk prediction.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Medical Imaging with Deep Learning (MIDL)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accepted 2026. </w:t>
      </w:r>
      <w:hyperlink w:history="1" r:id="rIdvoqd4xxf61gp-9kkcagke">
        <w:r>
          <w:rPr>
            <w:rFonts w:ascii="Calibri" w:cs="Calibri" w:eastAsia="Calibri" w:hAnsi="Calibri"/>
            <w:color w:val="0B5563"/>
            <w:sz w:val="20"/>
            <w:szCs w:val="20"/>
            <w:u w:val="single"/>
          </w:rPr>
          <w:t xml:space="preserve">arXiv:2512.24294</w:t>
        </w:r>
      </w:hyperlink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0B5563"/>
          <w:sz w:val="20"/>
          <w:szCs w:val="20"/>
        </w:rPr>
        <w:t xml:space="preserve">Preprints &amp; technical reports</w:t>
      </w:r>
    </w:p>
    <w:p>
      <w:pPr>
        <w:spacing w:after="90"/>
        <w:ind w:left="300" w:hanging="3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5.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Hoq ME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Prior F. Artificial intelligence for low-dose CT lung cancer screening: a systematic review of deep learning, input dimensionality, workflow integration and foundation models.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Preprints.org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2026. </w:t>
      </w:r>
      <w:hyperlink w:history="1" r:id="rIdxfuggrcicjixm7txa4wvn">
        <w:r>
          <w:rPr>
            <w:rFonts w:ascii="Calibri" w:cs="Calibri" w:eastAsia="Calibri" w:hAnsi="Calibri"/>
            <w:color w:val="0B5563"/>
            <w:sz w:val="20"/>
            <w:szCs w:val="20"/>
            <w:u w:val="single"/>
          </w:rPr>
          <w:t xml:space="preserve">doi:10.20944/preprints202606.1208.v1</w:t>
        </w:r>
      </w:hyperlink>
    </w:p>
    <w:p>
      <w:pPr>
        <w:spacing w:after="90"/>
        <w:ind w:left="300" w:hanging="3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6.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Mu J, Karna AK, Kumar Koushik T, Winchell J, Yang TJ, Zhang CM, Baker J, Hagen E,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Hoq ME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Kim K, … Busby B. Towards federated learning across biobanks: prototype software from the 2026 Carnegie Mellon University–NVIDIA hackathon.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OSF Preprint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2026.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0B5563"/>
          <w:sz w:val="20"/>
          <w:szCs w:val="20"/>
        </w:rPr>
        <w:t xml:space="preserve">Published abstracts &amp; conference proceedings</w:t>
      </w:r>
    </w:p>
    <w:p>
      <w:pPr>
        <w:spacing w:after="90"/>
        <w:ind w:left="300" w:hanging="3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7.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Hoq ME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Uegami W, Alfasly S, Malakshan SR, Alabtah G, Kazemi A, et al. From CNN to vision foundation models and LLMs: a multimodal framework for pathology image retrieval and auto-captioning.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Mayo Clinic Proceedings: Digital Health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3(4), 2025.</w:t>
      </w:r>
    </w:p>
    <w:p>
      <w:pPr>
        <w:spacing w:after="90"/>
        <w:ind w:left="300" w:hanging="3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8.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Kolb S, Sunkara H, Chavane C,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Hoq ME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Ali M, Xu H, Kashyap R. Renal replacement therapy following IV contrast administration in critically ill patients with CKD.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Critical Care Medicine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53(1), 2025.</w:t>
      </w:r>
    </w:p>
    <w:p>
      <w:pPr>
        <w:spacing w:after="90"/>
        <w:ind w:left="300" w:hanging="3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9.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Barnes B,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Hoq ME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Binette E, Lee S, Arumairaj A. Impact of an elevated fluid-accumulation index in septic patients with HFrEF: a MIMIC-IV analysis.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Critical Care Medicine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2026.</w:t>
      </w:r>
    </w:p>
    <w:p>
      <w:pPr>
        <w:spacing w:after="90"/>
        <w:ind w:left="300" w:hanging="3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10.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Hoq ME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Prior F. Optimizing and harnessing 20 million NLST CT lung-screening images for robust foundation-model training.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NIH Early Detection Research Network (EDRN)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2024.</w:t>
      </w:r>
    </w:p>
    <w:p>
      <w:pPr>
        <w:spacing w:after="90"/>
        <w:ind w:left="300" w:hanging="3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11.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Hoq ME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Yoshida S, Jung H. Measurement of thickness and preservation of thin films at maximum wrapping speed.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APTEC Annual Meeting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2019.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0B5563"/>
          <w:sz w:val="20"/>
          <w:szCs w:val="20"/>
        </w:rPr>
        <w:t xml:space="preserve">Thesis</w:t>
      </w:r>
    </w:p>
    <w:p>
      <w:pPr>
        <w:spacing w:after="90"/>
        <w:ind w:left="300" w:hanging="3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12.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Hoq ME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 An investigation of image correlation for real-time monitoring of wrapping-film deformation. M.S. thesis, Southeastern Louisiana University, 2020.</w:t>
      </w:r>
    </w:p>
    <w:p>
      <w:pPr>
        <w:pBdr>
          <w:bottom w:val="single" w:color="BFCBD0" w:sz="6" w:space="4"/>
        </w:pBdr>
        <w:spacing w:after="120" w:before="300"/>
      </w:pPr>
      <w:r>
        <w:rPr>
          <w:rFonts w:ascii="Cambria" w:cs="Cambria" w:eastAsia="Cambria" w:hAnsi="Cambria"/>
          <w:b/>
          <w:bCs/>
          <w:color w:val="0B5563"/>
          <w:spacing w:val="30"/>
          <w:sz w:val="22"/>
          <w:szCs w:val="22"/>
        </w:rPr>
        <w:t xml:space="preserve">SELECTED INVITED TALKS &amp; POSTERS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UAMS Radiology Retreat, 2026 — Synthetic CT phantom for nodule-detection validation.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UAMS Winthrop P. Rockefeller Cancer Institute, 2026 — From CT quality control to structured radiology reporting and validation.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NCI Early Detection Research Network (Caltech), 2024 — Optimizing and harnessing 20M NLST CT lung-screening images.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APTEC Annual Meeting, 2019 — Digital image correlation for LDPE deformation (audience 200+).</w:t>
      </w:r>
    </w:p>
    <w:p>
      <w:pPr>
        <w:pBdr>
          <w:bottom w:val="single" w:color="BFCBD0" w:sz="6" w:space="4"/>
        </w:pBdr>
        <w:spacing w:after="120" w:before="300"/>
      </w:pPr>
      <w:r>
        <w:rPr>
          <w:rFonts w:ascii="Cambria" w:cs="Cambria" w:eastAsia="Cambria" w:hAnsi="Cambria"/>
          <w:b/>
          <w:bCs/>
          <w:color w:val="0B5563"/>
          <w:spacing w:val="30"/>
          <w:sz w:val="22"/>
          <w:szCs w:val="22"/>
        </w:rPr>
        <w:t xml:space="preserve">GRANTS &amp; LARGE-SCALE RESEARCH INITIATIVES (CONTRIBUTOR)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NCI U24 CA215109 — The Cancer Imaging Archive (TCIA) sustainment and scalability. Contributor to imaging-data infrastructure supporting multi-institutional AI research and data sharing.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UAMS Team Science Award ($100K) — lead and main contributor to an interdisciplinary initiative on clinical AI and imaging analytics.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UAMS Team Science Award ($40K) — lead and main contributor to a collaborative programme supporting translational imaging and data-driven clinical studies.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EU EuCanImage (SEP 210631720; €805,479) — contributor to an international imaging-AI ecosystem for multi-centre data integration and cancer research.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MOTIE Korea International R&amp;D Program (P0006842) — contributor to global technology collaboration in imaging and data-driven innovation.</w:t>
      </w:r>
    </w:p>
    <w:p>
      <w:pPr>
        <w:pBdr>
          <w:bottom w:val="single" w:color="BFCBD0" w:sz="6" w:space="4"/>
        </w:pBdr>
        <w:spacing w:after="120" w:before="300"/>
      </w:pPr>
      <w:r>
        <w:rPr>
          <w:rFonts w:ascii="Cambria" w:cs="Cambria" w:eastAsia="Cambria" w:hAnsi="Cambria"/>
          <w:b/>
          <w:bCs/>
          <w:color w:val="0B5563"/>
          <w:spacing w:val="30"/>
          <w:sz w:val="22"/>
          <w:szCs w:val="22"/>
        </w:rPr>
        <w:t xml:space="preserve">HONORS &amp; AWARDS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Champion, three of five categories — CMU–NVIDIA Federated Learning Hackathon, 2026.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Top-ten poster — Mayo Clinic AI Summit, 2025.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Second place — Datathon.org, Emory University School of Medicine, 2024.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Travel grants — SIIM (2025), SCCM (2024–2025), HITLAB (2024).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Merit Scholarship — World University of Bangladesh.</w:t>
      </w:r>
    </w:p>
    <w:p>
      <w:pPr>
        <w:pBdr>
          <w:bottom w:val="single" w:color="BFCBD0" w:sz="6" w:space="4"/>
        </w:pBdr>
        <w:spacing w:after="120" w:before="300"/>
      </w:pPr>
      <w:r>
        <w:rPr>
          <w:rFonts w:ascii="Cambria" w:cs="Cambria" w:eastAsia="Cambria" w:hAnsi="Cambria"/>
          <w:b/>
          <w:bCs/>
          <w:color w:val="0B5563"/>
          <w:spacing w:val="30"/>
          <w:sz w:val="22"/>
          <w:szCs w:val="22"/>
        </w:rPr>
        <w:t xml:space="preserve">PROFESSIONAL SERVICE &amp; LEADERSHIP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Editorial &amp; peer review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Ethics Reviewer — NeurIPS, 2026.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Program Reviewer — Society for Imaging Informatics in Medicine (SIIM) Annual Conference, 2025–present.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Ad hoc reviewer — Frontiers in Medicine, 2024–present (6+ manuscripts); Journal of Thoracic Disease.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Poster judge — UAMS Summer Research Program, Winthrop P. Rockefeller Cancer Institute, 2024 (17 posters).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Conference &amp; project leadership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Area Chair, Challenges Track — Medical Image Computing and Computer Assisted Intervention (MICCAI), 2026.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Site Lead (UAMS) — multi-institutional federated learning project for LDCT lung cancer screening (Moffitt, Vanderbilt, UCLA, U. Pittsburgh).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Workshop co-lead — Practical AI in Healthcare: fine-tuning and deployment with open-source tools, Mayo Clinic, 2025.</w:t>
      </w:r>
    </w:p>
    <w:p>
      <w:pPr>
        <w:pBdr>
          <w:bottom w:val="single" w:color="BFCBD0" w:sz="6" w:space="4"/>
        </w:pBdr>
        <w:spacing w:after="120" w:before="300"/>
      </w:pPr>
      <w:r>
        <w:rPr>
          <w:rFonts w:ascii="Cambria" w:cs="Cambria" w:eastAsia="Cambria" w:hAnsi="Cambria"/>
          <w:b/>
          <w:bCs/>
          <w:color w:val="0B5563"/>
          <w:spacing w:val="30"/>
          <w:sz w:val="22"/>
          <w:szCs w:val="22"/>
        </w:rPr>
        <w:t xml:space="preserve">TEACHING &amp; MENTORING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Research mentorship — Medical Imaging AI, UAMS (2023–present). Mentored three Ph.D. students and one M.D. student in imaging AI, GPU/HPC workflows, DICOM/PACS handling, experimental design and reproducible research.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Graduate Teaching &amp; Research Associate — Southeastern Louisiana University (2019–2020). Instructed Physics 101/102 laboratories and lectures; supported curriculum delivery and training in experimental methods.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Instructor &amp; mentor — foundation-year physics and mathematics (2010–2017). Taught and mentored 10,000+ pre-university students; developed problem-based learning materials and exam-preparation frameworks.</w:t>
      </w:r>
    </w:p>
    <w:p>
      <w:pPr>
        <w:pBdr>
          <w:bottom w:val="single" w:color="BFCBD0" w:sz="6" w:space="4"/>
        </w:pBdr>
        <w:spacing w:after="120" w:before="300"/>
      </w:pPr>
      <w:r>
        <w:rPr>
          <w:rFonts w:ascii="Cambria" w:cs="Cambria" w:eastAsia="Cambria" w:hAnsi="Cambria"/>
          <w:b/>
          <w:bCs/>
          <w:color w:val="0B5563"/>
          <w:spacing w:val="30"/>
          <w:sz w:val="22"/>
          <w:szCs w:val="22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Machine learning: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Model development, training, validation and deployment; supervised, self-supervised and representation learning; classification, detection and quantitative image analysis; imbalanced-data learning; transfer learning and fine-tuning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Architectures: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2D and 3D CNNs; Vision Transformers; self-supervised foundation models (RAD-DINO, DINOv2); diffusion models; multimodal vision–language models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Imaging &amp; standards: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CT; chest radiography foundation models; digital pathology (WSI); DICOM, PACS, DICOMweb; volumetric and density quantification; RadLex, SNOMED; 3D Slicer, ITK-SNAP; TCIA, TCGA, NCI Imaging Data Commons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 (primary), C/C++, Java, MATLAB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Frameworks: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PyTorch, TensorFlow, Keras; NVIDIA FLARE (federated learning)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Evaluation: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ROC/AUC, sensitivity/specificity, precision/recall, PR/F1; calibration; threshold and cut-point optimisation; reproducibility, drift and stability analysis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Engineering practice: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 and collaborative development; code review; testing; experiment tracking and automated reporting; data/model/code versioning and traceability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Compute &amp; cloud: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Linux; Slurm; HPC with A100 multi-GPU clusters; Google Cloud Platform; AWS; BigQuery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 engineering: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Large-scale imaging pipelines; leakage-safe patient-level splitting; multi-institutional harmonisation and quality control; metadata normalisation; data governance (DUAs, PHI de-identification)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Regulatory &amp; quality: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FDA 510(k) and De Novo–oriented documentation; Good Machine Learning Practice (GMLP); reproducible, auditable validation; clinical-deployment and continuous-monitoring evaluation; IRB-approved prospective validation</w:t>
      </w:r>
    </w:p>
    <w:p>
      <w:pPr>
        <w:pBdr>
          <w:bottom w:val="single" w:color="BFCBD0" w:sz="6" w:space="4"/>
        </w:pBdr>
        <w:spacing w:after="120" w:before="300"/>
      </w:pPr>
      <w:r>
        <w:rPr>
          <w:rFonts w:ascii="Cambria" w:cs="Cambria" w:eastAsia="Cambria" w:hAnsi="Cambria"/>
          <w:b/>
          <w:bCs/>
          <w:color w:val="0B5563"/>
          <w:spacing w:val="30"/>
          <w:sz w:val="22"/>
          <w:szCs w:val="22"/>
        </w:rPr>
        <w:t xml:space="preserve">SELECTED DATASETS &amp; SOFTWARE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NLST-derived CT screening cohort (20M+ slices). Internal UAMS-curated dataset: preprocessing, DICOM normalisation, leakage-safe patient-level splits and RAD-DINO embedding pipelines for large-scale training and evaluation.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Multimodal pathology retrieval and auto-captioning pipeline. Vision foundation-model embeddings, rule-based labelling and LLM summarisation, with interactive tools for retrieval evaluation and semantic alignment.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HunCRC and ARCH datasets. Generated embeddings and performed leave-one-out retrieval analysis for histopathology image similarity and representation benchmarking.</w:t>
      </w:r>
    </w:p>
    <w:p>
      <w:pPr>
        <w:pBdr>
          <w:bottom w:val="single" w:color="BFCBD0" w:sz="6" w:space="4"/>
        </w:pBdr>
        <w:spacing w:after="120" w:before="300"/>
      </w:pPr>
      <w:r>
        <w:rPr>
          <w:rFonts w:ascii="Cambria" w:cs="Cambria" w:eastAsia="Cambria" w:hAnsi="Cambria"/>
          <w:b/>
          <w:bCs/>
          <w:color w:val="0B5563"/>
          <w:spacing w:val="30"/>
          <w:sz w:val="22"/>
          <w:szCs w:val="22"/>
        </w:rPr>
        <w:t xml:space="preserve">CERTIFICATIONS &amp; MEMBERSHIPS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Certified in Lung Cancer Screening Education — American College of Radiology (ACR), 2024.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National Imaging Informatics Course (NIIC) — SIIM / AAPM / RSNA.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20+ professional certifications — NVIDIA, Google, Coursera (AI, deep learning, cloud computing, data science).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Member — The MICCAI Society; Society for Imaging Informatics in Medicine (SIIM); Radiological Society of North America (RSNA); American College of Radiology (ACR); Society of Critical Care Medicine (SCCM).</w:t>
      </w:r>
    </w:p>
    <w:p>
      <w:pPr>
        <w:pBdr>
          <w:bottom w:val="single" w:color="BFCBD0" w:sz="6" w:space="4"/>
        </w:pBdr>
        <w:spacing w:after="120" w:before="300"/>
      </w:pPr>
      <w:r>
        <w:rPr>
          <w:rFonts w:ascii="Cambria" w:cs="Cambria" w:eastAsia="Cambria" w:hAnsi="Cambria"/>
          <w:b/>
          <w:bCs/>
          <w:color w:val="0B5563"/>
          <w:spacing w:val="30"/>
          <w:sz w:val="22"/>
          <w:szCs w:val="22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Prof. Dr. Fred W. Prior — Distinguished Professor &amp; Chair, Department of Biomedical Informatics, UAMS · FWPrior@uams.edu · +1 (314) 303-2485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Dr. Lawrence Tarbox — Associate Professor &amp; Head of HPC, Department of Biomedical Informatics, UAMS · lrtarbox@uams.edu · +1 (501) 603-1766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Dr. Donald J. Johann Jr. — Professor (M.D.), Cancer Therapeutics, UAMS · djjohann@uams.edu · +1 (501) 526-6990</w:t>
      </w:r>
    </w:p>
    <w:sectPr>
      <w:footerReference w:type="default" r:id="rId7"/>
      <w:pgSz w:w="12240" w:h="15840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Md Enamul Hoq · Curriculum Vitae ·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b4ydev3sdyrwg9myeqvth" Type="http://schemas.openxmlformats.org/officeDocument/2006/relationships/hyperlink" Target="mailto:mdenamulmte@gmail.com" TargetMode="External"/><Relationship Id="rIdykw9wai_6tv9d44b_pnwb" Type="http://schemas.openxmlformats.org/officeDocument/2006/relationships/hyperlink" Target="mailto:mhoq@uams.edu" TargetMode="External"/><Relationship Id="rId7hvmgdra3wets-_b7j9v1" Type="http://schemas.openxmlformats.org/officeDocument/2006/relationships/hyperlink" Target="https://enamul-hoq.github.io/myWebsite/" TargetMode="External"/><Relationship Id="rIdlq8j3wdzyzatqrnuz0z3t" Type="http://schemas.openxmlformats.org/officeDocument/2006/relationships/hyperlink" Target="https://scholar.google.com/citations?user=mP_LvPoAAAAJ&amp;hl=en" TargetMode="External"/><Relationship Id="rIdqmioriwbyefp5tfiledyy" Type="http://schemas.openxmlformats.org/officeDocument/2006/relationships/hyperlink" Target="https://github.com/Enamul-Hoq" TargetMode="External"/><Relationship Id="rIdvt6sdcobog3jihbtkf_1y" Type="http://schemas.openxmlformats.org/officeDocument/2006/relationships/hyperlink" Target="https://www.linkedin.com/in/mhoq89/" TargetMode="External"/><Relationship Id="rIdsl_5g7vbvt-hxiah4y8ue" Type="http://schemas.openxmlformats.org/officeDocument/2006/relationships/hyperlink" Target="https://doi.org/10.1007/s10278-025-01748-4" TargetMode="External"/><Relationship Id="rIdf4ymgwh4qq1kamgtcrmmd" Type="http://schemas.openxmlformats.org/officeDocument/2006/relationships/hyperlink" Target="https://openreview.net/forum?id=yNVDkAjGjw" TargetMode="External"/><Relationship Id="rIdypwbct6sthk8t6_4ydr7d" Type="http://schemas.openxmlformats.org/officeDocument/2006/relationships/hyperlink" Target="https://arxiv.org/abs/2605.00893" TargetMode="External"/><Relationship Id="rIdvoqd4xxf61gp-9kkcagke" Type="http://schemas.openxmlformats.org/officeDocument/2006/relationships/hyperlink" Target="https://arxiv.org/abs/2512.24294" TargetMode="External"/><Relationship Id="rIdxfuggrcicjixm7txa4wvn" Type="http://schemas.openxmlformats.org/officeDocument/2006/relationships/hyperlink" Target="https://doi.org/10.20944/preprints202606.1208.v1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 Enamul Hoq — Curriculum Vitae</dc:title>
  <dc:creator>Md Enamul Hoq</dc:creator>
  <cp:lastModifiedBy>Un-named</cp:lastModifiedBy>
  <cp:revision>1</cp:revision>
  <dcterms:created xsi:type="dcterms:W3CDTF">2026-08-04T23:15:45.874Z</dcterms:created>
  <dcterms:modified xsi:type="dcterms:W3CDTF">2026-08-04T23:15:45.874Z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