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11827"/>
          <w:sz w:val="64"/>
          <w:szCs w:val="64"/>
        </w:rPr>
        <w:t xml:space="preserve">Documentación Técnica</w:t>
      </w:r>
    </w:p>
    <w:p>
      <w:pPr>
        <w:spacing w:after="120"/>
        <w:jc w:val="center"/>
      </w:pPr>
      <w:r>
        <w:rPr>
          <w:b/>
          <w:bCs/>
          <w:color w:val="1F2937"/>
          <w:sz w:val="40"/>
          <w:szCs w:val="40"/>
        </w:rPr>
        <w:t xml:space="preserve">Frontend del Sistema SICAP</w:t>
      </w:r>
    </w:p>
    <w:p>
      <w:pPr>
        <w:jc w:val="center"/>
      </w:pPr>
      <w:r>
        <w:rPr>
          <w:i/>
          <w:iCs/>
          <w:color w:val="6B7280"/>
          <w:sz w:val="24"/>
          <w:szCs w:val="24"/>
        </w:rPr>
        <w:t xml:space="preserve">Sistema Integral de Control de Agua Potable</w:t>
      </w:r>
    </w:p>
    <w:p>
      <w:pPr>
        <w:pBdr>
          <w:bottom w:val="single" w:color="9CA3AF" w:sz="6"/>
        </w:pBdr>
        <w:spacing w:before="200"/>
        <w:jc w:val="center"/>
      </w:pPr>
    </w:p>
    <w:p>
      <w:pPr>
        <w:spacing w:before="400"/>
        <w:jc w:val="center"/>
      </w:pPr>
      <w:r>
        <w:rPr>
          <w:color w:val="1F2937"/>
          <w:sz w:val="22"/>
          <w:szCs w:val="22"/>
        </w:rPr>
        <w:t xml:space="preserve">Arquitectura · Módulos · Sistema de Diseño · Reglas de Negocio</w:t>
      </w:r>
    </w:p>
    <w:p>
      <w:pPr>
        <w:spacing w:before="1800"/>
        <w:jc w:val="center"/>
      </w:pPr>
      <w:r>
        <w:rPr>
          <w:color w:val="6B7280"/>
          <w:sz w:val="20"/>
          <w:szCs w:val="20"/>
        </w:rPr>
        <w:t xml:space="preserve">Stack: React 19 · TypeScript 5.9 · Vite 7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00"/>
      </w:pPr>
      <w:r>
        <w:rPr>
          <w:i/>
          <w:iCs/>
          <w:color w:val="6B7280"/>
          <w:sz w:val="18"/>
          <w:szCs w:val="18"/>
        </w:rPr>
        <w:t xml:space="preserve">En Word, actualice la tabla (clic derecho → Actualizar campos) para regenerar la numeración de páginas.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1. Resumen ejecutivo</w:t>
      </w:r>
    </w:p>
    <w:p>
      <w:pPr>
        <w:spacing w:after="120" w:line="276"/>
        <w:jc w:val="both"/>
      </w:pPr>
      <w:r>
        <w:rPr>
          <w:color w:val="1F2937"/>
        </w:rPr>
        <w:t xml:space="preserve">El frontend de SICAP es una aplicación de página única (SPA) construida con </w:t>
      </w:r>
      <w:r>
        <w:rPr>
          <w:b/>
          <w:bCs/>
          <w:color w:val="1F2937"/>
        </w:rPr>
        <w:t xml:space="preserve">React 19.2, TypeScript 5.9 y Vite 7</w:t>
      </w:r>
      <w:r>
        <w:rPr>
          <w:color w:val="1F2937"/>
        </w:rPr>
        <w:t xml:space="preserve">, que gestiona el ciclo completo de cobro de agua potable: padrón de cuentahabientes, pagos, cargos y deudas, descuentos, estados de cuenta, tesorería, cortes de caja, cierre anual y reportería.</w:t>
      </w:r>
    </w:p>
    <w:p>
      <w:pPr>
        <w:spacing w:after="120" w:line="276"/>
        <w:jc w:val="both"/>
      </w:pPr>
      <w:r>
        <w:rPr>
          <w:color w:val="1F2937"/>
        </w:rPr>
        <w:t xml:space="preserve">La aplicación se estructura en tres capas: una </w:t>
      </w:r>
      <w:r>
        <w:rPr>
          <w:b/>
          <w:bCs/>
          <w:color w:val="1F2937"/>
        </w:rPr>
        <w:t xml:space="preserve">capa de servicios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src/services/*.service.ts</w:t>
      </w:r>
      <w:r>
        <w:rPr>
          <w:color w:val="1F2937"/>
        </w:rPr>
        <w:t xml:space="preserve">) que encapsula el acceso HTTP mediante una instancia central de Axios; una capa de </w:t>
      </w:r>
      <w:r>
        <w:rPr>
          <w:b/>
          <w:bCs/>
          <w:color w:val="1F2937"/>
        </w:rPr>
        <w:t xml:space="preserve">componentes reutilizables</w:t>
      </w:r>
      <w:r>
        <w:rPr>
          <w:color w:val="1F2937"/>
        </w:rPr>
        <w:t xml:space="preserve"> (tablas, formularios, tickets y tarjetas); y una capa de </w:t>
      </w:r>
      <w:r>
        <w:rPr>
          <w:b/>
          <w:bCs/>
          <w:color w:val="1F2937"/>
        </w:rPr>
        <w:t xml:space="preserve">páginas</w:t>
      </w:r>
      <w:r>
        <w:rPr>
          <w:color w:val="1F2937"/>
        </w:rPr>
        <w:t xml:space="preserve"> organizadas por dominio. La navegación se resuelve con el enrutador de datos de React Router 7 y el acceso se protege mediante autenticación basada en JWT.</w:t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2. Arquitectura y stack tecnológico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2.1 Stack principal</w:t>
      </w:r>
    </w:p>
    <w:tbl>
      <w:tblPr>
        <w:tblW w:type="pct" w:w="100%"/>
        <w:tblBorders>
          <w:top w:val="single" w:color="C7CBD1" w:sz="2"/>
          <w:left w:val="single" w:color="C7CBD1" w:sz="2"/>
          <w:bottom w:val="single" w:color="C7CBD1" w:sz="2"/>
          <w:right w:val="single" w:color="C7CBD1" w:sz="2"/>
          <w:insideH w:val="single" w:color="C7CBD1" w:sz="2"/>
          <w:insideV w:val="single" w:color="C7CBD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Capa</w:t>
            </w:r>
          </w:p>
        </w:tc>
        <w:tc>
          <w:tcPr>
            <w:tcW w:type="pct" w:w="40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Tecnología</w:t>
            </w:r>
          </w:p>
        </w:tc>
        <w:tc>
          <w:tcPr>
            <w:tcW w:type="pct" w:w="38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Build / Dev server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Vite 7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Scripts: dev, build (tsc -b &amp;&amp; vite build), preview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Librería UI</w:t>
            </w:r>
          </w:p>
        </w:tc>
        <w:tc>
          <w:tcPr>
            <w:tcW w:type="pct" w:w="4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React 19.2</w:t>
            </w:r>
          </w:p>
        </w:tc>
        <w:tc>
          <w:tcPr>
            <w:tcW w:type="pct" w:w="3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 babel-plugin-react-compiler (React Compiler)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Lenguaje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TypeScript 5.9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strict, moduleResolution bundler, verbatimModuleSyntax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Enrutamiento</w:t>
            </w:r>
          </w:p>
        </w:tc>
        <w:tc>
          <w:tcPr>
            <w:tcW w:type="pct" w:w="4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react-router-dom 7</w:t>
            </w:r>
          </w:p>
        </w:tc>
        <w:tc>
          <w:tcPr>
            <w:tcW w:type="pct" w:w="3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createBrowserRouter (enrutador de datos)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Cliente HTTP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Axios 1.12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Instancia central con interceptores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Generación PDF</w:t>
            </w:r>
          </w:p>
        </w:tc>
        <w:tc>
          <w:tcPr>
            <w:tcW w:type="pct" w:w="4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@react-pdf/renderer 4, jspdf 4, jspdf-autotable 5</w:t>
            </w:r>
          </w:p>
        </w:tc>
        <w:tc>
          <w:tcPr>
            <w:tcW w:type="pct" w:w="3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Estados de cuenta, tickets, cortes y reportes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UI / UX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lucide-react, react-icons, sweetalert2, recharts 3, react-date-range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Iconografía, alertas, gráficas y rangos de fecha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Estilos</w:t>
            </w:r>
          </w:p>
        </w:tc>
        <w:tc>
          <w:tcPr>
            <w:tcW w:type="pct" w:w="4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CSS global</w:t>
            </w:r>
          </w:p>
        </w:tc>
        <w:tc>
          <w:tcPr>
            <w:tcW w:type="pct" w:w="3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 Tailwind ni CSS-in-JS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11827"/>
        </w:rPr>
        <w:t xml:space="preserve">2.2 Configuración de TypeScript</w:t>
      </w:r>
    </w:p>
    <w:p>
      <w:pPr>
        <w:spacing w:after="120" w:line="276"/>
        <w:jc w:val="both"/>
      </w:pPr>
      <w:r>
        <w:rPr>
          <w:color w:val="1F2937"/>
        </w:rPr>
        <w:t xml:space="preserve">El proyecto emplea referencias de proyecto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tsconfig.app.json</w:t>
      </w:r>
      <w:r>
        <w:rPr>
          <w:color w:val="1F2937"/>
        </w:rPr>
        <w:t xml:space="preserve"> y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tsconfig.node.json</w:t>
      </w:r>
      <w:r>
        <w:rPr>
          <w:color w:val="1F2937"/>
        </w:rPr>
        <w:t xml:space="preserve">), con una configuración estricta orientada a bundler: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target/lib: </w:t>
      </w:r>
      <w:r>
        <w:rPr>
          <w:color w:val="1F2937"/>
        </w:rPr>
        <w:t xml:space="preserve">ES2022, DOM, DOM.Iterable.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moduleResolution: bundler</w:t>
      </w:r>
      <w:r>
        <w:rPr>
          <w:color w:val="1F2937"/>
        </w:rPr>
        <w:t xml:space="preserve"> con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allowImportingTsExtensions</w:t>
      </w:r>
      <w:r>
        <w:rPr>
          <w:color w:val="1F2937"/>
        </w:rPr>
        <w:t xml:space="preserve"> y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verbatimModuleSyntax</w:t>
      </w:r>
      <w:r>
        <w:rPr>
          <w:color w:val="1F2937"/>
        </w:rPr>
        <w:t xml:space="preserve"> (imports de tipo explícitos con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import type</w:t>
      </w:r>
      <w:r>
        <w:rPr>
          <w:color w:val="1F2937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Reglas de compilador: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strict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noUnusedLocals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noUnusedParameters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noFallthroughCasesInSwitch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erasableSyntaxOnly</w:t>
      </w:r>
      <w:r>
        <w:rPr>
          <w:color w:val="1F2937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2.3 Cliente HTTP central (api_axios.ts)</w:t>
      </w:r>
    </w:p>
    <w:p>
      <w:pPr>
        <w:spacing w:after="120" w:line="276"/>
        <w:jc w:val="both"/>
      </w:pPr>
      <w:r>
        <w:rPr>
          <w:color w:val="1F2937"/>
        </w:rPr>
        <w:t xml:space="preserve">Todo el tráfico de red se canaliza a través de una única instancia de Axios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src/api_axios.ts</w:t>
      </w:r>
      <w:r>
        <w:rPr>
          <w:color w:val="1F2937"/>
        </w:rPr>
        <w:t xml:space="preserve">) con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baseURL = import.meta.env.VITE_API_URL</w:t>
      </w:r>
      <w:r>
        <w:rPr>
          <w:color w:val="1F2937"/>
        </w:rPr>
        <w:t xml:space="preserve"> y un timeout de 30 s. Define dos interceptores: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Request: </w:t>
      </w:r>
      <w:r>
        <w:rPr>
          <w:color w:val="1F2937"/>
        </w:rPr>
        <w:t xml:space="preserve">añade el encabezado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Authorization: Bearer &lt;token&gt;</w:t>
      </w:r>
      <w:r>
        <w:rPr>
          <w:color w:val="1F2937"/>
        </w:rPr>
        <w:t xml:space="preserve"> a partir del token almacenado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localStorage('access')</w:t>
      </w:r>
      <w:r>
        <w:rPr>
          <w:color w:val="1F2937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Response — reintentos: </w:t>
      </w:r>
      <w:r>
        <w:rPr>
          <w:color w:val="1F2937"/>
        </w:rPr>
        <w:t xml:space="preserve">ante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429</w:t>
      </w:r>
      <w:r>
        <w:rPr>
          <w:color w:val="1F2937"/>
        </w:rPr>
        <w:t xml:space="preserve"> 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503</w:t>
      </w:r>
      <w:r>
        <w:rPr>
          <w:color w:val="1F2937"/>
        </w:rPr>
        <w:t xml:space="preserve"> reintenta hasta 4 veces con retroceso exponencial (1 s, 2 s, 4 s, 8 s) más jitter, respetando la cabecera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Retry-After</w:t>
      </w:r>
      <w:r>
        <w:rPr>
          <w:color w:val="1F2937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Response — sesión: </w:t>
      </w:r>
      <w:r>
        <w:rPr>
          <w:color w:val="1F2937"/>
        </w:rPr>
        <w:t xml:space="preserve">ante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401</w:t>
      </w:r>
      <w:r>
        <w:rPr>
          <w:color w:val="1F2937"/>
        </w:rPr>
        <w:t xml:space="preserve"> limpia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access</w:t>
      </w:r>
      <w:r>
        <w:rPr>
          <w:color w:val="1F2937"/>
        </w:rPr>
        <w:t xml:space="preserve"> y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usuario</w:t>
      </w:r>
      <w:r>
        <w:rPr>
          <w:color w:val="1F2937"/>
        </w:rPr>
        <w:t xml:space="preserve"> de localStorage y redirige 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/login</w:t>
      </w:r>
      <w:r>
        <w:rPr>
          <w:color w:val="1F2937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2.4 Composición de providers y arranque</w:t>
      </w:r>
    </w:p>
    <w:p>
      <w:pPr>
        <w:spacing w:after="120" w:line="276"/>
        <w:jc w:val="both"/>
      </w:pPr>
      <w:r>
        <w:rPr>
          <w:color w:val="1F2937"/>
        </w:rPr>
        <w:t xml:space="preserve">El punto de entrada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main.tsx</w:t>
      </w:r>
      <w:r>
        <w:rPr>
          <w:color w:val="1F2937"/>
        </w:rPr>
        <w:t xml:space="preserve">) compone la aplicación en el orden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StrictMode → ThemeProvider → AuthProvider → RouterProvider</w:t>
      </w:r>
      <w:r>
        <w:rPr>
          <w:color w:val="1F2937"/>
        </w:rPr>
        <w:t xml:space="preserve">, de modo que tema y sesión están disponibles en todo el árbol antes de renderizar cualquier ruta.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2.5 Enrutamiento y rutas disponibles</w:t>
      </w:r>
    </w:p>
    <w:p>
      <w:pPr>
        <w:spacing w:after="120" w:line="276"/>
        <w:jc w:val="both"/>
      </w:pPr>
      <w:r>
        <w:rPr>
          <w:color w:val="1F2937"/>
        </w:rPr>
        <w:t xml:space="preserve">Las rutas se declaran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src/routes/rutas.tsx</w:t>
      </w:r>
      <w:r>
        <w:rPr>
          <w:color w:val="1F2937"/>
        </w:rPr>
        <w:t xml:space="preserve">. Las rutas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/</w:t>
      </w:r>
      <w:r>
        <w:rPr>
          <w:color w:val="1F2937"/>
        </w:rPr>
        <w:t xml:space="preserve"> y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/Login</w:t>
      </w:r>
      <w:r>
        <w:rPr>
          <w:color w:val="1F2937"/>
        </w:rPr>
        <w:t xml:space="preserve"> son públicas; el resto se envuelve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&lt;ProtectedRoute&gt;</w:t>
      </w:r>
      <w:r>
        <w:rPr>
          <w:color w:val="1F2937"/>
        </w:rPr>
        <w:t xml:space="preserve"> (verifica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isAuthenticated</w:t>
      </w:r>
      <w:r>
        <w:rPr>
          <w:color w:val="1F2937"/>
        </w:rPr>
        <w:t xml:space="preserve">) y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&lt;RootLayout&gt;</w:t>
      </w:r>
      <w:r>
        <w:rPr>
          <w:color w:val="1F2937"/>
        </w:rPr>
        <w:t xml:space="preserve">, que monta el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Navbar</w:t>
      </w:r>
      <w:r>
        <w:rPr>
          <w:color w:val="1F2937"/>
        </w:rPr>
        <w:t xml:space="preserve"> y un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&lt;Outlet/&gt;</w:t>
      </w:r>
      <w:r>
        <w:rPr>
          <w:color w:val="1F2937"/>
        </w:rPr>
        <w:t xml:space="preserve">. La ruta comodín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*</w:t>
      </w:r>
      <w:r>
        <w:rPr>
          <w:color w:val="1F2937"/>
        </w:rPr>
        <w:t xml:space="preserve"> redirige 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/Login</w:t>
      </w:r>
      <w:r>
        <w:rPr>
          <w:color w:val="1F2937"/>
        </w:rPr>
        <w:t xml:space="preserve">. La visibilidad de cada opción depende del rol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usuario.role</w:t>
      </w:r>
      <w:r>
        <w:rPr>
          <w:color w:val="1F2937"/>
        </w:rPr>
        <w:t xml:space="preserve">): el Panel de Administración se ofrece 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admin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supervisor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tesorero_sr</w:t>
      </w:r>
      <w:r>
        <w:rPr>
          <w:color w:val="1F2937"/>
        </w:rPr>
        <w:t xml:space="preserve"> y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tesorero_jr</w:t>
      </w:r>
      <w:r>
        <w:rPr>
          <w:color w:val="1F2937"/>
        </w:rPr>
        <w:t xml:space="preserve">.</w:t>
      </w:r>
    </w:p>
    <w:p>
      <w:pPr>
        <w:spacing w:after="120" w:line="276"/>
        <w:jc w:val="both"/>
      </w:pPr>
      <w:r>
        <w:rPr>
          <w:b/>
          <w:bCs/>
          <w:color w:val="1F2937"/>
        </w:rPr>
        <w:t xml:space="preserve">Rutas disponibles y su módulo:</w:t>
      </w:r>
    </w:p>
    <w:tbl>
      <w:tblPr>
        <w:tblW w:type="pct" w:w="100%"/>
        <w:tblBorders>
          <w:top w:val="single" w:color="C7CBD1" w:sz="2"/>
          <w:left w:val="single" w:color="C7CBD1" w:sz="2"/>
          <w:bottom w:val="single" w:color="C7CBD1" w:sz="2"/>
          <w:right w:val="single" w:color="C7CBD1" w:sz="2"/>
          <w:insideH w:val="single" w:color="C7CBD1" w:sz="2"/>
          <w:insideV w:val="single" w:color="C7CBD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Ruta</w:t>
            </w:r>
          </w:p>
        </w:tc>
        <w:tc>
          <w:tcPr>
            <w:tcW w:type="pct" w:w="34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Vista</w:t>
            </w:r>
          </w:p>
        </w:tc>
        <w:tc>
          <w:tcPr>
            <w:tcW w:type="pct" w:w="36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Módulo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 , /Login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Login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Autenticación y seguridad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/Home</w:t>
            </w:r>
          </w:p>
        </w:tc>
        <w:tc>
          <w:tcPr>
            <w:tcW w:type="pct" w:w="3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Home</w:t>
            </w:r>
          </w:p>
        </w:tc>
        <w:tc>
          <w:tcPr>
            <w:tcW w:type="pct" w:w="3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Inicio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/Main_Card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Main_Card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Navegación — Panel principal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/Admin_Cards</w:t>
            </w:r>
          </w:p>
        </w:tc>
        <w:tc>
          <w:tcPr>
            <w:tcW w:type="pct" w:w="3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Admin_Cards</w:t>
            </w:r>
          </w:p>
        </w:tc>
        <w:tc>
          <w:tcPr>
            <w:tcW w:type="pct" w:w="3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Navegación — Panel de administración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/Tabla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ContractTable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Consulta de pagos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/Pago</w:t>
            </w:r>
          </w:p>
        </w:tc>
        <w:tc>
          <w:tcPr>
            <w:tcW w:type="pct" w:w="3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FormularioPago</w:t>
            </w:r>
          </w:p>
        </w:tc>
        <w:tc>
          <w:tcPr>
            <w:tcW w:type="pct" w:w="3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Pagos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/Rcuentahabiente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CuentahabientesPage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Cuentahabientes (padrón)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/estadocuenta</w:t>
            </w:r>
          </w:p>
        </w:tc>
        <w:tc>
          <w:tcPr>
            <w:tcW w:type="pct" w:w="3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EstadoCuentaPage</w:t>
            </w:r>
          </w:p>
        </w:tc>
        <w:tc>
          <w:tcPr>
            <w:tcW w:type="pct" w:w="3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 de cuenta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/cargos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CargosManager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Cargos y deudas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/tcargos</w:t>
            </w:r>
          </w:p>
        </w:tc>
        <w:tc>
          <w:tcPr>
            <w:tcW w:type="pct" w:w="3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CargosPage</w:t>
            </w:r>
          </w:p>
        </w:tc>
        <w:tc>
          <w:tcPr>
            <w:tcW w:type="pct" w:w="3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Cargos — tipos de cargo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/Descuento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DescuentosPage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Descuentos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/servicios</w:t>
            </w:r>
          </w:p>
        </w:tc>
        <w:tc>
          <w:tcPr>
            <w:tcW w:type="pct" w:w="3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ServiciosPage</w:t>
            </w:r>
          </w:p>
        </w:tc>
        <w:tc>
          <w:tcPr>
            <w:tcW w:type="pct" w:w="3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Catálogos administrativos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/Radmin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RegisterAdmin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Catálogos administrativos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/Rcobradores</w:t>
            </w:r>
          </w:p>
        </w:tc>
        <w:tc>
          <w:tcPr>
            <w:tcW w:type="pct" w:w="3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CobradoresPage</w:t>
            </w:r>
          </w:p>
        </w:tc>
        <w:tc>
          <w:tcPr>
            <w:tcW w:type="pct" w:w="3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Catálogos administrativos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/grupos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Grupos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Catálogos administrativos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/calles</w:t>
            </w:r>
          </w:p>
        </w:tc>
        <w:tc>
          <w:tcPr>
            <w:tcW w:type="pct" w:w="3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CallesPage</w:t>
            </w:r>
          </w:p>
        </w:tc>
        <w:tc>
          <w:tcPr>
            <w:tcW w:type="pct" w:w="3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Catálogos administrativos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/cierreanual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CierreAnual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Cierre anual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/tesoreria</w:t>
            </w:r>
          </w:p>
        </w:tc>
        <w:tc>
          <w:tcPr>
            <w:tcW w:type="pct" w:w="3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Tesoreria_Cards</w:t>
            </w:r>
          </w:p>
        </w:tc>
        <w:tc>
          <w:tcPr>
            <w:tcW w:type="pct" w:w="3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Tesorería — navegación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/egresos , /tabla_egresos , /main_egresos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Egresos / Histórico / Dashboard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Tesorería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/corte-caja</w:t>
            </w:r>
          </w:p>
        </w:tc>
        <w:tc>
          <w:tcPr>
            <w:tcW w:type="pct" w:w="3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CorteCaja</w:t>
            </w:r>
          </w:p>
        </w:tc>
        <w:tc>
          <w:tcPr>
            <w:tcW w:type="pct" w:w="3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Cortes de caja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/corte-junior , /corte-senior , /Corte-cards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CorteJunior / CorteSenior / Corte_Cards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Cortes de caja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/Menu_reporte</w:t>
            </w:r>
          </w:p>
        </w:tc>
        <w:tc>
          <w:tcPr>
            <w:tcW w:type="pct" w:w="3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Menu_reporte</w:t>
            </w:r>
          </w:p>
        </w:tc>
        <w:tc>
          <w:tcPr>
            <w:tcW w:type="pct" w:w="3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Reportería — navegación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/reportes , /reporteCalle , /reporteCargos , /reportePadron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Reporte / ReporteCalles / ReporteCargos / Padrón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Reportería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11827"/>
        </w:rPr>
        <w:t xml:space="preserve">2.6 Inventario de endpoints de API</w:t>
      </w:r>
    </w:p>
    <w:p>
      <w:pPr>
        <w:spacing w:after="120" w:line="276"/>
        <w:jc w:val="both"/>
      </w:pPr>
      <w:r>
        <w:rPr>
          <w:color w:val="1F2937"/>
        </w:rPr>
        <w:t xml:space="preserve">Cada dominio dispone de su servicio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src/services/</w:t>
      </w:r>
      <w:r>
        <w:rPr>
          <w:color w:val="1F2937"/>
        </w:rPr>
        <w:t xml:space="preserve">. Las rutas se expresan relativas 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VITE_API_URL</w:t>
      </w:r>
      <w:r>
        <w:rPr>
          <w:color w:val="1F2937"/>
        </w:rPr>
        <w:t xml:space="preserve">. Un subconjunto de endpoints incorpora el prefijo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/api/</w:t>
      </w:r>
      <w:r>
        <w:rPr>
          <w:color w:val="1F2937"/>
        </w:rPr>
        <w:t xml:space="preserve"> (corte de caja y vistas de reportes) mientras el resto se consume sin dicho prefijo.</w:t>
      </w:r>
    </w:p>
    <w:tbl>
      <w:tblPr>
        <w:tblW w:type="pct" w:w="100%"/>
        <w:tblBorders>
          <w:top w:val="single" w:color="C7CBD1" w:sz="2"/>
          <w:left w:val="single" w:color="C7CBD1" w:sz="2"/>
          <w:bottom w:val="single" w:color="C7CBD1" w:sz="2"/>
          <w:right w:val="single" w:color="C7CBD1" w:sz="2"/>
          <w:insideH w:val="single" w:color="C7CBD1" w:sz="2"/>
          <w:insideV w:val="single" w:color="C7CBD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Dominio</w:t>
            </w:r>
          </w:p>
        </w:tc>
        <w:tc>
          <w:tcPr>
            <w:tcW w:type="pct" w:w="46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Endpoint(s)</w:t>
            </w:r>
          </w:p>
        </w:tc>
        <w:tc>
          <w:tcPr>
            <w:tcW w:type="pct" w:w="28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Servicio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Autenticación / registro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/auth/login/, /auth/…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auth.service, Radmin.service, Rcobradores.service</w:t>
            </w:r>
          </w:p>
        </w:tc>
      </w:tr>
      <w:tr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Cuentahabientes</w:t>
            </w:r>
          </w:p>
        </w:tc>
        <w:tc>
          <w:tcPr>
            <w:tcW w:type="pct" w:w="4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/cuentahabientes/, /r-cuentahabientes/</w:t>
            </w:r>
          </w:p>
        </w:tc>
        <w:tc>
          <w:tcPr>
            <w:tcW w:type="pct" w:w="2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Rcuentahabientes.service, cuentahabientestabla.service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Pagos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/pago/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pago.service</w:t>
            </w:r>
          </w:p>
        </w:tc>
      </w:tr>
      <w:tr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Cargos</w:t>
            </w:r>
          </w:p>
        </w:tc>
        <w:tc>
          <w:tcPr>
            <w:tcW w:type="pct" w:w="4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/cargos/, /pagar-cargo/, /tipos-cargo/</w:t>
            </w:r>
          </w:p>
        </w:tc>
        <w:tc>
          <w:tcPr>
            <w:tcW w:type="pct" w:w="2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cargos.service, tcargos.service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Descuentos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/descuentos/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descuento.service</w:t>
            </w:r>
          </w:p>
        </w:tc>
      </w:tr>
      <w:tr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 de cuenta</w:t>
            </w:r>
          </w:p>
        </w:tc>
        <w:tc>
          <w:tcPr>
            <w:tcW w:type="pct" w:w="4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/estado-cuenta/, /estado-cuenta-resumen/, /vista-cargos/</w:t>
            </w:r>
          </w:p>
        </w:tc>
        <w:tc>
          <w:tcPr>
            <w:tcW w:type="pct" w:w="2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Estado_cuenta.service, estado_cuenta_resumen, estado_cuenta_cargos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Servicios / Grupos / Calles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/servicios/, /equipos/, /calles/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servicios.service, grupos.service, calle.service</w:t>
            </w:r>
          </w:p>
        </w:tc>
      </w:tr>
      <w:tr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Tesorería</w:t>
            </w:r>
          </w:p>
        </w:tc>
        <w:tc>
          <w:tcPr>
            <w:tcW w:type="pct" w:w="4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/ingresos/, /egresos/</w:t>
            </w:r>
          </w:p>
        </w:tc>
        <w:tc>
          <w:tcPr>
            <w:tcW w:type="pct" w:w="2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ingresos.service, egresos.service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 de caja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/api/corte/generar/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CorteCaja/Jr/Sr.service</w:t>
            </w:r>
          </w:p>
        </w:tc>
      </w:tr>
      <w:tr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Reportes / vistas</w:t>
            </w:r>
          </w:p>
        </w:tc>
        <w:tc>
          <w:tcPr>
            <w:tcW w:type="pct" w:w="4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/api/vista-pagos/, /api/vista-historial/, /api/vista-deudores/, /reporte-padron-general/, /reporte-cargos/</w:t>
            </w:r>
          </w:p>
        </w:tc>
        <w:tc>
          <w:tcPr>
            <w:tcW w:type="pct" w:w="2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views.service, deudores.service, reporte_*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3. Distribución de carpetas</w:t>
      </w:r>
    </w:p>
    <w:p>
      <w:pPr>
        <w:spacing w:after="120" w:line="276"/>
        <w:jc w:val="both"/>
      </w:pPr>
      <w:r>
        <w:rPr>
          <w:color w:val="1F2937"/>
        </w:rPr>
        <w:t xml:space="preserve">La estructura bajo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src/</w:t>
      </w:r>
      <w:r>
        <w:rPr>
          <w:color w:val="1F2937"/>
        </w:rPr>
        <w:t xml:space="preserve"> separa responsabilidades por tipo y por dominio:</w:t>
      </w:r>
    </w:p>
    <w:tbl>
      <w:tblPr>
        <w:tblW w:type="pct" w:w="100%"/>
        <w:tblBorders>
          <w:top w:val="single" w:color="C7CBD1" w:sz="2"/>
          <w:left w:val="single" w:color="C7CBD1" w:sz="2"/>
          <w:bottom w:val="single" w:color="C7CBD1" w:sz="2"/>
          <w:right w:val="single" w:color="C7CBD1" w:sz="2"/>
          <w:insideH w:val="single" w:color="C7CBD1" w:sz="2"/>
          <w:insideV w:val="single" w:color="C7CBD1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Directorio</w:t>
            </w:r>
          </w:p>
        </w:tc>
        <w:tc>
          <w:tcPr>
            <w:tcW w:type="pct" w:w="78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api_axios.ts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Cliente Axios único: baseURL, interceptores de autenticación y reintentos, manejo de 401.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main.tsx</w:t>
            </w:r>
          </w:p>
        </w:tc>
        <w:tc>
          <w:tcPr>
            <w:tcW w:type="pct" w:w="7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Arranque de React y composición de providers (Theme, Auth, Router).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routes/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rutas.tsx (createBrowserRouter) y ProtectedRoute.tsx (guard de autenticación).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services/</w:t>
            </w:r>
          </w:p>
        </w:tc>
        <w:tc>
          <w:tcPr>
            <w:tcW w:type="pct" w:w="7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Capa de acceso a API por dominio (*.service.ts), contextos (auth, theme), utilidades (paginacion.ts → fetchAllPages) y vistas de solo lectura (estado_cuenta_*, views.service, reporte_*).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components/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Reutilizables: tablas (registros_general y registro_* por entidad), forms (formulario reutilizable, pago, servicios, descuentos, tickets), cards, navbar, layout, botones, pdf / pdfCortes, searchselect.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pages/</w:t>
            </w:r>
          </w:p>
        </w:tc>
        <w:tc>
          <w:tcPr>
            <w:tcW w:type="pct" w:w="7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Vistas por módulo: Login, Home (paneles por rol), Principal_Form_Table, cargos, Estado_Cuenta, tesoreria, CorteCaja/Junior/Senior, reportes, cierre_anual y catálogos (Radmin, Rcobradores, calles, grupos).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styles/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styles.css: hoja global con el sistema visual.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assets/</w:t>
            </w:r>
          </w:p>
        </w:tc>
        <w:tc>
          <w:tcPr>
            <w:tcW w:type="pct" w:w="7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Recursos estáticos: logotipo e íconos.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4. Módulos funcionales</w:t>
      </w:r>
    </w:p>
    <w:p>
      <w:pPr>
        <w:spacing w:after="120" w:line="276"/>
        <w:jc w:val="both"/>
      </w:pPr>
      <w:r>
        <w:rPr>
          <w:color w:val="1F2937"/>
        </w:rPr>
        <w:t xml:space="preserve">El sistema se organiza en los siguientes módulos funcionales, con sus vistas y servicios asociados:</w:t>
      </w:r>
    </w:p>
    <w:tbl>
      <w:tblPr>
        <w:tblW w:type="pct" w:w="100%"/>
        <w:tblBorders>
          <w:top w:val="single" w:color="C7CBD1" w:sz="2"/>
          <w:left w:val="single" w:color="C7CBD1" w:sz="2"/>
          <w:bottom w:val="single" w:color="C7CBD1" w:sz="2"/>
          <w:right w:val="single" w:color="C7CBD1" w:sz="2"/>
          <w:insideH w:val="single" w:color="C7CBD1" w:sz="2"/>
          <w:insideV w:val="single" w:color="C7CBD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Módulo</w:t>
            </w:r>
          </w:p>
        </w:tc>
        <w:tc>
          <w:tcPr>
            <w:tcW w:type="pct" w:w="44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Componentes / Vistas</w:t>
            </w:r>
          </w:p>
        </w:tc>
        <w:tc>
          <w:tcPr>
            <w:tcW w:type="pct" w:w="32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Servicios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Login, RootLayout, ProtectedRoute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authcontext, auth.context, auth.service, api_axios</w:t>
            </w:r>
          </w:p>
        </w:tc>
      </w:tr>
      <w:tr>
        <w:tc>
          <w:tcPr>
            <w:tcW w:type="pct" w:w="2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Navegación por rol</w:t>
            </w:r>
          </w:p>
        </w:tc>
        <w:tc>
          <w:tcPr>
            <w:tcW w:type="pct" w:w="4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Main_Cards, Admin_Cards, Tesorero_Cards, Corte_cards, Menu_reporte, Navbar, WaterServiceCard</w:t>
            </w:r>
          </w:p>
        </w:tc>
        <w:tc>
          <w:tcPr>
            <w:tcW w:type="pct" w:w="3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auth.context (role)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Cuentahabientes (padrón)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cuentahabientespage, registro_cuentahabientes, form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Rcuentahabientes.service, cuentahabientestabla.service</w:t>
            </w:r>
          </w:p>
        </w:tc>
      </w:tr>
      <w:tr>
        <w:tc>
          <w:tcPr>
            <w:tcW w:type="pct" w:w="2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Pagos</w:t>
            </w:r>
          </w:p>
        </w:tc>
        <w:tc>
          <w:tcPr>
            <w:tcW w:type="pct" w:w="4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form_pago, ticket, ticket_pdf</w:t>
            </w:r>
          </w:p>
        </w:tc>
        <w:tc>
          <w:tcPr>
            <w:tcW w:type="pct" w:w="3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pago.service, descuento.service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Cargos y deudas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cargos.tsx, tcargos, TicketCargo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cargos.service, tcargos.service</w:t>
            </w:r>
          </w:p>
        </w:tc>
      </w:tr>
      <w:tr>
        <w:tc>
          <w:tcPr>
            <w:tcW w:type="pct" w:w="2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Descuentos</w:t>
            </w:r>
          </w:p>
        </w:tc>
        <w:tc>
          <w:tcPr>
            <w:tcW w:type="pct" w:w="4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form_descuentos, descuentospage</w:t>
            </w:r>
          </w:p>
        </w:tc>
        <w:tc>
          <w:tcPr>
            <w:tcW w:type="pct" w:w="3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descuento.service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 de cuenta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estado_cuenta.tsx, EstadoCuentaPDF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Estado_cuenta.service, estado_cuenta_resumen, estado_cuenta_cargos</w:t>
            </w:r>
          </w:p>
        </w:tc>
      </w:tr>
      <w:tr>
        <w:tc>
          <w:tcPr>
            <w:tcW w:type="pct" w:w="2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Catálogos administrativos</w:t>
            </w:r>
          </w:p>
        </w:tc>
        <w:tc>
          <w:tcPr>
            <w:tcW w:type="pct" w:w="4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Radmin, Rcobradores, servicios, grupos, calles</w:t>
            </w:r>
          </w:p>
        </w:tc>
        <w:tc>
          <w:tcPr>
            <w:tcW w:type="pct" w:w="3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Radmin.service, Rcobradores.service, servicios.service, grupos.service, calle.service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Tesorería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formulario_egresos, tabla_egresos, tabla_ingresos, main_egresos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egresos.service, ingresos.service</w:t>
            </w:r>
          </w:p>
        </w:tc>
      </w:tr>
      <w:tr>
        <w:tc>
          <w:tcPr>
            <w:tcW w:type="pct" w:w="2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Cortes de caja</w:t>
            </w:r>
          </w:p>
        </w:tc>
        <w:tc>
          <w:tcPr>
            <w:tcW w:type="pct" w:w="4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CorteCaja, CorteJunior, CorteSenior, CortePDF</w:t>
            </w:r>
          </w:p>
        </w:tc>
        <w:tc>
          <w:tcPr>
            <w:tcW w:type="pct" w:w="3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CorteCaja.service, CorteJr.service, CorteSr.service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Cierre anual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cierreanual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cierreanual.service</w:t>
            </w:r>
          </w:p>
        </w:tc>
      </w:tr>
      <w:tr>
        <w:tc>
          <w:tcPr>
            <w:tcW w:type="pct" w:w="2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Reportería</w:t>
            </w:r>
          </w:p>
        </w:tc>
        <w:tc>
          <w:tcPr>
            <w:tcW w:type="pct" w:w="4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menu_reporte, reportes, reportepage_calles, padron, cargos, PDFs</w:t>
            </w:r>
          </w:p>
        </w:tc>
        <w:tc>
          <w:tcPr>
            <w:tcW w:type="pct" w:w="3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reporte_cobradores, reporte_padron, reporte.cargos, deudores.service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Consulta de pagos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tabla (ContractTable), registros_general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views.service, paginacion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5. Sistema de diseño</w:t>
      </w:r>
    </w:p>
    <w:p>
      <w:pPr>
        <w:spacing w:after="120" w:line="276"/>
        <w:jc w:val="both"/>
      </w:pPr>
      <w:r>
        <w:rPr>
          <w:color w:val="1F2937"/>
        </w:rPr>
        <w:t xml:space="preserve">El diseño reside en CSS global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src/styles/styles.css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src/index.css</w:t>
      </w:r>
      <w:r>
        <w:rPr>
          <w:color w:val="1F2937"/>
        </w:rPr>
        <w:t xml:space="preserve">). La interfaz presenta un tema oscuro con acentos en azul.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5.1 Tipografía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Familia principal: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"Poppins", Arial, sans-serif</w:t>
      </w:r>
      <w:r>
        <w:rPr>
          <w:color w:val="1F2937"/>
        </w:rPr>
        <w:t xml:space="preserve"> — aplicada al cuerpo, formularios, tablas, tarjetas y a los cuadros de diálogo de SweetAlert.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Excepción monoespaciada: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"Courier New"</w:t>
      </w:r>
      <w:r>
        <w:rPr>
          <w:color w:val="1F2937"/>
        </w:rPr>
        <w:t xml:space="preserve"> — reservada a los importes de los tickets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.ticket-amount-value</w:t>
      </w:r>
      <w:r>
        <w:rPr>
          <w:color w:val="1F2937"/>
        </w:rPr>
        <w:t xml:space="preserve">).</w:t>
      </w:r>
    </w:p>
    <w:p>
      <w:pPr>
        <w:pStyle w:val="Heading3"/>
        <w:spacing w:after="80" w:before="160"/>
      </w:pPr>
      <w:r>
        <w:rPr>
          <w:b/>
          <w:bCs/>
          <w:color w:val="1F2937"/>
        </w:rPr>
        <w:t xml:space="preserve">Escala tipográfica</w:t>
      </w:r>
    </w:p>
    <w:tbl>
      <w:tblPr>
        <w:tblW w:type="pct" w:w="100%"/>
        <w:tblBorders>
          <w:top w:val="single" w:color="C7CBD1" w:sz="2"/>
          <w:left w:val="single" w:color="C7CBD1" w:sz="2"/>
          <w:bottom w:val="single" w:color="C7CBD1" w:sz="2"/>
          <w:right w:val="single" w:color="C7CBD1" w:sz="2"/>
          <w:insideH w:val="single" w:color="C7CBD1" w:sz="2"/>
          <w:insideV w:val="single" w:color="C7CBD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Elemento</w:t>
            </w:r>
          </w:p>
        </w:tc>
        <w:tc>
          <w:tcPr>
            <w:tcW w:type="pct" w:w="30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Tamaño / Peso</w:t>
            </w:r>
          </w:p>
        </w:tc>
        <w:tc>
          <w:tcPr>
            <w:tcW w:type="pct" w:w="30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Títulos de sección / tarjeta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1.75 – 2 rem / 700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Color de acento</w:t>
            </w:r>
          </w:p>
        </w:tc>
      </w:tr>
      <w:tr>
        <w:tc>
          <w:tcPr>
            <w:tcW w:type="pct" w:w="4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Importe de ticket</w:t>
            </w:r>
          </w:p>
        </w:tc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42 px / 700</w:t>
            </w:r>
          </w:p>
        </w:tc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Courier New, monoespaciada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Etiquetas de formulario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0.875 rem / 500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4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Campos (inputs / selects)</w:t>
            </w:r>
          </w:p>
        </w:tc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0.95 rem</w:t>
            </w:r>
          </w:p>
        </w:tc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Encabezados de tabla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0.85 rem / 600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mayúsculas, letter-spacing 0.5px</w:t>
            </w:r>
          </w:p>
        </w:tc>
      </w:tr>
      <w:tr>
        <w:tc>
          <w:tcPr>
            <w:tcW w:type="pct" w:w="4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Badges de estado</w:t>
            </w:r>
          </w:p>
        </w:tc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0.8 rem / 600</w:t>
            </w:r>
          </w:p>
        </w:tc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borde redondeado (pill)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11827"/>
        </w:rPr>
        <w:t xml:space="preserve">5.2 Paleta de colores</w:t>
      </w:r>
    </w:p>
    <w:p>
      <w:pPr>
        <w:spacing w:after="120" w:line="276"/>
        <w:jc w:val="both"/>
      </w:pPr>
      <w:r>
        <w:rPr>
          <w:color w:val="1F2937"/>
        </w:rPr>
        <w:t xml:space="preserve">Colores definidos en las hojas de estilo de la aplicación:</w:t>
      </w:r>
    </w:p>
    <w:tbl>
      <w:tblPr>
        <w:tblW w:type="pct" w:w="100%"/>
        <w:tblBorders>
          <w:top w:val="single" w:color="C7CBD1" w:sz="2"/>
          <w:left w:val="single" w:color="C7CBD1" w:sz="2"/>
          <w:bottom w:val="single" w:color="C7CBD1" w:sz="2"/>
          <w:right w:val="single" w:color="C7CBD1" w:sz="2"/>
          <w:insideH w:val="single" w:color="C7CBD1" w:sz="2"/>
          <w:insideV w:val="single" w:color="C7CBD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Hex</w:t>
            </w:r>
          </w:p>
        </w:tc>
        <w:tc>
          <w:tcPr>
            <w:tcW w:type="pct" w:w="30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Nombre</w:t>
            </w:r>
          </w:p>
        </w:tc>
        <w:tc>
          <w:tcPr>
            <w:tcW w:type="pct" w:w="48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#58B2EE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Primario / acento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Botones, títulos, bordes de foco, divisores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#2F91D5</w:t>
            </w:r>
          </w:p>
        </w:tc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Primario (hover)</w:t>
            </w:r>
          </w:p>
        </w:tc>
        <w:tc>
          <w:tcPr>
            <w:tcW w:type="pct" w:w="4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 hover de botones primarios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#2F3B7E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Azul marino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Bordes de modales, acentos, líneas divisorias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#1A1D23</w:t>
            </w:r>
          </w:p>
        </w:tc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Fondo de tarjeta</w:t>
            </w:r>
          </w:p>
        </w:tc>
        <w:tc>
          <w:tcPr>
            <w:tcW w:type="pct" w:w="4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Tarjetas, tablas, contenedores principales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#2B2E35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Fondo de campo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Inputs, encabezados de tabla, menús desplegables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#242424</w:t>
            </w:r>
          </w:p>
        </w:tc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Fondo general</w:t>
            </w:r>
          </w:p>
        </w:tc>
        <w:tc>
          <w:tcPr>
            <w:tcW w:type="pct" w:w="4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Fondo global de la interfaz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#22C55E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Éxito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Estados completados, saldos en cero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#FBBF24</w:t>
            </w:r>
          </w:p>
        </w:tc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Advertencia</w:t>
            </w:r>
          </w:p>
        </w:tc>
        <w:tc>
          <w:tcPr>
            <w:tcW w:type="pct" w:w="4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Estados de atención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#EF4444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Error / peligro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Botón eliminar, saldos pendientes, errores</w:t>
            </w:r>
          </w:p>
        </w:tc>
      </w:tr>
      <w:tr>
        <w:tc>
          <w:tcPr>
            <w:tcW w:type="pct" w:w="22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#3B82F6</w:t>
            </w:r>
          </w:p>
        </w:tc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Información</w:t>
            </w:r>
          </w:p>
        </w:tc>
        <w:tc>
          <w:tcPr>
            <w:tcW w:type="pct" w:w="48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Botón editar, banners de edición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11827"/>
        </w:rPr>
        <w:t xml:space="preserve">5.3 Tema de la interfaz</w:t>
      </w:r>
    </w:p>
    <w:p>
      <w:pPr>
        <w:spacing w:after="120" w:line="276"/>
        <w:jc w:val="both"/>
      </w:pPr>
      <w:r>
        <w:rPr>
          <w:color w:val="1F2937"/>
        </w:rPr>
        <w:t xml:space="preserve">La plataforma utiliza un </w:t>
      </w:r>
      <w:r>
        <w:rPr>
          <w:b/>
          <w:bCs/>
          <w:color w:val="1F2937"/>
        </w:rPr>
        <w:t xml:space="preserve">tema oscuro (negro) único</w:t>
      </w:r>
      <w:r>
        <w:rPr>
          <w:color w:val="1F2937"/>
        </w:rPr>
        <w:t xml:space="preserve">. El texto se presenta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rgba(255,255,255,.87)</w:t>
      </w:r>
      <w:r>
        <w:rPr>
          <w:color w:val="1F2937"/>
        </w:rPr>
        <w:t xml:space="preserve"> sobre fondos oscuros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#242424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#1A1D23</w:t>
      </w:r>
      <w:r>
        <w:rPr>
          <w:color w:val="1F2937"/>
        </w:rPr>
        <w:t xml:space="preserve">), con el color de acento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#58B2EE</w:t>
      </w:r>
      <w:r>
        <w:rPr>
          <w:color w:val="1F2937"/>
        </w:rPr>
        <w:t xml:space="preserve"> para elementos interactivos.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5.4 Componentes visuales reutilizables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Tarjetas de módulo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.waterCard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.cards-grid</w:t>
      </w:r>
      <w:r>
        <w:rPr>
          <w:color w:val="1F2937"/>
        </w:rPr>
        <w:t xml:space="preserve">): gradiente por tarjeta y animaciones de entrada.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Tabla reutilizable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.data-table</w:t>
      </w:r>
      <w:r>
        <w:rPr>
          <w:color w:val="1F2937"/>
        </w:rPr>
        <w:t xml:space="preserve"> /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registros_general</w:t>
      </w:r>
      <w:r>
        <w:rPr>
          <w:color w:val="1F2937"/>
        </w:rPr>
        <w:t xml:space="preserve">): barra de herramientas con filtros, búsqueda, paginación y badges de estado.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Formularios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.register-card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.form-*</w:t>
      </w:r>
      <w:r>
        <w:rPr>
          <w:color w:val="1F2937"/>
        </w:rPr>
        <w:t xml:space="preserve">), tickets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.ticket-*</w:t>
      </w:r>
      <w:r>
        <w:rPr>
          <w:color w:val="1F2937"/>
        </w:rPr>
        <w:t xml:space="preserve">) y modales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.modal-*</w:t>
      </w:r>
      <w:r>
        <w:rPr>
          <w:color w:val="1F2937"/>
        </w:rPr>
        <w:t xml:space="preserve">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6. Modelo de datos y reglas de negocio</w:t>
      </w:r>
    </w:p>
    <w:p>
      <w:pPr>
        <w:spacing w:after="120" w:line="276"/>
        <w:jc w:val="both"/>
      </w:pPr>
      <w:r>
        <w:rPr>
          <w:color w:val="1F2937"/>
        </w:rPr>
        <w:t xml:space="preserve">Este capítulo describe las estructuras de datos que consume la interfaz y las convenciones lógicas y financieras que rigen el sistema.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6.1 Estructuras de datos principales</w:t>
      </w:r>
    </w:p>
    <w:p>
      <w:pPr>
        <w:spacing w:after="120" w:line="276"/>
        <w:jc w:val="both"/>
      </w:pPr>
      <w:r>
        <w:rPr>
          <w:color w:val="1F2937"/>
        </w:rPr>
        <w:t xml:space="preserve">El detalle exhaustivo a nivel de campo corresponde al diccionario de datos. Aquí se resumen las estructuras principales que la interfaz recibe del backend:</w:t>
      </w:r>
    </w:p>
    <w:tbl>
      <w:tblPr>
        <w:tblW w:type="pct" w:w="100%"/>
        <w:tblBorders>
          <w:top w:val="single" w:color="C7CBD1" w:sz="2"/>
          <w:left w:val="single" w:color="C7CBD1" w:sz="2"/>
          <w:bottom w:val="single" w:color="C7CBD1" w:sz="2"/>
          <w:right w:val="single" w:color="C7CBD1" w:sz="2"/>
          <w:insideH w:val="single" w:color="C7CBD1" w:sz="2"/>
          <w:insideV w:val="single" w:color="C7CBD1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Estructura</w:t>
            </w:r>
          </w:p>
        </w:tc>
        <w:tc>
          <w:tcPr>
            <w:tcW w:type="pct" w:w="70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Campos relevantes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CuentahabienteResponse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numero_contrato, nombres/ap/am, calle_fk, colonia, servicio, es_toma_nueva, deuda, saldo_pendiente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CargoResponse</w:t>
            </w:r>
          </w:p>
        </w:tc>
        <w:tc>
          <w:tcPr>
            <w:tcW w:type="pct" w:w="7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id_cargo, cuentahabiente(+nombre), tipo_cargo_detalle{id,nombre,monto}, monto_cargo, saldo_restante_cargo, activo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EstadoCuentaResumenRow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id_cuentahabiente, numero_contrato, anio, nombre_servicio, estatus, saldo_pendiente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VistaCargosRow</w:t>
            </w:r>
          </w:p>
        </w:tc>
        <w:tc>
          <w:tcPr>
            <w:tcW w:type="pct" w:w="7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saldo_restante_cargo, anio_cargo, desglose_pagos, cargo_activo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DescuentoResponse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id_descuento, nombre_descuento, porcentaje, activo</w:t>
            </w:r>
          </w:p>
        </w:tc>
      </w:tr>
      <w:tr>
        <w:tc>
          <w:tcPr>
            <w:tcW w:type="pct" w:w="3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Deudor</w:t>
            </w:r>
          </w:p>
        </w:tc>
        <w:tc>
          <w:tcPr>
            <w:tcW w:type="pct" w:w="7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id_cuentahabiente, nombre_cuentahabiente, monto_total, estatus, nombre_colonia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CorteInfo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total_pagos_normales, total_pagos_cargos, gran_total; Movimiento.tipo: 'Pago' | 'Cargo'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11827"/>
        </w:rPr>
        <w:t xml:space="preserve">6.2 Distinción entre cargos y pagos pendientes</w:t>
      </w:r>
    </w:p>
    <w:p>
      <w:pPr>
        <w:spacing w:after="120" w:line="276"/>
        <w:jc w:val="both"/>
      </w:pPr>
      <w:r>
        <w:rPr>
          <w:color w:val="1F2937"/>
        </w:rPr>
        <w:t xml:space="preserve">El sistema maneja dos conceptos financieros diferenciados: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Cargo pendiente</w:t>
      </w:r>
      <w:r>
        <w:rPr>
          <w:color w:val="1F2937"/>
        </w:rPr>
        <w:t xml:space="preserve"> — una deuda puntual creada por un administrador (por ejemplo, una reconexión). Un cargo permanece pendiente mientras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activo === true &amp;&amp; saldo_restante_cargo &gt; 0</w:t>
      </w:r>
      <w:r>
        <w:rPr>
          <w:color w:val="1F2937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Pago pendiente</w:t>
      </w:r>
      <w:r>
        <w:rPr>
          <w:color w:val="1F2937"/>
        </w:rPr>
        <w:t xml:space="preserve"> — el adeudo del servicio de agua por anualidad, representado como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saldo_pendiente</w:t>
      </w:r>
      <w:r>
        <w:rPr>
          <w:color w:val="1F2937"/>
        </w:rPr>
        <w:t xml:space="preserve"> en el resumen de estado de cuenta y como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monto_total</w:t>
      </w:r>
      <w:r>
        <w:rPr>
          <w:color w:val="1F2937"/>
        </w:rPr>
        <w:t xml:space="preserve"> en la vista de deudores.</w:t>
      </w:r>
    </w:p>
    <w:p>
      <w:pPr>
        <w:spacing w:after="120" w:line="276"/>
        <w:jc w:val="both"/>
      </w:pPr>
      <w:r>
        <w:rPr>
          <w:color w:val="1F2937"/>
        </w:rPr>
        <w:t xml:space="preserve">En la pantalla de cargos, el «Total pendiente» corresponde a la suma de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saldo_restante_cargo</w:t>
      </w:r>
      <w:r>
        <w:rPr>
          <w:color w:val="1F2937"/>
        </w:rPr>
        <w:t xml:space="preserve"> de los cargos activos del cuentahabiente, magnitud independiente del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saldo_pendiente</w:t>
      </w:r>
      <w:r>
        <w:rPr>
          <w:color w:val="1F2937"/>
        </w:rPr>
        <w:t xml:space="preserve"> del servicio.</w:t>
      </w:r>
    </w:p>
    <w:p>
      <w:pPr>
        <w:pStyle w:val="Heading3"/>
        <w:spacing w:after="80" w:before="160"/>
      </w:pPr>
      <w:r>
        <w:rPr>
          <w:b/>
          <w:bCs/>
          <w:color w:val="1F2937"/>
        </w:rPr>
        <w:t xml:space="preserve">Regla de prioridad de liquidación</w:t>
      </w:r>
    </w:p>
    <w:p>
      <w:pPr>
        <w:spacing w:after="120" w:line="276"/>
        <w:jc w:val="both"/>
      </w:pPr>
      <w:r>
        <w:rPr>
          <w:color w:val="1F2937"/>
        </w:rPr>
        <w:t xml:space="preserve">Un pago de servicio no puede registrarse mientras el cuentahabiente conserve cargos pendientes: el backend responde </w:t>
      </w:r>
      <w:r>
        <w:rPr>
          <w:b/>
          <w:bCs/>
          <w:color w:val="1F2937"/>
        </w:rPr>
        <w:t xml:space="preserve">HTTP 400</w:t>
      </w:r>
      <w:r>
        <w:rPr>
          <w:color w:val="1F2937"/>
        </w:rPr>
        <w:t xml:space="preserve"> y la interfaz indica que deben completarse los cargos antes de realizar el pago. Los cargos se liquidan con prioridad sobre el pago del servicio.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6.3 Tratamiento del descuento como importe fijo</w:t>
      </w:r>
    </w:p>
    <w:p>
      <w:pPr>
        <w:spacing w:after="120" w:line="276"/>
        <w:jc w:val="both"/>
      </w:pPr>
      <w:r>
        <w:rPr>
          <w:color w:val="1F2937"/>
        </w:rPr>
        <w:t xml:space="preserve">El campo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porcentaje</w:t>
      </w:r>
      <w:r>
        <w:rPr>
          <w:color w:val="1F2937"/>
        </w:rPr>
        <w:t xml:space="preserve"> del descuento se aplica como </w:t>
      </w:r>
      <w:r>
        <w:rPr>
          <w:b/>
          <w:bCs/>
          <w:color w:val="1F2937"/>
        </w:rPr>
        <w:t xml:space="preserve">importe fijo en pesos</w:t>
      </w:r>
      <w:r>
        <w:rPr>
          <w:color w:val="1F2937"/>
        </w:rPr>
        <w:t xml:space="preserve">, restándose directamente del monto:</w:t>
      </w:r>
    </w:p>
    <w:p>
      <w:pPr>
        <w:shd w:fill="F5F6F8" w:color="auto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cantidadDescuento = parseFloat(descuento.porcentaje);</w:t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montoFinal = montoOriginal - cantidadDescuento;</w:t>
      </w:r>
    </w:p>
    <w:p>
      <w:pPr>
        <w:spacing w:after="120" w:line="276"/>
        <w:jc w:val="both"/>
      </w:pPr>
      <w:r>
        <w:rPr>
          <w:color w:val="1F2937"/>
        </w:rPr>
        <w:t xml:space="preserve">No se realiza ningún cálculo proporcional del tipo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monto * porcentaje / 100</w:t>
      </w:r>
      <w:r>
        <w:rPr>
          <w:color w:val="1F2937"/>
        </w:rPr>
        <w:t xml:space="preserve">. El ticket registra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porcentaje_descuento = cantidadDescuento</w:t>
      </w:r>
      <w:r>
        <w:rPr>
          <w:color w:val="1F2937"/>
        </w:rPr>
        <w:t xml:space="preserve"> (el importe descontado).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6.4 Representación del saldo de cargos en las vistas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Historial de cargos: </w:t>
      </w:r>
      <w:r>
        <w:rPr>
          <w:color w:val="1F2937"/>
        </w:rPr>
        <w:t xml:space="preserve">el saldo se muestra en rojo cuando es mayor que cero y en verde cuando es cero; se formatea con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toFixed(2)</w:t>
      </w:r>
      <w:r>
        <w:rPr>
          <w:color w:val="1F2937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Panel de cargos activos: </w:t>
      </w:r>
      <w:r>
        <w:rPr>
          <w:color w:val="1F2937"/>
        </w:rPr>
        <w:t xml:space="preserve">lista cada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saldo_restante_cargo</w:t>
      </w:r>
      <w:r>
        <w:rPr>
          <w:color w:val="1F2937"/>
        </w:rPr>
        <w:t xml:space="preserve"> y presenta un «Total pendiente».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Aplicación del pago: </w:t>
      </w:r>
      <w:r>
        <w:rPr>
          <w:color w:val="1F2937"/>
        </w:rPr>
        <w:t xml:space="preserve">el abono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/pagar-cargo/</w:t>
      </w:r>
      <w:r>
        <w:rPr>
          <w:color w:val="1F2937"/>
        </w:rPr>
        <w:t xml:space="preserve">) se aplica al saldo global, reduciendo los cargos activos.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Alta de cargo: </w:t>
      </w:r>
      <w:r>
        <w:rPr>
          <w:color w:val="1F2937"/>
        </w:rPr>
        <w:t xml:space="preserve">el campo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monto_cargo</w:t>
      </w:r>
      <w:r>
        <w:rPr>
          <w:color w:val="1F2937"/>
        </w:rPr>
        <w:t xml:space="preserve"> es de solo lectura; lo determina el catálogo de tipos de cargo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tcargos</w:t>
      </w:r>
      <w:r>
        <w:rPr>
          <w:color w:val="1F2937"/>
        </w:rPr>
        <w:t xml:space="preserve">), con un monto fijo por concepto.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6.5 Composición del total en el corte de caja</w:t>
      </w:r>
    </w:p>
    <w:p>
      <w:pPr>
        <w:spacing w:after="120" w:line="276"/>
        <w:jc w:val="both"/>
      </w:pPr>
      <w:r>
        <w:rPr>
          <w:color w:val="1F2937"/>
        </w:rPr>
        <w:t xml:space="preserve">El corte de caja separa las fuentes de ingreso para su trazabilidad contable: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total_pagos_normales</w:t>
      </w:r>
      <w:r>
        <w:rPr>
          <w:color w:val="1F2937"/>
        </w:rPr>
        <w:t xml:space="preserve"> — recaudación por el servicio de agua.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total_pagos_cargos</w:t>
      </w:r>
      <w:r>
        <w:rPr>
          <w:color w:val="1F2937"/>
        </w:rPr>
        <w:t xml:space="preserve"> — abonos aplicados a cargos y deudas.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gran_total</w:t>
      </w:r>
      <w:r>
        <w:rPr>
          <w:color w:val="1F2937"/>
        </w:rPr>
        <w:t xml:space="preserve"> — suma de ambos. Cada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Movimiento</w:t>
      </w:r>
      <w:r>
        <w:rPr>
          <w:color w:val="1F2937"/>
        </w:rPr>
        <w:t xml:space="preserve"> se etiqueta con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tipo: 'Pago' | 'Cargo'</w:t>
      </w:r>
      <w:r>
        <w:rPr>
          <w:color w:val="1F2937"/>
        </w:rPr>
        <w:t xml:space="preserve">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7. Vistas principales del sistema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Inicio de sesión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Pantalla pública de autenticación; al validar credenciales se obtiene el token que Axios inyecta en cada petición.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Panel principal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Accesos a las funciones operativas: consulta de pagos, pagos, cuentahabientes, estado de cuenta, cargos, corte de caja y reportes.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Panel de administración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Gestión del sistema para roles administrativos: administradores, cobradores, descuentos, servicios, cargos, grupos, calles y cierre anual.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Cuentahabientes (padrón)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747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Registro y consulta del padrón mediante la tabla reutilizable con búsqueda, filtros y paginación.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Registro de pagos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9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Cobro del servicio con búsqueda de cuentahabiente, descuento opcional (importe fijo) y emisión de ticket.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Gestión de cargos y pagos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41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Alta de cargos con monto fijo por tipo y abono a cargos activos, con el total pendiente por cuentahabiente.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Estado de cuenta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882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8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Selección de año y generación de PDF con histórico de movimientos, resumen y cargos del periodo.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Registro de descuentos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Catálogo de descuentos, administrados como importe fijo restado al pago.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Corte de caja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Generación de corte por rango de fechas y cobrador, distinguiendo pagos normales, pagos de cargos y gran total.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Módulo de tesorería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Punto de acceso a la gestión de egresos y a los cortes de caja del área de tesorería.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Gestión de egresos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Registro y consulta histórica de egresos del sistema.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Menú de reportería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648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Generación de reportes por cobrador, por calle, por cargos y padrón general de usuarios.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Consulta de pagos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Tabla de consulta de los pagos realizados por los cuentahabientes.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8. Puesta en marcha y guía de desarrollo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8.1 Instalación y ejecución</w:t>
      </w:r>
    </w:p>
    <w:p>
      <w:pPr>
        <w:spacing w:after="120" w:line="276"/>
        <w:jc w:val="both"/>
      </w:pPr>
      <w:r>
        <w:rPr>
          <w:b/>
          <w:bCs/>
          <w:color w:val="1F2937"/>
        </w:rPr>
        <w:t xml:space="preserve">Requisitos: </w:t>
      </w:r>
      <w:r>
        <w:rPr>
          <w:color w:val="1F2937"/>
        </w:rPr>
        <w:t xml:space="preserve">Node.js ≥ 20.19 (recomendado 22 LTS o superior) y npm. El frontend reside en el subdirectorio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sicap-frontend/</w:t>
      </w:r>
      <w:r>
        <w:rPr>
          <w:color w:val="1F2937"/>
        </w:rPr>
        <w:t xml:space="preserve">.</w:t>
      </w:r>
    </w:p>
    <w:p>
      <w:pPr>
        <w:spacing w:after="90" w:line="276"/>
      </w:pPr>
      <w:r>
        <w:rPr>
          <w:b/>
          <w:bCs/>
          <w:color w:val="111827"/>
        </w:rPr>
        <w:t xml:space="preserve">Paso 1. </w:t>
      </w:r>
      <w:r>
        <w:rPr>
          <w:color w:val="1F2937"/>
        </w:rPr>
        <w:t xml:space="preserve">Instalar dependencias: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cd sicap-frontend &amp;&amp; npm install</w:t>
      </w:r>
      <w:r>
        <w:rPr>
          <w:color w:val="1F2937"/>
        </w:rPr>
        <w:t xml:space="preserve">.</w:t>
      </w:r>
    </w:p>
    <w:p>
      <w:pPr>
        <w:spacing w:after="90" w:line="276"/>
      </w:pPr>
      <w:r>
        <w:rPr>
          <w:b/>
          <w:bCs/>
          <w:color w:val="111827"/>
        </w:rPr>
        <w:t xml:space="preserve">Paso 2. </w:t>
      </w:r>
      <w:r>
        <w:rPr>
          <w:color w:val="1F2937"/>
        </w:rPr>
        <w:t xml:space="preserve">Crear el archivo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.env</w:t>
      </w:r>
      <w:r>
        <w:rPr>
          <w:color w:val="1F2937"/>
        </w:rPr>
        <w:t xml:space="preserve">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sicap-frontend/</w:t>
      </w:r>
      <w:r>
        <w:rPr>
          <w:color w:val="1F2937"/>
        </w:rPr>
        <w:t xml:space="preserve"> con la variable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VITE_API_URL</w:t>
      </w:r>
      <w:r>
        <w:rPr>
          <w:color w:val="1F2937"/>
        </w:rPr>
        <w:t xml:space="preserve"> apuntando a la URL base del backend (por ejemplo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VITE_API_URL=http://localhost:8000</w:t>
      </w:r>
      <w:r>
        <w:rPr>
          <w:color w:val="1F2937"/>
        </w:rPr>
        <w:t xml:space="preserve">). Esta variable es indispensable para la comunicación con el servidor.</w:t>
      </w:r>
    </w:p>
    <w:p>
      <w:pPr>
        <w:spacing w:after="90" w:line="276"/>
      </w:pPr>
      <w:r>
        <w:rPr>
          <w:b/>
          <w:bCs/>
          <w:color w:val="111827"/>
        </w:rPr>
        <w:t xml:space="preserve">Paso 3. </w:t>
      </w:r>
      <w:r>
        <w:rPr>
          <w:color w:val="1F2937"/>
        </w:rPr>
        <w:t xml:space="preserve">Levantar el entorno de desarrollo: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dev</w:t>
      </w:r>
      <w:r>
        <w:rPr>
          <w:color w:val="1F2937"/>
        </w:rPr>
        <w:t xml:space="preserve"> (Vite sirve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http://localhost:5173</w:t>
      </w:r>
      <w:r>
        <w:rPr>
          <w:color w:val="1F2937"/>
        </w:rPr>
        <w:t xml:space="preserve"> con recarga en caliente).</w:t>
      </w:r>
    </w:p>
    <w:p>
      <w:pPr>
        <w:spacing w:after="90" w:line="276"/>
      </w:pPr>
      <w:r>
        <w:rPr>
          <w:b/>
          <w:bCs/>
          <w:color w:val="111827"/>
        </w:rPr>
        <w:t xml:space="preserve">Paso 4. </w:t>
      </w:r>
      <w:r>
        <w:rPr>
          <w:color w:val="1F2937"/>
        </w:rPr>
        <w:t xml:space="preserve">Build de producción: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build</w:t>
      </w:r>
      <w:r>
        <w:rPr>
          <w:color w:val="1F2937"/>
        </w:rPr>
        <w:t xml:space="preserve">. Análisis estático: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lint</w:t>
      </w:r>
      <w:r>
        <w:rPr>
          <w:color w:val="1F2937"/>
        </w:rPr>
        <w:t xml:space="preserve">. Previsualización: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preview</w:t>
      </w:r>
      <w:r>
        <w:rPr>
          <w:color w:val="1F2937"/>
        </w:rPr>
        <w:t xml:space="preserve">.</w:t>
      </w:r>
    </w:p>
    <w:p>
      <w:pPr>
        <w:spacing w:after="120" w:line="276"/>
        <w:jc w:val="both"/>
      </w:pPr>
      <w:r>
        <w:rPr>
          <w:color w:val="1F2937"/>
        </w:rPr>
        <w:t xml:space="preserve">El backend debe tener CORS habilitado para el origen del frontend, dado que la aplicación consume la API directamente sin proxy de desarrollo.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8.2 Dependencia del backend</w:t>
      </w:r>
    </w:p>
    <w:p>
      <w:pPr>
        <w:spacing w:after="120" w:line="276"/>
        <w:jc w:val="both"/>
      </w:pPr>
      <w:r>
        <w:rPr>
          <w:color w:val="1F2937"/>
        </w:rPr>
        <w:t xml:space="preserve">El frontend consume un backend Django REST Framework con autenticación JWT y paginación estándar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{ count, next, previous, results }</w:t>
      </w:r>
      <w:r>
        <w:rPr>
          <w:color w:val="1F2937"/>
        </w:rPr>
        <w:t xml:space="preserve">). La utilidad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services/paginacion.ts → fetchAllPages()</w:t>
      </w:r>
      <w:r>
        <w:rPr>
          <w:color w:val="1F2937"/>
        </w:rPr>
        <w:t xml:space="preserve"> recorre automáticamente todas las páginas siguiendo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next</w:t>
      </w:r>
      <w:r>
        <w:rPr>
          <w:color w:val="1F2937"/>
        </w:rPr>
        <w:t xml:space="preserve">, con caché en memoria en los catálogos.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8.3 Flujo de autenticación</w:t>
      </w:r>
    </w:p>
    <w:p>
      <w:pPr>
        <w:shd w:fill="F5F6F8" w:color="auto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/auth/login/  { usuario, password }</w:t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-&gt; { access: &lt;JWT&gt;, cobrador: {...} }</w:t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-&gt; localStorage: 'access' (JWT), 'usuario'</w:t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Cada petición: Authorization: Bearer &lt;access&gt;</w:t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Respuesta 401 -&gt; cierre de sesión y redirección a /login</w:t>
      </w:r>
    </w:p>
    <w:p>
      <w:pPr>
        <w:spacing w:after="120" w:line="276"/>
        <w:jc w:val="both"/>
      </w:pPr>
      <w:r>
        <w:rPr>
          <w:color w:val="1F2937"/>
        </w:rPr>
        <w:t xml:space="preserve">La sesión se sostiene con el token de acceso; ante un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401</w:t>
      </w:r>
      <w:r>
        <w:rPr>
          <w:color w:val="1F2937"/>
        </w:rPr>
        <w:t xml:space="preserve"> se cierra la sesión.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isAuthenticated()</w:t>
      </w:r>
      <w:r>
        <w:rPr>
          <w:color w:val="1F2937"/>
        </w:rPr>
        <w:t xml:space="preserve"> evalúa la presencia de las claves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access</w:t>
      </w:r>
      <w:r>
        <w:rPr>
          <w:color w:val="1F2937"/>
        </w:rPr>
        <w:t xml:space="preserve"> y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usuario</w:t>
      </w:r>
      <w:r>
        <w:rPr>
          <w:color w:val="1F2937"/>
        </w:rPr>
        <w:t xml:space="preserve">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localStorage</w:t>
      </w:r>
      <w:r>
        <w:rPr>
          <w:color w:val="1F2937"/>
        </w:rPr>
        <w:t xml:space="preserve">. El registro de administradores y cobradores se realiza sobre el namespace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/auth</w:t>
      </w:r>
      <w:r>
        <w:rPr>
          <w:color w:val="1F2937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8.4 Convenciones de la capa de servicios</w:t>
      </w:r>
    </w:p>
    <w:p>
      <w:pPr>
        <w:spacing w:after="120" w:line="276"/>
        <w:jc w:val="both"/>
      </w:pPr>
      <w:r>
        <w:rPr>
          <w:color w:val="1F2937"/>
        </w:rPr>
        <w:t xml:space="preserve">La capa de servicios emplea dos estilos de retorno: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Estilo resultado: </w:t>
      </w:r>
      <w:r>
        <w:rPr>
          <w:color w:val="1F2937"/>
        </w:rPr>
        <w:t xml:space="preserve">retornan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{ success, data, errors }</w:t>
      </w:r>
      <w:r>
        <w:rPr>
          <w:color w:val="1F2937"/>
        </w:rPr>
        <w:t xml:space="preserve"> (por ejemplo Rcuentahabientes.service, cargos.service, CorteCaja.service); el consumidor evalúa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res.success</w:t>
      </w:r>
      <w:r>
        <w:rPr>
          <w:color w:val="1F2937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Estilo excepción: </w:t>
      </w:r>
      <w:r>
        <w:rPr>
          <w:color w:val="1F2937"/>
        </w:rPr>
        <w:t xml:space="preserve">retornan los datos y lanzan en caso de error (por ejemplo pago.service, descuento.service, ingresos.service); el consumidor usa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try/catch</w:t>
      </w:r>
      <w:r>
        <w:rPr>
          <w:color w:val="1F2937"/>
        </w:rPr>
        <w:t xml:space="preserve">.</w:t>
      </w:r>
    </w:p>
    <w:p>
      <w:pPr>
        <w:pStyle w:val="Heading3"/>
        <w:spacing w:after="80" w:before="160"/>
      </w:pPr>
      <w:r>
        <w:rPr>
          <w:b/>
          <w:bCs/>
          <w:color w:val="1F2937"/>
        </w:rPr>
        <w:t xml:space="preserve">Patrones reutilizables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Tabla reutilizable: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ReusableTable</w:t>
      </w:r>
      <w:r>
        <w:rPr>
          <w:color w:val="1F2937"/>
        </w:rPr>
        <w:t xml:space="preserve">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components/tablas/registros_general</w:t>
      </w:r>
      <w:r>
        <w:rPr>
          <w:color w:val="1F2937"/>
        </w:rPr>
        <w:t xml:space="preserve">) se configura con un arreglo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columns</w:t>
      </w:r>
      <w:r>
        <w:rPr>
          <w:color w:val="1F2937"/>
        </w:rPr>
        <w:t xml:space="preserve"> y una función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fetchData</w:t>
      </w:r>
      <w:r>
        <w:rPr>
          <w:color w:val="1F2937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Formulario reutilizable: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FormularioReutilizable</w:t>
      </w:r>
      <w:r>
        <w:rPr>
          <w:color w:val="1F2937"/>
        </w:rPr>
        <w:t xml:space="preserve"> con un objeto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FormConfig</w:t>
      </w:r>
      <w:r>
        <w:rPr>
          <w:color w:val="1F2937"/>
        </w:rPr>
        <w:t xml:space="preserve"> (campos, validaciones y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onSubmit</w:t>
      </w:r>
      <w:r>
        <w:rPr>
          <w:color w:val="1F2937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Feedback: </w:t>
      </w:r>
      <w:r>
        <w:rPr>
          <w:color w:val="1F2937"/>
        </w:rPr>
        <w:t xml:space="preserve">SweetAlert2 para éxito, error y confirmación.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F2937"/>
        </w:rPr>
        <w:t xml:space="preserve">Búsqueda: </w:t>
      </w:r>
      <w:r>
        <w:rPr>
          <w:color w:val="1F2937"/>
        </w:rPr>
        <w:t xml:space="preserve">debounce (~400–500 ms) antes de consultar el backend con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?search=</w:t>
      </w:r>
      <w:r>
        <w:rPr>
          <w:color w:val="1F2937"/>
        </w:rPr>
        <w:t xml:space="preserve">.</w:t>
      </w:r>
    </w:p>
    <w:p>
      <w:pPr>
        <w:pStyle w:val="Heading3"/>
        <w:spacing w:after="80" w:before="160"/>
      </w:pPr>
      <w:r>
        <w:rPr>
          <w:b/>
          <w:bCs/>
          <w:color w:val="1F2937"/>
        </w:rPr>
        <w:t xml:space="preserve">Nomenclatura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</w:rPr>
        <w:t xml:space="preserve">Dominio en español y utilidades en inglés; prefijo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</w:t>
      </w:r>
      <w:r>
        <w:rPr>
          <w:color w:val="1F2937"/>
        </w:rPr>
        <w:t xml:space="preserve"> para «Registro»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Rcobradores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Rsector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Rcuentahabientes</w:t>
      </w:r>
      <w:r>
        <w:rPr>
          <w:color w:val="1F2937"/>
        </w:rPr>
        <w:t xml:space="preserve">).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8.5 Gestión de estado y datos</w:t>
      </w:r>
    </w:p>
    <w:p>
      <w:pPr>
        <w:spacing w:after="120" w:line="276"/>
        <w:jc w:val="both"/>
      </w:pPr>
      <w:r>
        <w:rPr>
          <w:color w:val="1F2937"/>
        </w:rPr>
        <w:t xml:space="preserve">El estado se gestiona con React Context para lo global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AuthProvider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ThemeProvider</w:t>
      </w:r>
      <w:r>
        <w:rPr>
          <w:color w:val="1F2937"/>
        </w:rPr>
        <w:t xml:space="preserve">) y con estado local por componente; la obtención de datos se realiza a través de la capa de servicios.</w:t>
      </w:r>
    </w:p>
    <w:p>
      <w:pPr>
        <w:pStyle w:val="Heading3"/>
        <w:spacing w:after="80" w:before="160"/>
      </w:pPr>
      <w:r>
        <w:rPr>
          <w:b/>
          <w:bCs/>
          <w:color w:val="1F2937"/>
        </w:rPr>
        <w:t xml:space="preserve">Árbol de providers</w:t>
      </w:r>
    </w:p>
    <w:p>
      <w:pPr>
        <w:shd w:fill="F5F6F8" w:color="auto" w:val="clear"/>
        <w:spacing w:after="140" w:before="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&lt;React.StrictMode&gt;</w:t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&lt;ThemeProvider&gt;          // tema de la interfaz</w:t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&lt;AuthProvider&gt;         // usuario + isAuthenticated + login/logout</w:t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&lt;RouterProvider&gt;     // createBrowserRouter(Rutas)</w:t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&lt;ProtectedRoute&gt;   // guard: isAuthenticated</w:t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&lt;RootLayout&gt;     // Navbar + &lt;Outlet/&gt;</w:t>
      </w:r>
      <w: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&lt;Página /&gt;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8.6 Matriz de roles y acceso</w:t>
      </w:r>
    </w:p>
    <w:tbl>
      <w:tblPr>
        <w:tblW w:type="pct" w:w="100%"/>
        <w:tblBorders>
          <w:top w:val="single" w:color="C7CBD1" w:sz="2"/>
          <w:left w:val="single" w:color="C7CBD1" w:sz="2"/>
          <w:bottom w:val="single" w:color="C7CBD1" w:sz="2"/>
          <w:right w:val="single" w:color="C7CBD1" w:sz="2"/>
          <w:insideH w:val="single" w:color="C7CBD1" w:sz="2"/>
          <w:insideV w:val="single" w:color="C7CBD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Rol</w:t>
            </w:r>
          </w:p>
        </w:tc>
        <w:tc>
          <w:tcPr>
            <w:tcW w:type="pct" w:w="26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Panel de administración</w:t>
            </w:r>
          </w:p>
        </w:tc>
        <w:tc>
          <w:tcPr>
            <w:tcW w:type="pct" w:w="50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Alcance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Acceso total: catálogos, usuarios, cargos, cierre anual</w:t>
            </w:r>
          </w:p>
        </w:tc>
      </w:tr>
      <w:tr>
        <w:tc>
          <w:tcPr>
            <w:tcW w:type="pct" w:w="2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supervisor</w:t>
            </w:r>
          </w:p>
        </w:tc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pct" w:w="5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Supervisión y administración del sistema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tesorero_sr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Tesorería, egresos y cortes de caja (senior)</w:t>
            </w:r>
          </w:p>
        </w:tc>
      </w:tr>
      <w:tr>
        <w:tc>
          <w:tcPr>
            <w:tcW w:type="pct" w:w="2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tesorero_jr</w:t>
            </w:r>
          </w:p>
        </w:tc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Sí</w:t>
            </w:r>
          </w:p>
        </w:tc>
        <w:tc>
          <w:tcPr>
            <w:tcW w:type="pct" w:w="50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Tesorería, egresos y cortes de caja (junior)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cobrador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Operación en campo: pagos, consultas y cargos</w:t>
            </w:r>
          </w:p>
        </w:tc>
      </w:tr>
    </w:tbl>
    <w:p>
      <w:pPr>
        <w:spacing w:after="120" w:line="276"/>
        <w:jc w:val="both"/>
      </w:pPr>
      <w:r>
        <w:rPr>
          <w:color w:val="1F2937"/>
        </w:rPr>
        <w:t xml:space="preserve">La autorización efectiva de cada endpoint la determina el backend.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8.7 Glosario del dominio</w:t>
      </w:r>
    </w:p>
    <w:tbl>
      <w:tblPr>
        <w:tblW w:type="pct" w:w="100%"/>
        <w:tblBorders>
          <w:top w:val="single" w:color="C7CBD1" w:sz="2"/>
          <w:left w:val="single" w:color="C7CBD1" w:sz="2"/>
          <w:bottom w:val="single" w:color="C7CBD1" w:sz="2"/>
          <w:right w:val="single" w:color="C7CBD1" w:sz="2"/>
          <w:insideH w:val="single" w:color="C7CBD1" w:sz="2"/>
          <w:insideV w:val="single" w:color="C7CBD1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Término</w:t>
            </w:r>
          </w:p>
        </w:tc>
        <w:tc>
          <w:tcPr>
            <w:tcW w:type="pct" w:w="74%"/>
            <w:shd w:fill="E5E7E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Cuentahabiente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Titular de un contrato del servicio de agua.</w:t>
            </w:r>
          </w:p>
        </w:tc>
      </w:tr>
      <w:tr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Cobrador</w:t>
            </w:r>
          </w:p>
        </w:tc>
        <w:tc>
          <w:tcPr>
            <w:tcW w:type="pct" w:w="7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Usuario que realiza cobros en campo; entidad de usuario del inicio de sesión.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Cargo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Deuda puntual asignada por un administrador, con monto fijo por tipo.</w:t>
            </w:r>
          </w:p>
        </w:tc>
      </w:tr>
      <w:tr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Pago</w:t>
            </w:r>
          </w:p>
        </w:tc>
        <w:tc>
          <w:tcPr>
            <w:tcW w:type="pct" w:w="7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Cobro del servicio de agua por periodo (mes/año).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Descuento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Rebaja aplicada a un pago, gestionada como importe fijo.</w:t>
            </w:r>
          </w:p>
        </w:tc>
      </w:tr>
      <w:tr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Estado de cuenta</w:t>
            </w:r>
          </w:p>
        </w:tc>
        <w:tc>
          <w:tcPr>
            <w:tcW w:type="pct" w:w="7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Resumen anual de movimientos, saldo pendiente y cargos del cuentahabiente.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Corte de caja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Cuadre de recaudación por rango de fechas y cobrador.</w:t>
            </w:r>
          </w:p>
        </w:tc>
      </w:tr>
      <w:tr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Padrón</w:t>
            </w:r>
          </w:p>
        </w:tc>
        <w:tc>
          <w:tcPr>
            <w:tcW w:type="pct" w:w="7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Registro general de cuentahabientes.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Toma nueva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Alta de una nueva conexión de servicio (es_toma_nueva).</w:t>
            </w:r>
          </w:p>
        </w:tc>
      </w:tr>
      <w:tr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Sector / Colonia / Calle</w:t>
            </w:r>
          </w:p>
        </w:tc>
        <w:tc>
          <w:tcPr>
            <w:tcW w:type="pct" w:w="7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Segmentación geográfica del padrón para asignación y reportes.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Tesorero SR / JR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Roles de tesorería con acceso a egresos y cortes de caja.</w:t>
            </w:r>
          </w:p>
        </w:tc>
      </w:tr>
      <w:tr>
        <w:tc>
          <w:tcPr>
            <w:tcW w:type="pct" w:w="26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Cierre anual</w:t>
            </w:r>
          </w:p>
        </w:tc>
        <w:tc>
          <w:tcPr>
            <w:tcW w:type="pct" w:w="74%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Proceso de cierre contable de cuentas al final del ejercicio.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8.8 Procedimiento para agregar un nuevo módulo</w:t>
      </w:r>
    </w:p>
    <w:p>
      <w:pPr>
        <w:spacing w:after="120" w:line="276"/>
        <w:jc w:val="both"/>
      </w:pPr>
      <w:r>
        <w:rPr>
          <w:color w:val="1F2937"/>
        </w:rPr>
        <w:t xml:space="preserve">Un módulo CRUD nuevo se incorpora siguiendo el patrón establecido:</w:t>
      </w:r>
    </w:p>
    <w:p>
      <w:pPr>
        <w:spacing w:after="90" w:line="276"/>
      </w:pPr>
      <w:r>
        <w:rPr>
          <w:b/>
          <w:bCs/>
          <w:color w:val="111827"/>
        </w:rPr>
        <w:t xml:space="preserve">Paso 1. </w:t>
      </w:r>
      <w:r>
        <w:rPr>
          <w:color w:val="1F2937"/>
        </w:rPr>
        <w:t xml:space="preserve">Crear el servicio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src/services/&lt;dominio&gt;.service.ts</w:t>
      </w:r>
      <w:r>
        <w:rPr>
          <w:color w:val="1F2937"/>
        </w:rPr>
        <w:t xml:space="preserve"> (interfaces, constante de URL y funciones CRUD sobre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api_axios</w:t>
      </w:r>
      <w:r>
        <w:rPr>
          <w:color w:val="1F2937"/>
        </w:rPr>
        <w:t xml:space="preserve">).</w:t>
      </w:r>
    </w:p>
    <w:p>
      <w:pPr>
        <w:spacing w:after="90" w:line="276"/>
      </w:pPr>
      <w:r>
        <w:rPr>
          <w:b/>
          <w:bCs/>
          <w:color w:val="111827"/>
        </w:rPr>
        <w:t xml:space="preserve">Paso 2. </w:t>
      </w:r>
      <w:r>
        <w:rPr>
          <w:color w:val="1F2937"/>
        </w:rPr>
        <w:t xml:space="preserve">Crear la vista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src/pages/&lt;Dominio&gt;/</w:t>
      </w:r>
      <w:r>
        <w:rPr>
          <w:color w:val="1F2937"/>
        </w:rPr>
        <w:t xml:space="preserve">, apoyándose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ReusableTable</w:t>
      </w:r>
      <w:r>
        <w:rPr>
          <w:color w:val="1F2937"/>
        </w:rPr>
        <w:t xml:space="preserve"> y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FormularioReutilizable</w:t>
      </w:r>
      <w:r>
        <w:rPr>
          <w:color w:val="1F2937"/>
        </w:rPr>
        <w:t xml:space="preserve">.</w:t>
      </w:r>
    </w:p>
    <w:p>
      <w:pPr>
        <w:spacing w:after="90" w:line="276"/>
      </w:pPr>
      <w:r>
        <w:rPr>
          <w:b/>
          <w:bCs/>
          <w:color w:val="111827"/>
        </w:rPr>
        <w:t xml:space="preserve">Paso 3. </w:t>
      </w:r>
      <w:r>
        <w:rPr>
          <w:color w:val="1F2937"/>
        </w:rPr>
        <w:t xml:space="preserve">Registrar la ruta en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src/routes/rutas.tsx</w:t>
      </w:r>
      <w:r>
        <w:rPr>
          <w:color w:val="1F2937"/>
        </w:rPr>
        <w:t xml:space="preserve"> como hija de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RootLayout</w:t>
      </w:r>
      <w:r>
        <w:rPr>
          <w:color w:val="1F2937"/>
        </w:rPr>
        <w:t xml:space="preserve"> (dentro de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ProtectedRoute</w:t>
      </w:r>
      <w:r>
        <w:rPr>
          <w:color w:val="1F2937"/>
        </w:rPr>
        <w:t xml:space="preserve">).</w:t>
      </w:r>
    </w:p>
    <w:p>
      <w:pPr>
        <w:spacing w:after="90" w:line="276"/>
      </w:pPr>
      <w:r>
        <w:rPr>
          <w:b/>
          <w:bCs/>
          <w:color w:val="111827"/>
        </w:rPr>
        <w:t xml:space="preserve">Paso 4. </w:t>
      </w:r>
      <w:r>
        <w:rPr>
          <w:color w:val="1F2937"/>
        </w:rPr>
        <w:t xml:space="preserve">Añadir el acceso con una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WaterServiceCard</w:t>
      </w:r>
      <w:r>
        <w:rPr>
          <w:color w:val="1F2937"/>
        </w:rPr>
        <w:t xml:space="preserve"> en el panel correspondiente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Main_Cards</w:t>
      </w:r>
      <w:r>
        <w:rPr>
          <w:color w:val="1F2937"/>
        </w:rPr>
        <w:t xml:space="preserve">,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Admin_Cards</w:t>
      </w:r>
      <w:r>
        <w:rPr>
          <w:color w:val="1F2937"/>
        </w:rPr>
        <w:t xml:space="preserve"> 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Tesorero_Cards</w:t>
      </w:r>
      <w:r>
        <w:rPr>
          <w:color w:val="1F2937"/>
        </w:rPr>
        <w:t xml:space="preserve">).</w:t>
      </w:r>
    </w:p>
    <w:p>
      <w:pPr>
        <w:spacing w:after="90" w:line="276"/>
      </w:pPr>
      <w:r>
        <w:rPr>
          <w:b/>
          <w:bCs/>
          <w:color w:val="111827"/>
        </w:rPr>
        <w:t xml:space="preserve">Paso 5. </w:t>
      </w:r>
      <w:r>
        <w:rPr>
          <w:color w:val="1F2937"/>
        </w:rPr>
        <w:t xml:space="preserve">Aplicar las clases de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styles/styles.css</w:t>
      </w:r>
      <w:r>
        <w:rPr>
          <w:color w:val="1F2937"/>
        </w:rPr>
        <w:t xml:space="preserve"> para mantener la consistencia visual.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8.9 Pruebas y calidad</w:t>
      </w:r>
    </w:p>
    <w:p>
      <w:pPr>
        <w:spacing w:after="120" w:line="276"/>
        <w:jc w:val="both"/>
      </w:pPr>
      <w:r>
        <w:rPr>
          <w:color w:val="1F2937"/>
        </w:rPr>
        <w:t xml:space="preserve">La verificación de calidad se apoya en TypeScript en modo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strict</w:t>
      </w:r>
      <w:r>
        <w:rPr>
          <w:color w:val="1F2937"/>
        </w:rPr>
        <w:t xml:space="preserve"> y en ESLint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eslint.config.js</w:t>
      </w:r>
      <w:r>
        <w:rPr>
          <w:color w:val="1F2937"/>
        </w:rPr>
        <w:t xml:space="preserve">). Se recomienda ejecutar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lint</w:t>
      </w:r>
      <w:r>
        <w:rPr>
          <w:color w:val="1F2937"/>
        </w:rPr>
        <w:t xml:space="preserve"> y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build</w:t>
      </w:r>
      <w:r>
        <w:rPr>
          <w:color w:val="1F2937"/>
        </w:rPr>
        <w:t xml:space="preserve"> antes de integrar cambios.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8.10 Flujo de trabajo con Git</w:t>
      </w:r>
    </w:p>
    <w:p>
      <w:pPr>
        <w:spacing w:after="120" w:line="276"/>
        <w:jc w:val="both"/>
      </w:pPr>
      <w:r>
        <w:rPr>
          <w:color w:val="1F2937"/>
        </w:rPr>
        <w:t xml:space="preserve">La rama principal es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main</w:t>
      </w:r>
      <w:r>
        <w:rPr>
          <w:color w:val="1F2937"/>
        </w:rPr>
        <w:t xml:space="preserve">. Los cambios se desarrollan en ramas de trabajo y se integran mediante Pull Request, con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lint</w:t>
      </w:r>
      <w:r>
        <w:rPr>
          <w:color w:val="1F2937"/>
        </w:rPr>
        <w:t xml:space="preserve"> y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build</w:t>
      </w:r>
      <w:r>
        <w:rPr>
          <w:color w:val="1F2937"/>
        </w:rPr>
        <w:t xml:space="preserve"> en verde y una descripción de las verificaciones realizadas.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9. Diagramas del sistema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9.1 Diagrama general de uso</w:t>
      </w:r>
    </w:p>
    <w:p>
      <w:pPr>
        <w:spacing w:after="120" w:line="276"/>
        <w:jc w:val="both"/>
      </w:pPr>
      <w:r>
        <w:rPr>
          <w:color w:val="1F2937"/>
        </w:rPr>
        <w:t xml:space="preserve">Flujo de navegación del sistema: tras el inicio de sesión, el menú principal ofrece los módulos operativos y, según el rol, el acceso a los paneles de administración y de tesorería.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1. Uso general del sistema por rol.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9.2 Registro de pagos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2. Registro de un pago de servicio y regla de bloqueo por cargos pendientes.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9.3 Cargos y abonos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3. Alta de cargos y registro de abonos a cargos activos.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9.4 Corte de caja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4. Generación del corte de caja y composición del total.</w:t>
      </w:r>
    </w:p>
    <w:p>
      <w:pPr>
        <w:pStyle w:val="Heading2"/>
        <w:spacing w:after="100" w:before="220"/>
      </w:pPr>
      <w:r>
        <w:rPr>
          <w:b/>
          <w:bCs/>
          <w:color w:val="111827"/>
        </w:rPr>
        <w:t xml:space="preserve">9.5 Estado de cuenta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5. Generación del estado de cuenta en PDF.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Documentación Técnica — Frontend SICAP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ba373372c2701f7ead7d3baa1e4c4e5bc6ae75.png"/><Relationship Id="rId10" Type="http://schemas.openxmlformats.org/officeDocument/2006/relationships/image" Target="media/57c2be0813a97fba91578d50dd519034b7d529e6.png"/><Relationship Id="rId11" Type="http://schemas.openxmlformats.org/officeDocument/2006/relationships/image" Target="media/dd014ff3f7d44426837ac265dad93fc9fb643e5c.png"/><Relationship Id="rId12" Type="http://schemas.openxmlformats.org/officeDocument/2006/relationships/image" Target="media/8f6d0414576143428490495175ace62b4939a28e.png"/><Relationship Id="rId13" Type="http://schemas.openxmlformats.org/officeDocument/2006/relationships/image" Target="media/edd5c7726d58554ffc9d8709b257f80c84d048e7.png"/><Relationship Id="rId14" Type="http://schemas.openxmlformats.org/officeDocument/2006/relationships/image" Target="media/91a6948a17fb248a26c3dab6ef75adb60c14f297.png"/><Relationship Id="rId15" Type="http://schemas.openxmlformats.org/officeDocument/2006/relationships/image" Target="media/39a137153eb63140649b2595fdced3eeadaeab6d.png"/><Relationship Id="rId16" Type="http://schemas.openxmlformats.org/officeDocument/2006/relationships/image" Target="media/f5b00fa44149eb800e24e8f42a560d41848ac641.png"/><Relationship Id="rId17" Type="http://schemas.openxmlformats.org/officeDocument/2006/relationships/image" Target="media/9400d0d44eee4b834a1dd5b0df4ecb4df83a6802.png"/><Relationship Id="rId18" Type="http://schemas.openxmlformats.org/officeDocument/2006/relationships/image" Target="media/c8b89866c707ec4c5dc7eb4bb833f07635ae1538.png"/><Relationship Id="rId19" Type="http://schemas.openxmlformats.org/officeDocument/2006/relationships/image" Target="media/62b8b3c12ec02f1318783d49354cfbd2eddf3e3d.png"/><Relationship Id="rId20" Type="http://schemas.openxmlformats.org/officeDocument/2006/relationships/image" Target="media/95dc3f8854f54b8a0f105e7720efd2dd870c3e35.png"/><Relationship Id="rId21" Type="http://schemas.openxmlformats.org/officeDocument/2006/relationships/image" Target="media/7ae41690c5402b019ded5130de65451d7120200e.png"/><Relationship Id="rId22" Type="http://schemas.openxmlformats.org/officeDocument/2006/relationships/image" Target="media/352608c8964da2cdeff64acbfdeb0065de60ffc5.png"/><Relationship Id="rId23" Type="http://schemas.openxmlformats.org/officeDocument/2006/relationships/image" Target="media/dee519b8b915bca414b483623a4c3972c519ae5c.png"/><Relationship Id="rId24" Type="http://schemas.openxmlformats.org/officeDocument/2006/relationships/image" Target="media/eeb87c93887ead234dd1244e59648881f95f46b9.png"/><Relationship Id="rId25" Type="http://schemas.openxmlformats.org/officeDocument/2006/relationships/image" Target="media/51b9d35a9a899ca75d20fa964aa21a440201c73c.png"/><Relationship Id="rId26" Type="http://schemas.openxmlformats.org/officeDocument/2006/relationships/image" Target="media/039097708125554976e9b2536f4c709deaa80de8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Frontend SICAP</dc:title>
  <dc:creator>SICAP — Frontend</dc:creator>
  <dc:description>Arquitectura, módulos, diseño, reglas de negocio y diagramas</dc:description>
  <cp:lastModifiedBy>Un-named</cp:lastModifiedBy>
  <cp:revision>1</cp:revision>
  <dcterms:created xsi:type="dcterms:W3CDTF">2026-07-24T19:57:01.997Z</dcterms:created>
  <dcterms:modified xsi:type="dcterms:W3CDTF">2026-07-24T19:57:02.000Z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