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صنعاء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فيلا للبيع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السعر 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115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 مليون ريال يمني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auto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المساحة 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15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 لبنة حر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مكونة من دور وبدروم مسلح حجر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الدور الاول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مجلس وصالة استقبال و 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صالة عائلية واسعة وجناح عباره عن غرفة مع الحمام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اضافة الى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غرفتين وحمام ومطبخ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والبدروم عباره عن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غرفتين وحمامين ومطبخ كبير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وصالة مفتوحة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يوجد حوش واسع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يوجد خزان ارضي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br/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الموقع بيت بوس حي الشباب شارع 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14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 متر غربي</w:t>
      </w:r>
      <w:r>
        <w:rPr>
          <w:rFonts w:ascii="Tahoma" w:hAnsi="Tahoma" w:cs="Tahoma" w:eastAsia="Tahoma"/>
          <w:color w:val="141823"/>
          <w:spacing w:val="0"/>
          <w:position w:val="0"/>
          <w:sz w:val="23"/>
          <w:shd w:fill="FFFFFF" w:val="clear"/>
        </w:rPr>
        <w:t xml:space="preserve">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Price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115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million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Area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adobes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Consist: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one floor and basement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br/>
      </w:r>
    </w:p>
    <w:p>
      <w:pPr>
        <w:bidi w:val="true"/>
        <w:spacing w:before="0" w:after="200" w:line="276"/>
        <w:ind w:right="0" w:left="1704" w:firstLine="0"/>
        <w:jc w:val="right"/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  <w:vertAlign w:val="superscript"/>
        </w:rPr>
        <w:t xml:space="preserve">st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floor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divan ,parlo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bathroom , a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larg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homely hall and pavilion that has room and bathroom beside two rooms ,kitchen and bathroom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basement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two rooms , two bathroom, a larg kitchen and open hall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There is also cistern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1704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Location:Bait Baos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Buxton Sketch" w:hAnsi="Buxton Sketch" w:cs="Buxton Sketch" w:eastAsia="Buxton Sketch"/>
          <w:color w:val="auto"/>
          <w:spacing w:val="0"/>
          <w:position w:val="0"/>
          <w:sz w:val="28"/>
          <w:shd w:fill="auto" w:val="clear"/>
        </w:rPr>
        <w:t xml:space="preserve">th 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