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差旅费用管理办法（2025 年版）</w:t>
      </w:r>
    </w:p>
    <w:p>
      <w:pPr>
        <w:pStyle w:val="Heading2"/>
      </w:pPr>
      <w:r>
        <w:t>第一条 适用范围</w:t>
      </w:r>
    </w:p>
    <w:p>
      <w:r>
        <w:t>本办法适用于公司全体员工因公出差发生的交通、住宿、伙食等费用。</w:t>
      </w:r>
    </w:p>
    <w:p>
      <w:pPr>
        <w:pStyle w:val="Heading2"/>
      </w:pPr>
      <w:r>
        <w:t>第二条 交通</w:t>
      </w:r>
    </w:p>
    <w:p>
      <w:r>
        <w:t>国内出差乘坐高铁二等座或经济舱机票；市内交通凭票据据实列支，单日不超过 100 元。</w:t>
      </w:r>
    </w:p>
    <w:p>
      <w:pPr>
        <w:pStyle w:val="Heading2"/>
      </w:pPr>
      <w:r>
        <w:t>第三条 住宿</w:t>
      </w:r>
    </w:p>
    <w:p>
      <w:r>
        <w:t>一线城市每晚不超过 600 元，其他城市每晚不超过 400 元，超出部分由个人承担。</w:t>
      </w:r>
    </w:p>
    <w:p>
      <w:pPr>
        <w:pStyle w:val="Heading2"/>
      </w:pPr>
      <w:r>
        <w:t>第四条 伙食补助</w:t>
      </w:r>
    </w:p>
    <w:p>
      <w:r>
        <w:t>出差期间每人每天补助 80 元，按实际出差天数计算，不另凭票据。</w:t>
      </w:r>
    </w:p>
    <w:p>
      <w:pPr>
        <w:pStyle w:val="Heading2"/>
      </w:pPr>
      <w:r>
        <w:t>第五条 费用申请</w:t>
      </w:r>
    </w:p>
    <w:p>
      <w:r>
        <w:t>出差结束后 15 个工作日内，在财务系统提交费用申请，附发票原件和行程单，经部门负责人审批后由财务部支付。</w:t>
      </w:r>
    </w:p>
    <w:p>
      <w:pPr>
        <w:pStyle w:val="Heading2"/>
      </w:pPr>
      <w:r>
        <w:t>第六条 附则</w:t>
      </w:r>
    </w:p>
    <w:p>
      <w:r>
        <w:t>本办法自 2025 年 1 月 1 日起执行，由财务部负责解释。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