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年度报告</w:t>
      </w:r>
    </w:p>
    <w:p>
      <w:pPr>
        <w:pStyle w:val="Heading1"/>
      </w:pPr>
      <w:r>
        <w:t>一、全年回顾</w:t>
      </w:r>
    </w:p>
    <w:p>
      <w:r>
        <w:t>全年营业收入 4810 万元，同比增长 15%；新客户占四成，老客户复购率 62%。</w:t>
      </w:r>
    </w:p>
    <w:p>
      <w:pPr>
        <w:pStyle w:val="Heading1"/>
      </w:pPr>
      <w:r>
        <w:t>二、第三季度</w:t>
      </w:r>
    </w:p>
    <w:p>
      <w:r>
        <w:t>第三季度销售额 1260 万元，同比增长 18%，环比增长 9%。华东区销售额 486 万，首次超过华南。</w:t>
      </w:r>
    </w:p>
    <w:p>
      <w:pPr>
        <w:pStyle w:val="Heading1"/>
      </w:pPr>
      <w:r>
        <w:t>三、明年计划</w:t>
      </w:r>
    </w:p>
    <w:p>
      <w:r>
        <w:t>老客户复购为重点；西南区新开两个办事处；毛利率保持在 40% 以上。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季度</w:t>
            </w:r>
          </w:p>
        </w:tc>
        <w:tc>
          <w:tcPr>
            <w:tcW w:type="dxa" w:w="2880"/>
          </w:tcPr>
          <w:p>
            <w:r>
              <w:t>销售额（万元）</w:t>
            </w:r>
          </w:p>
        </w:tc>
        <w:tc>
          <w:tcPr>
            <w:tcW w:type="dxa" w:w="2880"/>
          </w:tcPr>
          <w:p>
            <w:r>
              <w:t>毛利率</w:t>
            </w:r>
          </w:p>
        </w:tc>
      </w:tr>
      <w:tr>
        <w:tc>
          <w:tcPr>
            <w:tcW w:type="dxa" w:w="2880"/>
          </w:tcPr>
          <w:p>
            <w:r>
              <w:t>第一季度</w:t>
            </w:r>
          </w:p>
        </w:tc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36%</w:t>
            </w:r>
          </w:p>
        </w:tc>
      </w:tr>
      <w:tr>
        <w:tc>
          <w:tcPr>
            <w:tcW w:type="dxa" w:w="2880"/>
          </w:tcPr>
          <w:p>
            <w:r>
              <w:t>第二季度</w:t>
            </w:r>
          </w:p>
        </w:tc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38%</w:t>
            </w:r>
          </w:p>
        </w:tc>
      </w:tr>
      <w:tr>
        <w:tc>
          <w:tcPr>
            <w:tcW w:type="dxa" w:w="2880"/>
          </w:tcPr>
          <w:p>
            <w:r>
              <w:t>第三季度</w:t>
            </w:r>
          </w:p>
        </w:tc>
        <w:tc>
          <w:tcPr>
            <w:tcW w:type="dxa" w:w="2880"/>
          </w:tcPr>
          <w:p>
            <w:r>
              <w:t>1260</w:t>
            </w:r>
          </w:p>
        </w:tc>
        <w:tc>
          <w:tcPr>
            <w:tcW w:type="dxa" w:w="2880"/>
          </w:tcPr>
          <w:p>
            <w:r>
              <w:t>41%</w:t>
            </w:r>
          </w:p>
        </w:tc>
      </w:tr>
      <w:tr>
        <w:tc>
          <w:tcPr>
            <w:tcW w:type="dxa" w:w="2880"/>
          </w:tcPr>
          <w:p>
            <w:r>
              <w:t>第四季度</w:t>
            </w:r>
          </w:p>
        </w:tc>
        <w:tc>
          <w:tcPr>
            <w:tcW w:type="dxa" w:w="2880"/>
          </w:tcPr>
          <w:p>
            <w:r>
              <w:t>1420</w:t>
            </w:r>
          </w:p>
        </w:tc>
        <w:tc>
          <w:tcPr>
            <w:tcW w:type="dxa" w:w="2880"/>
          </w:tcPr>
          <w:p>
            <w:r>
              <w:t>42%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年度报告</dc:title>
  <dc:subject/>
  <dc:creator>财务部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