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60" w:rsidRDefault="007C7874" w:rsidP="00BC5A93">
      <w:pPr>
        <w:pStyle w:val="Heading1"/>
      </w:pPr>
      <w:r>
        <w:t>Research Review</w:t>
      </w:r>
      <w:r w:rsidR="00BC5A93">
        <w:t xml:space="preserve"> of The </w:t>
      </w:r>
      <w:r w:rsidR="00E56E60">
        <w:t>Frame Problem</w:t>
      </w:r>
    </w:p>
    <w:p w:rsidR="00CB3009" w:rsidRPr="00CB3009" w:rsidRDefault="00CB3009" w:rsidP="00CB3009"/>
    <w:p w:rsidR="007F232A" w:rsidRPr="00CB3009" w:rsidRDefault="00AB6875" w:rsidP="00E56E60">
      <w:pPr>
        <w:rPr>
          <w:sz w:val="20"/>
          <w:szCs w:val="20"/>
        </w:rPr>
      </w:pPr>
      <w:r w:rsidRPr="00CB3009">
        <w:rPr>
          <w:sz w:val="20"/>
          <w:szCs w:val="20"/>
        </w:rPr>
        <w:t>The frame problem</w:t>
      </w:r>
      <w:r w:rsidR="00DE6CDF" w:rsidRPr="00CB3009">
        <w:rPr>
          <w:sz w:val="20"/>
          <w:szCs w:val="20"/>
        </w:rPr>
        <w:t xml:space="preserve"> </w:t>
      </w:r>
      <w:r w:rsidR="00533AA4" w:rsidRPr="00CB3009">
        <w:rPr>
          <w:sz w:val="20"/>
          <w:szCs w:val="20"/>
        </w:rPr>
        <w:t xml:space="preserve">was described first by </w:t>
      </w:r>
      <w:sdt>
        <w:sdtPr>
          <w:rPr>
            <w:sz w:val="20"/>
            <w:szCs w:val="20"/>
          </w:rPr>
          <w:id w:val="19606004"/>
          <w:citation/>
        </w:sdtPr>
        <w:sdtEndPr/>
        <w:sdtContent>
          <w:r w:rsidR="00DE6CDF" w:rsidRPr="00CB3009">
            <w:rPr>
              <w:sz w:val="20"/>
              <w:szCs w:val="20"/>
            </w:rPr>
            <w:fldChar w:fldCharType="begin"/>
          </w:r>
          <w:r w:rsidR="00DE6CDF" w:rsidRPr="00CB3009">
            <w:rPr>
              <w:sz w:val="20"/>
              <w:szCs w:val="20"/>
            </w:rPr>
            <w:instrText xml:space="preserve"> CITATION McC69 \l 2057 </w:instrText>
          </w:r>
          <w:r w:rsidR="00DE6CDF" w:rsidRPr="00CB3009">
            <w:rPr>
              <w:sz w:val="20"/>
              <w:szCs w:val="20"/>
            </w:rPr>
            <w:fldChar w:fldCharType="separate"/>
          </w:r>
          <w:r w:rsidR="00DE6CDF" w:rsidRPr="00CB3009">
            <w:rPr>
              <w:noProof/>
              <w:sz w:val="20"/>
              <w:szCs w:val="20"/>
            </w:rPr>
            <w:t>(McCarthy, et al., 1969)</w:t>
          </w:r>
          <w:r w:rsidR="00DE6CDF" w:rsidRPr="00CB3009">
            <w:rPr>
              <w:sz w:val="20"/>
              <w:szCs w:val="20"/>
            </w:rPr>
            <w:fldChar w:fldCharType="end"/>
          </w:r>
        </w:sdtContent>
      </w:sdt>
      <w:r w:rsidRPr="00CB3009">
        <w:rPr>
          <w:sz w:val="20"/>
          <w:szCs w:val="20"/>
        </w:rPr>
        <w:t xml:space="preserve"> </w:t>
      </w:r>
      <w:r w:rsidR="00533AA4" w:rsidRPr="00CB3009">
        <w:rPr>
          <w:sz w:val="20"/>
          <w:szCs w:val="20"/>
        </w:rPr>
        <w:t xml:space="preserve">and it </w:t>
      </w:r>
      <w:r w:rsidR="002D4B48" w:rsidRPr="00CB3009">
        <w:rPr>
          <w:sz w:val="20"/>
          <w:szCs w:val="20"/>
        </w:rPr>
        <w:t>is the problem of having to formally</w:t>
      </w:r>
      <w:r w:rsidR="006634A8" w:rsidRPr="00CB3009">
        <w:rPr>
          <w:sz w:val="20"/>
          <w:szCs w:val="20"/>
        </w:rPr>
        <w:t xml:space="preserve"> to</w:t>
      </w:r>
      <w:r w:rsidR="002D4B48" w:rsidRPr="00CB3009">
        <w:rPr>
          <w:sz w:val="20"/>
          <w:szCs w:val="20"/>
        </w:rPr>
        <w:t xml:space="preserve"> describe which fluents do not change </w:t>
      </w:r>
      <w:r w:rsidR="004D7170" w:rsidRPr="00CB3009">
        <w:rPr>
          <w:sz w:val="20"/>
          <w:szCs w:val="20"/>
        </w:rPr>
        <w:t>when</w:t>
      </w:r>
      <w:r w:rsidR="002D4B48" w:rsidRPr="00CB3009">
        <w:rPr>
          <w:sz w:val="20"/>
          <w:szCs w:val="20"/>
        </w:rPr>
        <w:t xml:space="preserve"> a given action is performed. Given that </w:t>
      </w:r>
      <w:r w:rsidR="006634A8" w:rsidRPr="00CB3009">
        <w:rPr>
          <w:sz w:val="20"/>
          <w:szCs w:val="20"/>
        </w:rPr>
        <w:t xml:space="preserve">most </w:t>
      </w:r>
      <w:r w:rsidR="002D4B48" w:rsidRPr="00CB3009">
        <w:rPr>
          <w:sz w:val="20"/>
          <w:szCs w:val="20"/>
        </w:rPr>
        <w:t>action</w:t>
      </w:r>
      <w:r w:rsidR="006634A8" w:rsidRPr="00CB3009">
        <w:rPr>
          <w:sz w:val="20"/>
          <w:szCs w:val="20"/>
        </w:rPr>
        <w:t>s</w:t>
      </w:r>
      <w:r w:rsidR="002D4B48" w:rsidRPr="00CB3009">
        <w:rPr>
          <w:sz w:val="20"/>
          <w:szCs w:val="20"/>
        </w:rPr>
        <w:t xml:space="preserve"> </w:t>
      </w:r>
      <w:r w:rsidR="006634A8" w:rsidRPr="00CB3009">
        <w:rPr>
          <w:sz w:val="20"/>
          <w:szCs w:val="20"/>
        </w:rPr>
        <w:t>only</w:t>
      </w:r>
      <w:r w:rsidR="002D4B48" w:rsidRPr="00CB3009">
        <w:rPr>
          <w:sz w:val="20"/>
          <w:szCs w:val="20"/>
        </w:rPr>
        <w:t xml:space="preserve"> affect </w:t>
      </w:r>
      <w:r w:rsidR="006634A8" w:rsidRPr="00CB3009">
        <w:rPr>
          <w:sz w:val="20"/>
          <w:szCs w:val="20"/>
        </w:rPr>
        <w:t xml:space="preserve">very </w:t>
      </w:r>
      <w:r w:rsidR="002D4B48" w:rsidRPr="00CB3009">
        <w:rPr>
          <w:sz w:val="20"/>
          <w:szCs w:val="20"/>
        </w:rPr>
        <w:t xml:space="preserve">few </w:t>
      </w:r>
      <w:r w:rsidR="006634A8" w:rsidRPr="00CB3009">
        <w:rPr>
          <w:sz w:val="20"/>
          <w:szCs w:val="20"/>
        </w:rPr>
        <w:t>fluents at a time</w:t>
      </w:r>
      <w:r w:rsidR="002D4B48" w:rsidRPr="00CB3009">
        <w:rPr>
          <w:sz w:val="20"/>
          <w:szCs w:val="20"/>
        </w:rPr>
        <w:t xml:space="preserve"> </w:t>
      </w:r>
      <w:r w:rsidR="004D7170" w:rsidRPr="00CB3009">
        <w:rPr>
          <w:sz w:val="20"/>
          <w:szCs w:val="20"/>
        </w:rPr>
        <w:t xml:space="preserve">describing </w:t>
      </w:r>
      <w:r w:rsidR="00533AA4" w:rsidRPr="00CB3009">
        <w:rPr>
          <w:sz w:val="20"/>
          <w:szCs w:val="20"/>
        </w:rPr>
        <w:t>all</w:t>
      </w:r>
      <w:r w:rsidR="004D7170" w:rsidRPr="00CB3009">
        <w:rPr>
          <w:sz w:val="20"/>
          <w:szCs w:val="20"/>
        </w:rPr>
        <w:t xml:space="preserve"> </w:t>
      </w:r>
      <w:r w:rsidR="006634A8" w:rsidRPr="00CB3009">
        <w:rPr>
          <w:sz w:val="20"/>
          <w:szCs w:val="20"/>
        </w:rPr>
        <w:t xml:space="preserve">combinations of fluents and actions </w:t>
      </w:r>
      <w:r w:rsidR="00533AA4" w:rsidRPr="00CB3009">
        <w:rPr>
          <w:sz w:val="20"/>
          <w:szCs w:val="20"/>
        </w:rPr>
        <w:t xml:space="preserve">is </w:t>
      </w:r>
      <w:r w:rsidR="002D4B48" w:rsidRPr="00CB3009">
        <w:rPr>
          <w:sz w:val="20"/>
          <w:szCs w:val="20"/>
        </w:rPr>
        <w:t>a huge overhead</w:t>
      </w:r>
      <w:r w:rsidR="00533AA4" w:rsidRPr="00CB3009">
        <w:rPr>
          <w:sz w:val="20"/>
          <w:szCs w:val="20"/>
        </w:rPr>
        <w:t xml:space="preserve">. </w:t>
      </w:r>
      <w:r w:rsidR="006634A8" w:rsidRPr="00CB3009">
        <w:rPr>
          <w:sz w:val="20"/>
          <w:szCs w:val="20"/>
        </w:rPr>
        <w:t xml:space="preserve">To describe the problem better the </w:t>
      </w:r>
      <w:r w:rsidR="00533AA4" w:rsidRPr="00CB3009">
        <w:rPr>
          <w:sz w:val="20"/>
          <w:szCs w:val="20"/>
        </w:rPr>
        <w:t xml:space="preserve">concept of Frame Axioms was introduced. Frame Axioms describe </w:t>
      </w:r>
      <w:r w:rsidR="006634A8" w:rsidRPr="00CB3009">
        <w:rPr>
          <w:sz w:val="20"/>
          <w:szCs w:val="20"/>
        </w:rPr>
        <w:t>what fluents do not change given a certain action.</w:t>
      </w:r>
    </w:p>
    <w:p w:rsidR="00E76ABC" w:rsidRPr="00CB3009" w:rsidRDefault="000A6913" w:rsidP="00E56E6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439330660"/>
          <w:citation/>
        </w:sdtPr>
        <w:sdtEndPr/>
        <w:sdtContent>
          <w:r w:rsidR="00525901" w:rsidRPr="00CB3009">
            <w:rPr>
              <w:sz w:val="20"/>
              <w:szCs w:val="20"/>
            </w:rPr>
            <w:fldChar w:fldCharType="begin"/>
          </w:r>
          <w:r w:rsidR="00525901" w:rsidRPr="00CB3009">
            <w:rPr>
              <w:sz w:val="20"/>
              <w:szCs w:val="20"/>
            </w:rPr>
            <w:instrText xml:space="preserve"> CITATION Ped89 \l 2057 </w:instrText>
          </w:r>
          <w:r w:rsidR="00525901" w:rsidRPr="00CB3009">
            <w:rPr>
              <w:sz w:val="20"/>
              <w:szCs w:val="20"/>
            </w:rPr>
            <w:fldChar w:fldCharType="separate"/>
          </w:r>
          <w:r w:rsidR="00525901" w:rsidRPr="00CB3009">
            <w:rPr>
              <w:noProof/>
              <w:sz w:val="20"/>
              <w:szCs w:val="20"/>
            </w:rPr>
            <w:t>(Pednault, 1989)</w:t>
          </w:r>
          <w:r w:rsidR="00525901" w:rsidRPr="00CB3009">
            <w:rPr>
              <w:sz w:val="20"/>
              <w:szCs w:val="20"/>
            </w:rPr>
            <w:fldChar w:fldCharType="end"/>
          </w:r>
        </w:sdtContent>
      </w:sdt>
      <w:r w:rsidR="00525901" w:rsidRPr="00CB3009">
        <w:rPr>
          <w:sz w:val="20"/>
          <w:szCs w:val="20"/>
        </w:rPr>
        <w:t xml:space="preserve"> later described a mechanism</w:t>
      </w:r>
      <w:r w:rsidR="000F1217" w:rsidRPr="00CB3009">
        <w:rPr>
          <w:sz w:val="20"/>
          <w:szCs w:val="20"/>
        </w:rPr>
        <w:t xml:space="preserve"> for deriving</w:t>
      </w:r>
      <w:r w:rsidR="00525901" w:rsidRPr="00CB3009">
        <w:rPr>
          <w:sz w:val="20"/>
          <w:szCs w:val="20"/>
        </w:rPr>
        <w:t xml:space="preserve"> frame axioms from effect axioms that work</w:t>
      </w:r>
      <w:r w:rsidR="000F1217" w:rsidRPr="00CB3009">
        <w:rPr>
          <w:sz w:val="20"/>
          <w:szCs w:val="20"/>
        </w:rPr>
        <w:t>ed</w:t>
      </w:r>
      <w:r w:rsidR="00525901" w:rsidRPr="00CB3009">
        <w:rPr>
          <w:sz w:val="20"/>
          <w:szCs w:val="20"/>
        </w:rPr>
        <w:t xml:space="preserve"> under the assumptions that the effect axioms are complet</w:t>
      </w:r>
      <w:r w:rsidR="000F1217" w:rsidRPr="00CB3009">
        <w:rPr>
          <w:sz w:val="20"/>
          <w:szCs w:val="20"/>
        </w:rPr>
        <w:t xml:space="preserve">e. This approach helped formulating frame axioms but didn’t reduce the huge number of frame axioms needed. </w:t>
      </w:r>
      <w:r w:rsidR="00E76ABC" w:rsidRPr="00CB3009">
        <w:rPr>
          <w:sz w:val="20"/>
          <w:szCs w:val="20"/>
        </w:rPr>
        <w:t xml:space="preserve">The assumption of completeness also forces one to describe all the effects even </w:t>
      </w:r>
      <w:r w:rsidR="008403E9" w:rsidRPr="00CB3009">
        <w:rPr>
          <w:sz w:val="20"/>
          <w:szCs w:val="20"/>
        </w:rPr>
        <w:t>some</w:t>
      </w:r>
      <w:r w:rsidR="00E76ABC" w:rsidRPr="00CB3009">
        <w:rPr>
          <w:sz w:val="20"/>
          <w:szCs w:val="20"/>
        </w:rPr>
        <w:t xml:space="preserve"> effect</w:t>
      </w:r>
      <w:r w:rsidR="00CB3009">
        <w:rPr>
          <w:sz w:val="20"/>
          <w:szCs w:val="20"/>
        </w:rPr>
        <w:t>s</w:t>
      </w:r>
      <w:r w:rsidR="00E76ABC" w:rsidRPr="00CB3009">
        <w:rPr>
          <w:sz w:val="20"/>
          <w:szCs w:val="20"/>
        </w:rPr>
        <w:t xml:space="preserve"> seem “vacuous”</w:t>
      </w:r>
      <w:r w:rsidR="008403E9" w:rsidRPr="00CB3009">
        <w:rPr>
          <w:sz w:val="20"/>
          <w:szCs w:val="20"/>
        </w:rPr>
        <w:t xml:space="preserve"> or unnatural</w:t>
      </w:r>
      <w:r w:rsidR="00E76ABC" w:rsidRPr="00CB3009">
        <w:rPr>
          <w:sz w:val="20"/>
          <w:szCs w:val="20"/>
        </w:rPr>
        <w:t xml:space="preserve"> in the context of </w:t>
      </w:r>
      <w:r w:rsidR="006634A8" w:rsidRPr="00CB3009">
        <w:rPr>
          <w:sz w:val="20"/>
          <w:szCs w:val="20"/>
        </w:rPr>
        <w:t>a</w:t>
      </w:r>
      <w:r w:rsidR="00E76ABC" w:rsidRPr="00CB3009">
        <w:rPr>
          <w:sz w:val="20"/>
          <w:szCs w:val="20"/>
        </w:rPr>
        <w:t xml:space="preserve"> given problem</w:t>
      </w:r>
      <w:r w:rsidR="008403E9" w:rsidRPr="00CB3009">
        <w:rPr>
          <w:sz w:val="20"/>
          <w:szCs w:val="20"/>
        </w:rPr>
        <w:t xml:space="preserve">. Sometimes it’s even unlikely that one can describe all effects </w:t>
      </w:r>
      <w:r w:rsidR="00D353DD" w:rsidRPr="00CB3009">
        <w:rPr>
          <w:sz w:val="20"/>
          <w:szCs w:val="20"/>
        </w:rPr>
        <w:t>completely</w:t>
      </w:r>
      <w:r w:rsidR="00E76ABC" w:rsidRPr="00CB300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86399792"/>
          <w:citation/>
        </w:sdtPr>
        <w:sdtEndPr/>
        <w:sdtContent>
          <w:r w:rsidR="00E76ABC" w:rsidRPr="00CB3009">
            <w:rPr>
              <w:sz w:val="20"/>
              <w:szCs w:val="20"/>
            </w:rPr>
            <w:fldChar w:fldCharType="begin"/>
          </w:r>
          <w:r w:rsidR="00E76ABC" w:rsidRPr="00CB3009">
            <w:rPr>
              <w:sz w:val="20"/>
              <w:szCs w:val="20"/>
            </w:rPr>
            <w:instrText xml:space="preserve"> CITATION Rei91 \l 2057 </w:instrText>
          </w:r>
          <w:r w:rsidR="00E76ABC" w:rsidRPr="00CB3009">
            <w:rPr>
              <w:sz w:val="20"/>
              <w:szCs w:val="20"/>
            </w:rPr>
            <w:fldChar w:fldCharType="separate"/>
          </w:r>
          <w:r w:rsidR="00E76ABC" w:rsidRPr="00CB3009">
            <w:rPr>
              <w:noProof/>
              <w:sz w:val="20"/>
              <w:szCs w:val="20"/>
            </w:rPr>
            <w:t>(Reiter, 1991)</w:t>
          </w:r>
          <w:r w:rsidR="00E76ABC" w:rsidRPr="00CB3009">
            <w:rPr>
              <w:sz w:val="20"/>
              <w:szCs w:val="20"/>
            </w:rPr>
            <w:fldChar w:fldCharType="end"/>
          </w:r>
        </w:sdtContent>
      </w:sdt>
      <w:r w:rsidR="00E76ABC" w:rsidRPr="00CB3009">
        <w:rPr>
          <w:sz w:val="20"/>
          <w:szCs w:val="20"/>
        </w:rPr>
        <w:t>.</w:t>
      </w:r>
    </w:p>
    <w:p w:rsidR="007F232A" w:rsidRPr="00CB3009" w:rsidRDefault="000A6913" w:rsidP="00E56E6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2116583876"/>
          <w:citation/>
        </w:sdtPr>
        <w:sdtEndPr/>
        <w:sdtContent>
          <w:r w:rsidR="000F1217" w:rsidRPr="00CB3009">
            <w:rPr>
              <w:sz w:val="20"/>
              <w:szCs w:val="20"/>
            </w:rPr>
            <w:fldChar w:fldCharType="begin"/>
          </w:r>
          <w:r w:rsidR="000F1217" w:rsidRPr="00CB3009">
            <w:rPr>
              <w:sz w:val="20"/>
              <w:szCs w:val="20"/>
            </w:rPr>
            <w:instrText xml:space="preserve"> CITATION Sch90 \l 2057 </w:instrText>
          </w:r>
          <w:r w:rsidR="000F1217" w:rsidRPr="00CB3009">
            <w:rPr>
              <w:sz w:val="20"/>
              <w:szCs w:val="20"/>
            </w:rPr>
            <w:fldChar w:fldCharType="separate"/>
          </w:r>
          <w:r w:rsidR="000F1217" w:rsidRPr="00CB3009">
            <w:rPr>
              <w:noProof/>
              <w:sz w:val="20"/>
              <w:szCs w:val="20"/>
            </w:rPr>
            <w:t>(Schubert, 1990)</w:t>
          </w:r>
          <w:r w:rsidR="000F1217" w:rsidRPr="00CB3009">
            <w:rPr>
              <w:sz w:val="20"/>
              <w:szCs w:val="20"/>
            </w:rPr>
            <w:fldChar w:fldCharType="end"/>
          </w:r>
        </w:sdtContent>
      </w:sdt>
      <w:r w:rsidR="000F1217" w:rsidRPr="00CB3009">
        <w:rPr>
          <w:sz w:val="20"/>
          <w:szCs w:val="20"/>
        </w:rPr>
        <w:t xml:space="preserve"> introduced </w:t>
      </w:r>
      <w:r w:rsidR="00F42E27" w:rsidRPr="00CB3009">
        <w:rPr>
          <w:sz w:val="20"/>
          <w:szCs w:val="20"/>
        </w:rPr>
        <w:t xml:space="preserve">with </w:t>
      </w:r>
      <w:r w:rsidR="000F1217" w:rsidRPr="00CB3009">
        <w:rPr>
          <w:sz w:val="20"/>
          <w:szCs w:val="20"/>
        </w:rPr>
        <w:t xml:space="preserve">the explanation closure axiom the idea that one </w:t>
      </w:r>
      <w:r w:rsidR="00F42E27" w:rsidRPr="00CB3009">
        <w:rPr>
          <w:sz w:val="20"/>
          <w:szCs w:val="20"/>
        </w:rPr>
        <w:t>can</w:t>
      </w:r>
      <w:r w:rsidR="000F1217" w:rsidRPr="00CB3009">
        <w:rPr>
          <w:sz w:val="20"/>
          <w:szCs w:val="20"/>
        </w:rPr>
        <w:t xml:space="preserve"> solve the problem by explicitly enumerating </w:t>
      </w:r>
      <w:r w:rsidR="00844A91" w:rsidRPr="00CB3009">
        <w:rPr>
          <w:sz w:val="20"/>
          <w:szCs w:val="20"/>
        </w:rPr>
        <w:t xml:space="preserve">all </w:t>
      </w:r>
      <w:r w:rsidR="00FC73D6" w:rsidRPr="00CB3009">
        <w:rPr>
          <w:sz w:val="20"/>
          <w:szCs w:val="20"/>
        </w:rPr>
        <w:t>the</w:t>
      </w:r>
      <w:r w:rsidR="000F1217" w:rsidRPr="00CB3009">
        <w:rPr>
          <w:sz w:val="20"/>
          <w:szCs w:val="20"/>
        </w:rPr>
        <w:t xml:space="preserve"> actions</w:t>
      </w:r>
      <w:r w:rsidR="00FC73D6" w:rsidRPr="00CB3009">
        <w:rPr>
          <w:sz w:val="20"/>
          <w:szCs w:val="20"/>
        </w:rPr>
        <w:t xml:space="preserve"> that</w:t>
      </w:r>
      <w:r w:rsidR="000F1217" w:rsidRPr="00CB3009">
        <w:rPr>
          <w:sz w:val="20"/>
          <w:szCs w:val="20"/>
        </w:rPr>
        <w:t xml:space="preserve"> change a fluent</w:t>
      </w:r>
      <w:r w:rsidR="00FC73D6" w:rsidRPr="00CB3009">
        <w:rPr>
          <w:sz w:val="20"/>
          <w:szCs w:val="20"/>
        </w:rPr>
        <w:t xml:space="preserve"> in an axiom</w:t>
      </w:r>
      <w:r w:rsidR="00F42E27" w:rsidRPr="00CB3009">
        <w:rPr>
          <w:sz w:val="20"/>
          <w:szCs w:val="20"/>
        </w:rPr>
        <w:t>. As a logical consequence this would also describe all the actions that don’t change a fluent.</w:t>
      </w:r>
      <w:r w:rsidR="00FC73D6" w:rsidRPr="00CB3009">
        <w:rPr>
          <w:sz w:val="20"/>
          <w:szCs w:val="20"/>
        </w:rPr>
        <w:t xml:space="preserve"> The number of explanation closure axioms is muss less </w:t>
      </w:r>
      <w:r w:rsidR="007F232A" w:rsidRPr="00CB3009">
        <w:rPr>
          <w:sz w:val="20"/>
          <w:szCs w:val="20"/>
        </w:rPr>
        <w:t xml:space="preserve">than the number of frame axioms in </w:t>
      </w:r>
      <w:proofErr w:type="spellStart"/>
      <w:r w:rsidR="007F232A" w:rsidRPr="00CB3009">
        <w:rPr>
          <w:sz w:val="20"/>
          <w:szCs w:val="20"/>
        </w:rPr>
        <w:t>Pednault’s</w:t>
      </w:r>
      <w:proofErr w:type="spellEnd"/>
      <w:r w:rsidR="007F232A" w:rsidRPr="00CB3009">
        <w:rPr>
          <w:sz w:val="20"/>
          <w:szCs w:val="20"/>
        </w:rPr>
        <w:t xml:space="preserve"> proposal but </w:t>
      </w:r>
      <w:r w:rsidR="00C16E93" w:rsidRPr="00CB3009">
        <w:rPr>
          <w:sz w:val="20"/>
          <w:szCs w:val="20"/>
        </w:rPr>
        <w:t>unfortunately,</w:t>
      </w:r>
      <w:r w:rsidR="007F232A" w:rsidRPr="00CB3009">
        <w:rPr>
          <w:sz w:val="20"/>
          <w:szCs w:val="20"/>
        </w:rPr>
        <w:t xml:space="preserve"> they can’t be derived in a domain independent fashion.</w:t>
      </w:r>
    </w:p>
    <w:p w:rsidR="00E771E1" w:rsidRPr="00CB3009" w:rsidRDefault="000A6913" w:rsidP="00E56E6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2115784503"/>
          <w:citation/>
        </w:sdtPr>
        <w:sdtEndPr/>
        <w:sdtContent>
          <w:r w:rsidR="00C16E93" w:rsidRPr="00CB3009">
            <w:rPr>
              <w:sz w:val="20"/>
              <w:szCs w:val="20"/>
            </w:rPr>
            <w:fldChar w:fldCharType="begin"/>
          </w:r>
          <w:r w:rsidR="00C16E93" w:rsidRPr="00CB3009">
            <w:rPr>
              <w:sz w:val="20"/>
              <w:szCs w:val="20"/>
            </w:rPr>
            <w:instrText xml:space="preserve"> CITATION Rei91 \l 2057 </w:instrText>
          </w:r>
          <w:r w:rsidR="00C16E93" w:rsidRPr="00CB3009">
            <w:rPr>
              <w:sz w:val="20"/>
              <w:szCs w:val="20"/>
            </w:rPr>
            <w:fldChar w:fldCharType="separate"/>
          </w:r>
          <w:r w:rsidR="00C16E93" w:rsidRPr="00CB3009">
            <w:rPr>
              <w:noProof/>
              <w:sz w:val="20"/>
              <w:szCs w:val="20"/>
            </w:rPr>
            <w:t>(Reiter, 1991)</w:t>
          </w:r>
          <w:r w:rsidR="00C16E93" w:rsidRPr="00CB3009">
            <w:rPr>
              <w:sz w:val="20"/>
              <w:szCs w:val="20"/>
            </w:rPr>
            <w:fldChar w:fldCharType="end"/>
          </w:r>
        </w:sdtContent>
      </w:sdt>
      <w:r w:rsidR="00C16E93" w:rsidRPr="00CB3009">
        <w:rPr>
          <w:sz w:val="20"/>
          <w:szCs w:val="20"/>
        </w:rPr>
        <w:t xml:space="preserve"> </w:t>
      </w:r>
      <w:r w:rsidR="00B31ADE" w:rsidRPr="00CB3009">
        <w:rPr>
          <w:sz w:val="20"/>
          <w:szCs w:val="20"/>
        </w:rPr>
        <w:t>refined</w:t>
      </w:r>
      <w:r w:rsidR="00C16E93" w:rsidRPr="00CB3009">
        <w:rPr>
          <w:sz w:val="20"/>
          <w:szCs w:val="20"/>
        </w:rPr>
        <w:t xml:space="preserve"> </w:t>
      </w:r>
      <w:proofErr w:type="spellStart"/>
      <w:r w:rsidR="00C16E93" w:rsidRPr="00CB3009">
        <w:rPr>
          <w:sz w:val="20"/>
          <w:szCs w:val="20"/>
        </w:rPr>
        <w:t>Pednault’s</w:t>
      </w:r>
      <w:proofErr w:type="spellEnd"/>
      <w:r w:rsidR="00C16E93" w:rsidRPr="00CB3009">
        <w:rPr>
          <w:sz w:val="20"/>
          <w:szCs w:val="20"/>
        </w:rPr>
        <w:t xml:space="preserve"> </w:t>
      </w:r>
      <w:r w:rsidR="006B0868" w:rsidRPr="00CB3009">
        <w:rPr>
          <w:sz w:val="20"/>
          <w:szCs w:val="20"/>
        </w:rPr>
        <w:t xml:space="preserve">and Schubert’s </w:t>
      </w:r>
      <w:r w:rsidR="00C16E93" w:rsidRPr="00CB3009">
        <w:rPr>
          <w:sz w:val="20"/>
          <w:szCs w:val="20"/>
        </w:rPr>
        <w:t xml:space="preserve">idea </w:t>
      </w:r>
      <w:r w:rsidR="006B0868" w:rsidRPr="00CB3009">
        <w:rPr>
          <w:sz w:val="20"/>
          <w:szCs w:val="20"/>
        </w:rPr>
        <w:t xml:space="preserve">and </w:t>
      </w:r>
      <w:r w:rsidR="00E771E1" w:rsidRPr="00CB3009">
        <w:rPr>
          <w:sz w:val="20"/>
          <w:szCs w:val="20"/>
        </w:rPr>
        <w:t>introduced the successor state axiom and a single action precondition axiom for each action. It was now possible to describe a problem</w:t>
      </w:r>
      <w:r w:rsidR="00B31ADE" w:rsidRPr="00CB3009">
        <w:rPr>
          <w:sz w:val="20"/>
          <w:szCs w:val="20"/>
        </w:rPr>
        <w:t xml:space="preserve"> </w:t>
      </w:r>
      <w:r w:rsidR="00E771E1" w:rsidRPr="00CB3009">
        <w:rPr>
          <w:sz w:val="20"/>
          <w:szCs w:val="20"/>
        </w:rPr>
        <w:t xml:space="preserve">with </w:t>
      </w:r>
      <w:r w:rsidR="00B31ADE" w:rsidRPr="00CB3009">
        <w:rPr>
          <w:sz w:val="20"/>
          <w:szCs w:val="20"/>
        </w:rPr>
        <w:t>one axio</w:t>
      </w:r>
      <w:bookmarkStart w:id="0" w:name="_GoBack"/>
      <w:bookmarkEnd w:id="0"/>
      <w:r w:rsidR="00B31ADE" w:rsidRPr="00CB3009">
        <w:rPr>
          <w:sz w:val="20"/>
          <w:szCs w:val="20"/>
        </w:rPr>
        <w:t>m per fluent and one axiom per action which made the Frame Problem less pressing</w:t>
      </w:r>
      <w:r w:rsidR="00E43E14" w:rsidRPr="00CB3009">
        <w:rPr>
          <w:sz w:val="20"/>
          <w:szCs w:val="20"/>
        </w:rPr>
        <w:t xml:space="preserve">. But the Frame Problem was still considered to be unsolved </w:t>
      </w:r>
      <w:sdt>
        <w:sdtPr>
          <w:rPr>
            <w:sz w:val="20"/>
            <w:szCs w:val="20"/>
          </w:rPr>
          <w:id w:val="1938951436"/>
          <w:citation/>
        </w:sdtPr>
        <w:sdtContent>
          <w:r w:rsidR="00E43E14" w:rsidRPr="00CB3009">
            <w:rPr>
              <w:sz w:val="20"/>
              <w:szCs w:val="20"/>
            </w:rPr>
            <w:fldChar w:fldCharType="begin"/>
          </w:r>
          <w:r w:rsidR="00E43E14" w:rsidRPr="00CB3009">
            <w:rPr>
              <w:sz w:val="20"/>
              <w:szCs w:val="20"/>
            </w:rPr>
            <w:instrText xml:space="preserve"> CITATION Kam04 \l 2057 </w:instrText>
          </w:r>
          <w:r w:rsidR="00E43E14" w:rsidRPr="00CB3009">
            <w:rPr>
              <w:sz w:val="20"/>
              <w:szCs w:val="20"/>
            </w:rPr>
            <w:fldChar w:fldCharType="separate"/>
          </w:r>
          <w:r w:rsidR="00E43E14" w:rsidRPr="00CB3009">
            <w:rPr>
              <w:noProof/>
              <w:sz w:val="20"/>
              <w:szCs w:val="20"/>
            </w:rPr>
            <w:t>(Kamermans, et al., 2004)</w:t>
          </w:r>
          <w:r w:rsidR="00E43E14" w:rsidRPr="00CB3009">
            <w:rPr>
              <w:sz w:val="20"/>
              <w:szCs w:val="20"/>
            </w:rPr>
            <w:fldChar w:fldCharType="end"/>
          </w:r>
        </w:sdtContent>
      </w:sdt>
      <w:r w:rsidR="00E43E14" w:rsidRPr="00CB3009">
        <w:rPr>
          <w:sz w:val="20"/>
          <w:szCs w:val="20"/>
        </w:rPr>
        <w:t>.</w:t>
      </w:r>
    </w:p>
    <w:p w:rsidR="0023537D" w:rsidRPr="00CB3009" w:rsidRDefault="00E43E14" w:rsidP="009070DC">
      <w:pPr>
        <w:rPr>
          <w:sz w:val="20"/>
          <w:szCs w:val="20"/>
        </w:rPr>
      </w:pPr>
      <w:r w:rsidRPr="00CB3009">
        <w:rPr>
          <w:sz w:val="20"/>
          <w:szCs w:val="20"/>
        </w:rPr>
        <w:t xml:space="preserve">But in more recent years two solutions to the problem have </w:t>
      </w:r>
      <w:r w:rsidR="001F1793" w:rsidRPr="00CB3009">
        <w:rPr>
          <w:sz w:val="20"/>
          <w:szCs w:val="20"/>
        </w:rPr>
        <w:t>emerged and</w:t>
      </w:r>
      <w:r w:rsidRPr="00CB3009">
        <w:rPr>
          <w:sz w:val="20"/>
          <w:szCs w:val="20"/>
        </w:rPr>
        <w:t xml:space="preserve"> both</w:t>
      </w:r>
      <w:r w:rsidR="001F1793" w:rsidRPr="00CB3009">
        <w:rPr>
          <w:sz w:val="20"/>
          <w:szCs w:val="20"/>
        </w:rPr>
        <w:t xml:space="preserve"> are</w:t>
      </w:r>
      <w:r w:rsidRPr="00CB3009">
        <w:rPr>
          <w:sz w:val="20"/>
          <w:szCs w:val="20"/>
        </w:rPr>
        <w:t xml:space="preserve"> now widely accepted. One is </w:t>
      </w:r>
      <w:r w:rsidR="009070DC" w:rsidRPr="00CB3009">
        <w:rPr>
          <w:sz w:val="20"/>
          <w:szCs w:val="20"/>
        </w:rPr>
        <w:t xml:space="preserve">Circumscriptive Event Calculus </w:t>
      </w:r>
      <w:sdt>
        <w:sdtPr>
          <w:rPr>
            <w:sz w:val="20"/>
            <w:szCs w:val="20"/>
          </w:rPr>
          <w:id w:val="-164859389"/>
          <w:citation/>
        </w:sdtPr>
        <w:sdtContent>
          <w:r w:rsidRPr="00CB3009">
            <w:rPr>
              <w:sz w:val="20"/>
              <w:szCs w:val="20"/>
            </w:rPr>
            <w:fldChar w:fldCharType="begin"/>
          </w:r>
          <w:r w:rsidRPr="00CB3009">
            <w:rPr>
              <w:sz w:val="20"/>
              <w:szCs w:val="20"/>
            </w:rPr>
            <w:instrText xml:space="preserve"> CITATION Sha97 \l 2057 </w:instrText>
          </w:r>
          <w:r w:rsidRPr="00CB3009">
            <w:rPr>
              <w:sz w:val="20"/>
              <w:szCs w:val="20"/>
            </w:rPr>
            <w:fldChar w:fldCharType="separate"/>
          </w:r>
          <w:r w:rsidRPr="00CB3009">
            <w:rPr>
              <w:noProof/>
              <w:sz w:val="20"/>
              <w:szCs w:val="20"/>
            </w:rPr>
            <w:t>(Shanahan, 1997)</w:t>
          </w:r>
          <w:r w:rsidRPr="00CB3009">
            <w:rPr>
              <w:sz w:val="20"/>
              <w:szCs w:val="20"/>
            </w:rPr>
            <w:fldChar w:fldCharType="end"/>
          </w:r>
        </w:sdtContent>
      </w:sdt>
      <w:r w:rsidRPr="00CB3009">
        <w:rPr>
          <w:sz w:val="20"/>
          <w:szCs w:val="20"/>
        </w:rPr>
        <w:t xml:space="preserve"> and the other </w:t>
      </w:r>
      <w:r w:rsidR="0023537D" w:rsidRPr="00CB3009">
        <w:rPr>
          <w:sz w:val="20"/>
          <w:szCs w:val="20"/>
        </w:rPr>
        <w:t>Fluent Calculus</w:t>
      </w:r>
      <w:r w:rsidRPr="00CB300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871504547"/>
          <w:citation/>
        </w:sdtPr>
        <w:sdtContent>
          <w:r w:rsidRPr="00CB3009">
            <w:rPr>
              <w:sz w:val="20"/>
              <w:szCs w:val="20"/>
            </w:rPr>
            <w:fldChar w:fldCharType="begin"/>
          </w:r>
          <w:r w:rsidRPr="00CB3009">
            <w:rPr>
              <w:sz w:val="20"/>
              <w:szCs w:val="20"/>
            </w:rPr>
            <w:instrText xml:space="preserve"> CITATION Thi01 \l 2057 </w:instrText>
          </w:r>
          <w:r w:rsidRPr="00CB3009">
            <w:rPr>
              <w:sz w:val="20"/>
              <w:szCs w:val="20"/>
            </w:rPr>
            <w:fldChar w:fldCharType="separate"/>
          </w:r>
          <w:r w:rsidRPr="00CB3009">
            <w:rPr>
              <w:noProof/>
              <w:sz w:val="20"/>
              <w:szCs w:val="20"/>
            </w:rPr>
            <w:t>(Thielscher, 2001)</w:t>
          </w:r>
          <w:r w:rsidRPr="00CB3009">
            <w:rPr>
              <w:sz w:val="20"/>
              <w:szCs w:val="20"/>
            </w:rPr>
            <w:fldChar w:fldCharType="end"/>
          </w:r>
        </w:sdtContent>
      </w:sdt>
      <w:r w:rsidRPr="00CB3009">
        <w:rPr>
          <w:sz w:val="20"/>
          <w:szCs w:val="20"/>
        </w:rPr>
        <w:t>.</w:t>
      </w:r>
      <w:r w:rsidR="0023537D" w:rsidRPr="00CB3009">
        <w:rPr>
          <w:sz w:val="20"/>
          <w:szCs w:val="20"/>
        </w:rPr>
        <w:t xml:space="preserve"> Shanahan refined earlier ideas </w:t>
      </w:r>
      <w:r w:rsidR="00347E40" w:rsidRPr="00CB3009">
        <w:rPr>
          <w:sz w:val="20"/>
          <w:szCs w:val="20"/>
        </w:rPr>
        <w:t>of an event calculus which introduces the notion of linear time and events that happen at a certain point in time</w:t>
      </w:r>
      <w:r w:rsidR="00E11955" w:rsidRPr="00CB3009">
        <w:rPr>
          <w:sz w:val="20"/>
          <w:szCs w:val="20"/>
        </w:rPr>
        <w:t xml:space="preserve"> and adopted it to work well with Circumscription</w:t>
      </w:r>
      <w:r w:rsidR="00A22BC4" w:rsidRPr="00CB3009">
        <w:rPr>
          <w:sz w:val="20"/>
          <w:szCs w:val="20"/>
        </w:rPr>
        <w:t xml:space="preserve"> which was first described by </w:t>
      </w:r>
      <w:sdt>
        <w:sdtPr>
          <w:rPr>
            <w:sz w:val="20"/>
            <w:szCs w:val="20"/>
          </w:rPr>
          <w:id w:val="406888858"/>
          <w:citation/>
        </w:sdtPr>
        <w:sdtContent>
          <w:r w:rsidR="00A22BC4" w:rsidRPr="00CB3009">
            <w:rPr>
              <w:sz w:val="20"/>
              <w:szCs w:val="20"/>
            </w:rPr>
            <w:fldChar w:fldCharType="begin"/>
          </w:r>
          <w:r w:rsidR="00A22BC4" w:rsidRPr="00CB3009">
            <w:rPr>
              <w:sz w:val="20"/>
              <w:szCs w:val="20"/>
            </w:rPr>
            <w:instrText xml:space="preserve"> CITATION McC80 \l 2057 </w:instrText>
          </w:r>
          <w:r w:rsidR="00A22BC4" w:rsidRPr="00CB3009">
            <w:rPr>
              <w:sz w:val="20"/>
              <w:szCs w:val="20"/>
            </w:rPr>
            <w:fldChar w:fldCharType="separate"/>
          </w:r>
          <w:r w:rsidR="00A22BC4" w:rsidRPr="00CB3009">
            <w:rPr>
              <w:noProof/>
              <w:sz w:val="20"/>
              <w:szCs w:val="20"/>
            </w:rPr>
            <w:t>(McCarthy, 1980)</w:t>
          </w:r>
          <w:r w:rsidR="00A22BC4" w:rsidRPr="00CB3009">
            <w:rPr>
              <w:sz w:val="20"/>
              <w:szCs w:val="20"/>
            </w:rPr>
            <w:fldChar w:fldCharType="end"/>
          </w:r>
        </w:sdtContent>
      </w:sdt>
      <w:r w:rsidR="00A22BC4" w:rsidRPr="00CB3009">
        <w:rPr>
          <w:sz w:val="20"/>
          <w:szCs w:val="20"/>
        </w:rPr>
        <w:t>. Specifically, Shanahan introduced the notion of states which describe situations. A state is a set that can contain</w:t>
      </w:r>
      <w:r w:rsidR="006634A8" w:rsidRPr="00CB3009">
        <w:rPr>
          <w:sz w:val="20"/>
          <w:szCs w:val="20"/>
        </w:rPr>
        <w:t>s</w:t>
      </w:r>
      <w:r w:rsidR="00A22BC4" w:rsidRPr="00CB3009">
        <w:rPr>
          <w:sz w:val="20"/>
          <w:szCs w:val="20"/>
        </w:rPr>
        <w:t xml:space="preserve"> positive and negative fluent</w:t>
      </w:r>
      <w:r w:rsidR="006634A8" w:rsidRPr="00CB3009">
        <w:rPr>
          <w:sz w:val="20"/>
          <w:szCs w:val="20"/>
        </w:rPr>
        <w:t>s</w:t>
      </w:r>
      <w:r w:rsidR="00A22BC4" w:rsidRPr="00CB3009">
        <w:rPr>
          <w:sz w:val="20"/>
          <w:szCs w:val="20"/>
        </w:rPr>
        <w:t xml:space="preserve"> on which the “common sense law of inertia” </w:t>
      </w:r>
      <w:r w:rsidR="006634A8" w:rsidRPr="00CB3009">
        <w:rPr>
          <w:sz w:val="20"/>
          <w:szCs w:val="20"/>
        </w:rPr>
        <w:t>would inherently apply</w:t>
      </w:r>
      <w:r w:rsidR="00A22BC4" w:rsidRPr="00CB3009">
        <w:rPr>
          <w:sz w:val="20"/>
          <w:szCs w:val="20"/>
        </w:rPr>
        <w:t>.</w:t>
      </w:r>
      <w:r w:rsidR="00A01A5B" w:rsidRPr="00CB3009">
        <w:rPr>
          <w:sz w:val="20"/>
          <w:szCs w:val="20"/>
        </w:rPr>
        <w:t xml:space="preserve"> This idea made frame axioms obsolete</w:t>
      </w:r>
      <w:r w:rsidR="00D759EA" w:rsidRPr="00CB3009">
        <w:rPr>
          <w:sz w:val="20"/>
          <w:szCs w:val="20"/>
        </w:rPr>
        <w:t>.</w:t>
      </w:r>
    </w:p>
    <w:p w:rsidR="00E43E14" w:rsidRPr="00CB3009" w:rsidRDefault="00D759EA" w:rsidP="00E56E60">
      <w:pPr>
        <w:rPr>
          <w:noProof/>
          <w:sz w:val="20"/>
          <w:szCs w:val="20"/>
        </w:rPr>
      </w:pPr>
      <w:r w:rsidRPr="00CB3009">
        <w:rPr>
          <w:noProof/>
          <w:sz w:val="20"/>
          <w:szCs w:val="20"/>
        </w:rPr>
        <w:t>Thielscher</w:t>
      </w:r>
      <w:r w:rsidRPr="00CB3009">
        <w:rPr>
          <w:noProof/>
          <w:sz w:val="20"/>
          <w:szCs w:val="20"/>
        </w:rPr>
        <w:t xml:space="preserve">’s solution is similar to Shanahan’s as it also uses states </w:t>
      </w:r>
      <w:r w:rsidR="006634A8" w:rsidRPr="00CB3009">
        <w:rPr>
          <w:noProof/>
          <w:sz w:val="20"/>
          <w:szCs w:val="20"/>
        </w:rPr>
        <w:t>that</w:t>
      </w:r>
      <w:r w:rsidRPr="00CB3009">
        <w:rPr>
          <w:noProof/>
          <w:sz w:val="20"/>
          <w:szCs w:val="20"/>
        </w:rPr>
        <w:t xml:space="preserve"> contain a number of fluents which can be changed by positive and negative effects. The use of state update axioms make sure </w:t>
      </w:r>
      <w:r w:rsidR="00827C7C" w:rsidRPr="00CB3009">
        <w:rPr>
          <w:noProof/>
          <w:sz w:val="20"/>
          <w:szCs w:val="20"/>
        </w:rPr>
        <w:t>that one only describe</w:t>
      </w:r>
      <w:r w:rsidR="006634A8" w:rsidRPr="00CB3009">
        <w:rPr>
          <w:noProof/>
          <w:sz w:val="20"/>
          <w:szCs w:val="20"/>
        </w:rPr>
        <w:t>s</w:t>
      </w:r>
      <w:r w:rsidR="00827C7C" w:rsidRPr="00CB3009">
        <w:rPr>
          <w:noProof/>
          <w:sz w:val="20"/>
          <w:szCs w:val="20"/>
        </w:rPr>
        <w:t xml:space="preserve"> changes. This also eliminates the frame axiom problem.</w:t>
      </w:r>
      <w:r w:rsidR="000A3B69" w:rsidRPr="00CB3009">
        <w:rPr>
          <w:noProof/>
          <w:sz w:val="20"/>
          <w:szCs w:val="20"/>
        </w:rPr>
        <w:t xml:space="preserve"> </w:t>
      </w:r>
    </w:p>
    <w:p w:rsidR="00BC5A93" w:rsidRPr="00CB3009" w:rsidRDefault="006634A8" w:rsidP="00E56E60">
      <w:pPr>
        <w:rPr>
          <w:sz w:val="20"/>
          <w:szCs w:val="20"/>
        </w:rPr>
      </w:pPr>
      <w:r w:rsidRPr="00CB3009">
        <w:rPr>
          <w:sz w:val="20"/>
          <w:szCs w:val="20"/>
        </w:rPr>
        <w:t>The</w:t>
      </w:r>
      <w:r w:rsidR="00BC5A93" w:rsidRPr="00CB3009">
        <w:rPr>
          <w:sz w:val="20"/>
          <w:szCs w:val="20"/>
        </w:rPr>
        <w:t xml:space="preserve"> key for overcoming the Frame Problem was to introduce a state that could hold positive and negative fluents without the state being a complete description of </w:t>
      </w:r>
      <w:r w:rsidRPr="00CB3009">
        <w:rPr>
          <w:sz w:val="20"/>
          <w:szCs w:val="20"/>
        </w:rPr>
        <w:t>a given</w:t>
      </w:r>
      <w:r w:rsidR="00BC5A93" w:rsidRPr="00CB3009">
        <w:rPr>
          <w:sz w:val="20"/>
          <w:szCs w:val="20"/>
        </w:rPr>
        <w:t xml:space="preserve"> situation </w:t>
      </w:r>
      <w:sdt>
        <w:sdtPr>
          <w:rPr>
            <w:sz w:val="20"/>
            <w:szCs w:val="20"/>
          </w:rPr>
          <w:id w:val="79340649"/>
          <w:citation/>
        </w:sdtPr>
        <w:sdtContent>
          <w:r w:rsidR="00BC5A93" w:rsidRPr="00CB3009">
            <w:rPr>
              <w:sz w:val="20"/>
              <w:szCs w:val="20"/>
            </w:rPr>
            <w:fldChar w:fldCharType="begin"/>
          </w:r>
          <w:r w:rsidR="00BC5A93" w:rsidRPr="00CB3009">
            <w:rPr>
              <w:sz w:val="20"/>
              <w:szCs w:val="20"/>
            </w:rPr>
            <w:instrText xml:space="preserve"> CITATION Kam04 \l 2057 </w:instrText>
          </w:r>
          <w:r w:rsidR="00BC5A93" w:rsidRPr="00CB3009">
            <w:rPr>
              <w:sz w:val="20"/>
              <w:szCs w:val="20"/>
            </w:rPr>
            <w:fldChar w:fldCharType="separate"/>
          </w:r>
          <w:r w:rsidR="00BC5A93" w:rsidRPr="00CB3009">
            <w:rPr>
              <w:noProof/>
              <w:sz w:val="20"/>
              <w:szCs w:val="20"/>
            </w:rPr>
            <w:t>(Kamermans, et al., 2004)</w:t>
          </w:r>
          <w:r w:rsidR="00BC5A93" w:rsidRPr="00CB3009">
            <w:rPr>
              <w:sz w:val="20"/>
              <w:szCs w:val="20"/>
            </w:rPr>
            <w:fldChar w:fldCharType="end"/>
          </w:r>
        </w:sdtContent>
      </w:sdt>
    </w:p>
    <w:p w:rsidR="000D5130" w:rsidRPr="00CB3009" w:rsidRDefault="00BC5A93" w:rsidP="00E56E60">
      <w:pPr>
        <w:rPr>
          <w:sz w:val="20"/>
          <w:szCs w:val="20"/>
        </w:rPr>
      </w:pPr>
      <w:r w:rsidRPr="00CB3009">
        <w:rPr>
          <w:sz w:val="20"/>
          <w:szCs w:val="20"/>
        </w:rPr>
        <w:t>It’s fascinating that i</w:t>
      </w:r>
      <w:r w:rsidR="0016675B" w:rsidRPr="00CB3009">
        <w:rPr>
          <w:sz w:val="20"/>
          <w:szCs w:val="20"/>
        </w:rPr>
        <w:t xml:space="preserve">t took 30 years to come up with </w:t>
      </w:r>
      <w:r w:rsidRPr="00CB3009">
        <w:rPr>
          <w:sz w:val="20"/>
          <w:szCs w:val="20"/>
        </w:rPr>
        <w:t>the first</w:t>
      </w:r>
      <w:r w:rsidR="0016675B" w:rsidRPr="00CB3009">
        <w:rPr>
          <w:sz w:val="20"/>
          <w:szCs w:val="20"/>
        </w:rPr>
        <w:t xml:space="preserve"> generally accepted solution and the impact of having solved the problem cannot be overestimated.</w:t>
      </w:r>
      <w:r w:rsidR="00AA113C" w:rsidRPr="00CB3009">
        <w:rPr>
          <w:sz w:val="20"/>
          <w:szCs w:val="20"/>
        </w:rPr>
        <w:t xml:space="preserve"> For a long time, it was unclear if</w:t>
      </w:r>
      <w:r w:rsidR="0016675B" w:rsidRPr="00CB3009">
        <w:rPr>
          <w:sz w:val="20"/>
          <w:szCs w:val="20"/>
        </w:rPr>
        <w:t xml:space="preserve"> formal logical</w:t>
      </w:r>
      <w:r w:rsidR="00AA113C" w:rsidRPr="00CB3009">
        <w:rPr>
          <w:sz w:val="20"/>
          <w:szCs w:val="20"/>
        </w:rPr>
        <w:t xml:space="preserve"> </w:t>
      </w:r>
      <w:r w:rsidR="0016675B" w:rsidRPr="00CB3009">
        <w:rPr>
          <w:sz w:val="20"/>
          <w:szCs w:val="20"/>
        </w:rPr>
        <w:t xml:space="preserve">can be </w:t>
      </w:r>
      <w:r w:rsidR="00AA113C" w:rsidRPr="00CB3009">
        <w:rPr>
          <w:sz w:val="20"/>
          <w:szCs w:val="20"/>
        </w:rPr>
        <w:t>used to</w:t>
      </w:r>
      <w:r w:rsidRPr="00CB3009">
        <w:rPr>
          <w:sz w:val="20"/>
          <w:szCs w:val="20"/>
        </w:rPr>
        <w:t xml:space="preserve"> fully</w:t>
      </w:r>
      <w:r w:rsidR="00AA113C" w:rsidRPr="00CB3009">
        <w:rPr>
          <w:sz w:val="20"/>
          <w:szCs w:val="20"/>
        </w:rPr>
        <w:t xml:space="preserve"> describe real world problems and people started to look at alternative approaches </w:t>
      </w:r>
      <w:sdt>
        <w:sdtPr>
          <w:rPr>
            <w:sz w:val="20"/>
            <w:szCs w:val="20"/>
          </w:rPr>
          <w:id w:val="-1760369967"/>
          <w:citation/>
        </w:sdtPr>
        <w:sdtEndPr/>
        <w:sdtContent>
          <w:r w:rsidR="00AA113C" w:rsidRPr="00CB3009">
            <w:rPr>
              <w:sz w:val="20"/>
              <w:szCs w:val="20"/>
            </w:rPr>
            <w:fldChar w:fldCharType="begin"/>
          </w:r>
          <w:r w:rsidR="00AA113C" w:rsidRPr="00CB3009">
            <w:rPr>
              <w:sz w:val="20"/>
              <w:szCs w:val="20"/>
            </w:rPr>
            <w:instrText xml:space="preserve"> CITATION Kam04 \l 2057 </w:instrText>
          </w:r>
          <w:r w:rsidR="00AA113C" w:rsidRPr="00CB3009">
            <w:rPr>
              <w:sz w:val="20"/>
              <w:szCs w:val="20"/>
            </w:rPr>
            <w:fldChar w:fldCharType="separate"/>
          </w:r>
          <w:r w:rsidR="00AA113C" w:rsidRPr="00CB3009">
            <w:rPr>
              <w:sz w:val="20"/>
              <w:szCs w:val="20"/>
            </w:rPr>
            <w:t>(Kamermans, et al., 2004)</w:t>
          </w:r>
          <w:r w:rsidR="00AA113C" w:rsidRPr="00CB3009">
            <w:rPr>
              <w:sz w:val="20"/>
              <w:szCs w:val="20"/>
            </w:rPr>
            <w:fldChar w:fldCharType="end"/>
          </w:r>
        </w:sdtContent>
      </w:sdt>
      <w:r w:rsidR="00AA113C" w:rsidRPr="00CB3009">
        <w:rPr>
          <w:sz w:val="20"/>
          <w:szCs w:val="20"/>
        </w:rPr>
        <w:t xml:space="preserve">. These alternatives sought to solve the problem by not using </w:t>
      </w:r>
      <w:r w:rsidR="006634A8" w:rsidRPr="00CB3009">
        <w:rPr>
          <w:sz w:val="20"/>
          <w:szCs w:val="20"/>
        </w:rPr>
        <w:t xml:space="preserve">formal </w:t>
      </w:r>
      <w:r w:rsidR="00AA113C" w:rsidRPr="00CB3009">
        <w:rPr>
          <w:sz w:val="20"/>
          <w:szCs w:val="20"/>
        </w:rPr>
        <w:t>logic at all. Some thought about using statistics and probability, others thought about not internalising the world at all (physical grounding)</w:t>
      </w:r>
      <w:r w:rsidR="000D5130" w:rsidRPr="00CB3009">
        <w:rPr>
          <w:sz w:val="20"/>
          <w:szCs w:val="20"/>
        </w:rPr>
        <w:t xml:space="preserve"> and some thought about using connectionism (neural networks) as they work without a complete formal description of a given problem domain</w:t>
      </w:r>
      <w:r w:rsidR="008F0D74" w:rsidRPr="00CB3009">
        <w:rPr>
          <w:sz w:val="20"/>
          <w:szCs w:val="20"/>
        </w:rPr>
        <w:t>.</w:t>
      </w:r>
      <w:r w:rsidR="006634A8" w:rsidRPr="00CB3009">
        <w:rPr>
          <w:sz w:val="20"/>
          <w:szCs w:val="20"/>
        </w:rPr>
        <w:t xml:space="preserve"> The solution of the Frame Problem established formal logic </w:t>
      </w:r>
      <w:r w:rsidR="00CB3009" w:rsidRPr="00CB3009">
        <w:rPr>
          <w:sz w:val="20"/>
          <w:szCs w:val="20"/>
        </w:rPr>
        <w:t>as a valuable tool in the field of AI.</w:t>
      </w:r>
    </w:p>
    <w:p w:rsidR="000D5130" w:rsidRDefault="000D5130" w:rsidP="00E56E60"/>
    <w:p w:rsidR="001131E9" w:rsidRPr="001131E9" w:rsidRDefault="001131E9" w:rsidP="001131E9"/>
    <w:sectPr w:rsidR="001131E9" w:rsidRPr="001131E9" w:rsidSect="003D7D1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913" w:rsidRDefault="000A6913" w:rsidP="008E6A55">
      <w:pPr>
        <w:spacing w:after="0" w:line="240" w:lineRule="auto"/>
      </w:pPr>
      <w:r>
        <w:separator/>
      </w:r>
    </w:p>
  </w:endnote>
  <w:endnote w:type="continuationSeparator" w:id="0">
    <w:p w:rsidR="000A6913" w:rsidRDefault="000A6913" w:rsidP="008E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E6A55" w:rsidTr="008E6A55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E6A55" w:rsidRDefault="008E6A55" w:rsidP="008E6A55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E6A55" w:rsidRDefault="008E6A55" w:rsidP="008E6A55">
          <w:pPr>
            <w:pStyle w:val="Footer"/>
          </w:pPr>
          <w:r>
            <w:t>Tel: +44 (0) 7872 463615</w:t>
          </w:r>
        </w:p>
        <w:p w:rsidR="008E6A55" w:rsidRDefault="008E6A55" w:rsidP="008E6A55">
          <w:pPr>
            <w:pStyle w:val="Footer"/>
          </w:pPr>
          <w:r>
            <w:t>Mail: jjenni@gmx.ch</w:t>
          </w:r>
        </w:p>
      </w:tc>
    </w:tr>
  </w:tbl>
  <w:p w:rsidR="008E6A55" w:rsidRPr="008E6A55" w:rsidRDefault="008E6A55" w:rsidP="008E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913" w:rsidRDefault="000A6913" w:rsidP="008E6A55">
      <w:pPr>
        <w:spacing w:after="0" w:line="240" w:lineRule="auto"/>
      </w:pPr>
      <w:r>
        <w:separator/>
      </w:r>
    </w:p>
  </w:footnote>
  <w:footnote w:type="continuationSeparator" w:id="0">
    <w:p w:rsidR="000A6913" w:rsidRDefault="000A6913" w:rsidP="008E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63B7"/>
    <w:multiLevelType w:val="hybridMultilevel"/>
    <w:tmpl w:val="7520C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2"/>
    <w:rsid w:val="000176BA"/>
    <w:rsid w:val="00076DB8"/>
    <w:rsid w:val="00080EB0"/>
    <w:rsid w:val="000856E0"/>
    <w:rsid w:val="000A3B69"/>
    <w:rsid w:val="000A6913"/>
    <w:rsid w:val="000D5130"/>
    <w:rsid w:val="000D517A"/>
    <w:rsid w:val="000F1217"/>
    <w:rsid w:val="00107425"/>
    <w:rsid w:val="001131E9"/>
    <w:rsid w:val="0012175F"/>
    <w:rsid w:val="001262D8"/>
    <w:rsid w:val="0016675B"/>
    <w:rsid w:val="001B5FB2"/>
    <w:rsid w:val="001E1690"/>
    <w:rsid w:val="001F1793"/>
    <w:rsid w:val="001F5F71"/>
    <w:rsid w:val="0023537D"/>
    <w:rsid w:val="00240400"/>
    <w:rsid w:val="0024473A"/>
    <w:rsid w:val="00255EB8"/>
    <w:rsid w:val="00295220"/>
    <w:rsid w:val="002C0265"/>
    <w:rsid w:val="002D4B48"/>
    <w:rsid w:val="002D5048"/>
    <w:rsid w:val="00347E40"/>
    <w:rsid w:val="003D7D1A"/>
    <w:rsid w:val="00443DEE"/>
    <w:rsid w:val="00453FF8"/>
    <w:rsid w:val="00475110"/>
    <w:rsid w:val="00482919"/>
    <w:rsid w:val="00484555"/>
    <w:rsid w:val="004A5EF6"/>
    <w:rsid w:val="004B45CF"/>
    <w:rsid w:val="004D6ED7"/>
    <w:rsid w:val="004D7170"/>
    <w:rsid w:val="004F07EC"/>
    <w:rsid w:val="00525901"/>
    <w:rsid w:val="00533AA4"/>
    <w:rsid w:val="00547D54"/>
    <w:rsid w:val="00572A55"/>
    <w:rsid w:val="00580BB6"/>
    <w:rsid w:val="005A19FF"/>
    <w:rsid w:val="005A7CF6"/>
    <w:rsid w:val="005B10F2"/>
    <w:rsid w:val="006066E1"/>
    <w:rsid w:val="0062239B"/>
    <w:rsid w:val="006634A8"/>
    <w:rsid w:val="00663C19"/>
    <w:rsid w:val="006939B1"/>
    <w:rsid w:val="006B0868"/>
    <w:rsid w:val="006B1459"/>
    <w:rsid w:val="006C427D"/>
    <w:rsid w:val="006C4F66"/>
    <w:rsid w:val="00701382"/>
    <w:rsid w:val="00754F71"/>
    <w:rsid w:val="00772602"/>
    <w:rsid w:val="007C7874"/>
    <w:rsid w:val="007F232A"/>
    <w:rsid w:val="00827C7C"/>
    <w:rsid w:val="008403E9"/>
    <w:rsid w:val="00844A91"/>
    <w:rsid w:val="008B3EA6"/>
    <w:rsid w:val="008E0860"/>
    <w:rsid w:val="008E6A55"/>
    <w:rsid w:val="008F0D74"/>
    <w:rsid w:val="009070DC"/>
    <w:rsid w:val="00942AF2"/>
    <w:rsid w:val="00974F05"/>
    <w:rsid w:val="009A7955"/>
    <w:rsid w:val="009F07CD"/>
    <w:rsid w:val="00A01A5B"/>
    <w:rsid w:val="00A22BC4"/>
    <w:rsid w:val="00AA113C"/>
    <w:rsid w:val="00AB6875"/>
    <w:rsid w:val="00B21CA6"/>
    <w:rsid w:val="00B31ADE"/>
    <w:rsid w:val="00B5035B"/>
    <w:rsid w:val="00B8351B"/>
    <w:rsid w:val="00B83C95"/>
    <w:rsid w:val="00BB04C5"/>
    <w:rsid w:val="00BB4650"/>
    <w:rsid w:val="00BC5A93"/>
    <w:rsid w:val="00C005A3"/>
    <w:rsid w:val="00C16E93"/>
    <w:rsid w:val="00CA1C3A"/>
    <w:rsid w:val="00CB3009"/>
    <w:rsid w:val="00CF3F0B"/>
    <w:rsid w:val="00D23BAA"/>
    <w:rsid w:val="00D353DD"/>
    <w:rsid w:val="00D60C11"/>
    <w:rsid w:val="00D670D2"/>
    <w:rsid w:val="00D759EA"/>
    <w:rsid w:val="00DC5465"/>
    <w:rsid w:val="00DE6CDF"/>
    <w:rsid w:val="00E11955"/>
    <w:rsid w:val="00E43E14"/>
    <w:rsid w:val="00E56E60"/>
    <w:rsid w:val="00E76ABC"/>
    <w:rsid w:val="00E771E1"/>
    <w:rsid w:val="00EC13A0"/>
    <w:rsid w:val="00EE5F70"/>
    <w:rsid w:val="00EF4537"/>
    <w:rsid w:val="00EF53FC"/>
    <w:rsid w:val="00F10A12"/>
    <w:rsid w:val="00F42E27"/>
    <w:rsid w:val="00F77E85"/>
    <w:rsid w:val="00F967C1"/>
    <w:rsid w:val="00FB25B2"/>
    <w:rsid w:val="00FC73D6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8C36DB"/>
  <w15:chartTrackingRefBased/>
  <w15:docId w15:val="{0E610969-D418-4C73-9CD4-08730F33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25B2"/>
    <w:rPr>
      <w:color w:val="0000FF"/>
      <w:u w:val="single"/>
    </w:rPr>
  </w:style>
  <w:style w:type="character" w:customStyle="1" w:styleId="text">
    <w:name w:val="text"/>
    <w:basedOn w:val="DefaultParagraphFont"/>
    <w:rsid w:val="00FB25B2"/>
  </w:style>
  <w:style w:type="character" w:customStyle="1" w:styleId="Heading3Char">
    <w:name w:val="Heading 3 Char"/>
    <w:basedOn w:val="DefaultParagraphFont"/>
    <w:link w:val="Heading3"/>
    <w:uiPriority w:val="9"/>
    <w:rsid w:val="0066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55"/>
  </w:style>
  <w:style w:type="paragraph" w:styleId="Footer">
    <w:name w:val="footer"/>
    <w:basedOn w:val="Normal"/>
    <w:link w:val="Foot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55"/>
  </w:style>
  <w:style w:type="table" w:styleId="TableGrid">
    <w:name w:val="Table Grid"/>
    <w:basedOn w:val="TableNormal"/>
    <w:uiPriority w:val="39"/>
    <w:rsid w:val="008E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2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B68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8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68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C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etters\vorlage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McC69</b:Tag>
    <b:SourceType>Report</b:SourceType>
    <b:Guid>{7D0FCAA8-02DC-4595-B5EB-0BE2358A0CC9}</b:Guid>
    <b:Title>Some Philosophical Problems from the Standpoint of Artificial Intelligence</b:Title>
    <b:Year>1969</b:Year>
    <b:Author>
      <b:Author>
        <b:NameList>
          <b:Person>
            <b:Last>McCarthy</b:Last>
          </b:Person>
          <b:Person>
            <b:Last>Hayes</b:Last>
          </b:Person>
        </b:NameList>
      </b:Author>
    </b:Author>
    <b:RefOrder>1</b:RefOrder>
  </b:Source>
  <b:Source>
    <b:Tag>McC62</b:Tag>
    <b:SourceType>Report</b:SourceType>
    <b:Guid>{E360FB6C-7C05-4F49-AEA9-C377FD013721}</b:Guid>
    <b:Author>
      <b:Author>
        <b:NameList>
          <b:Person>
            <b:Last>McCarthy</b:Last>
          </b:Person>
        </b:NameList>
      </b:Author>
    </b:Author>
    <b:Year>1962</b:Year>
    <b:RefOrder>9</b:RefOrder>
  </b:Source>
  <b:Source>
    <b:Tag>Ped89</b:Tag>
    <b:SourceType>Report</b:SourceType>
    <b:Guid>{3FF017A1-2D72-4DD2-B328-EFF1E1634289}</b:Guid>
    <b:Author>
      <b:Author>
        <b:NameList>
          <b:Person>
            <b:Last>Pednault</b:Last>
          </b:Person>
        </b:NameList>
      </b:Author>
    </b:Author>
    <b:Title>ADL: Exploring the Middle Ground between STRIPS and the Situation Calculus.</b:Title>
    <b:Year>1989</b:Year>
    <b:RefOrder>2</b:RefOrder>
  </b:Source>
  <b:Source>
    <b:Tag>Sch90</b:Tag>
    <b:SourceType>Report</b:SourceType>
    <b:Guid>{77F6A900-2788-4B86-9D49-0B4442F14681}</b:Guid>
    <b:Author>
      <b:Author>
        <b:NameList>
          <b:Person>
            <b:Last>Schubert</b:Last>
          </b:Person>
        </b:NameList>
      </b:Author>
    </b:Author>
    <b:Year>1990</b:Year>
    <b:RefOrder>4</b:RefOrder>
  </b:Source>
  <b:Source>
    <b:Tag>Rei91</b:Tag>
    <b:SourceType>Report</b:SourceType>
    <b:Guid>{39BAF28F-B2A0-4CA2-AC2C-723B56C5F9C6}</b:Guid>
    <b:Author>
      <b:Author>
        <b:NameList>
          <b:Person>
            <b:Last>Reiter</b:Last>
          </b:Person>
        </b:NameList>
      </b:Author>
    </b:Author>
    <b:Title>The Frame Problem in the Situation Calculus: A Simple Solution (Sometimes) and a Completeness Result for Goal Regression</b:Title>
    <b:Year>1991</b:Year>
    <b:RefOrder>3</b:RefOrder>
  </b:Source>
  <b:Source>
    <b:Tag>Kam04</b:Tag>
    <b:SourceType>Report</b:SourceType>
    <b:Guid>{50672AD4-073F-4C66-8D8D-FDE6F7913656}</b:Guid>
    <b:Title>The History of the Frame Problem</b:Title>
    <b:Year>2004</b:Year>
    <b:Author>
      <b:Author>
        <b:NameList>
          <b:Person>
            <b:Last>Kamermans</b:Last>
          </b:Person>
          <b:Person>
            <b:Last>Schmits</b:Last>
          </b:Person>
        </b:NameList>
      </b:Author>
    </b:Author>
    <b:RefOrder>5</b:RefOrder>
  </b:Source>
  <b:Source>
    <b:Tag>Thi01</b:Tag>
    <b:SourceType>Report</b:SourceType>
    <b:Guid>{66831F28-7314-4434-9FF3-D5C866FF226D}</b:Guid>
    <b:Author>
      <b:Author>
        <b:NameList>
          <b:Person>
            <b:Last>Thielscher</b:Last>
          </b:Person>
        </b:NameList>
      </b:Author>
    </b:Author>
    <b:Title>The Fluent Calculus</b:Title>
    <b:Year>2001</b:Year>
    <b:RefOrder>7</b:RefOrder>
  </b:Source>
  <b:Source>
    <b:Tag>Sha97</b:Tag>
    <b:SourceType>Report</b:SourceType>
    <b:Guid>{F541606A-D005-4217-916B-C9A6E6A0A038}</b:Guid>
    <b:Author>
      <b:Author>
        <b:NameList>
          <b:Person>
            <b:Last>Shanahan</b:Last>
          </b:Person>
        </b:NameList>
      </b:Author>
    </b:Author>
    <b:Title>Solving the Frame Problem: A Mathematical Investigation of the Common Sense Law of Inertia</b:Title>
    <b:Year>1997</b:Year>
    <b:RefOrder>6</b:RefOrder>
  </b:Source>
  <b:Source>
    <b:Tag>McC80</b:Tag>
    <b:SourceType>Report</b:SourceType>
    <b:Guid>{62468B15-6895-4AE2-8374-540DB756B9DD}</b:Guid>
    <b:Author>
      <b:Author>
        <b:NameList>
          <b:Person>
            <b:Last>McCarthy</b:Last>
          </b:Person>
        </b:NameList>
      </b:Author>
    </b:Author>
    <b:Title>Circumscription – a form of non-monotonic reasoning</b:Title>
    <b:Year>1980</b:Year>
    <b:RefOrder>8</b:RefOrder>
  </b:Source>
</b:Sources>
</file>

<file path=customXml/itemProps1.xml><?xml version="1.0" encoding="utf-8"?>
<ds:datastoreItem xmlns:ds="http://schemas.openxmlformats.org/officeDocument/2006/customXml" ds:itemID="{697C144A-D5CE-438B-90DA-5AD72AEF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2175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22</cp:revision>
  <cp:lastPrinted>2017-12-14T19:47:00Z</cp:lastPrinted>
  <dcterms:created xsi:type="dcterms:W3CDTF">2017-12-13T16:44:00Z</dcterms:created>
  <dcterms:modified xsi:type="dcterms:W3CDTF">2017-12-17T12:51:00Z</dcterms:modified>
</cp:coreProperties>
</file>