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F0E" w:rsidRDefault="00696F0E" w:rsidP="00696F0E">
      <w:pPr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 </w:t>
      </w:r>
      <w:proofErr w:type="spellStart"/>
      <w:r w:rsidRPr="00696F0E">
        <w:rPr>
          <w:rFonts w:ascii="Times" w:eastAsia="Times New Roman" w:hAnsi="Times" w:cs="Arial"/>
          <w:b/>
          <w:bCs/>
          <w:color w:val="0000FF"/>
          <w:bdr w:val="none" w:sz="0" w:space="0" w:color="auto" w:frame="1"/>
          <w:lang w:eastAsia="ru-RU"/>
        </w:rPr>
        <w:t>DataGridView</w:t>
      </w:r>
      <w:proofErr w:type="spellEnd"/>
    </w:p>
    <w:p w:rsidR="00696F0E" w:rsidRPr="00696F0E" w:rsidRDefault="00696F0E" w:rsidP="00696F0E">
      <w:pPr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</w:p>
    <w:p w:rsidR="00696F0E" w:rsidRPr="00696F0E" w:rsidRDefault="00696F0E" w:rsidP="00696F0E">
      <w:pPr>
        <w:textAlignment w:val="baseline"/>
        <w:rPr>
          <w:rFonts w:ascii="Times" w:eastAsia="Times New Roman" w:hAnsi="Times" w:cs="Arial"/>
          <w:color w:val="2B2B2B"/>
          <w:lang w:eastAsia="ru-RU"/>
        </w:rPr>
      </w:pPr>
      <w:r w:rsidRPr="00696F0E">
        <w:rPr>
          <w:rFonts w:ascii="Times" w:eastAsia="Times New Roman" w:hAnsi="Times" w:cs="Arial"/>
          <w:color w:val="2B2B2B"/>
          <w:lang w:eastAsia="ru-RU"/>
        </w:rPr>
        <w:t>В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 данные могут быть получены из базы данных, коллекции, внутренних структур данных (массивов, структур и т.д.).</w:t>
      </w:r>
    </w:p>
    <w:p w:rsidR="00696F0E" w:rsidRDefault="00696F0E" w:rsidP="00696F0E">
      <w:pPr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</w:p>
    <w:p w:rsidR="00696F0E" w:rsidRPr="00696F0E" w:rsidRDefault="00696F0E" w:rsidP="00696F0E">
      <w:pPr>
        <w:textAlignment w:val="baseline"/>
        <w:rPr>
          <w:rFonts w:ascii="Times" w:eastAsia="Times New Roman" w:hAnsi="Times" w:cs="Arial"/>
          <w:color w:val="2B2B2B"/>
          <w:lang w:eastAsia="ru-RU"/>
        </w:rPr>
      </w:pPr>
      <w:r w:rsidRPr="00696F0E">
        <w:rPr>
          <w:rFonts w:ascii="Times" w:eastAsia="Times New Roman" w:hAnsi="Times" w:cs="Arial"/>
          <w:color w:val="2B2B2B"/>
          <w:lang w:eastAsia="ru-RU"/>
        </w:rPr>
        <w:t>Для задания размеров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 используются свойства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Width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 и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Height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>dataGridView1.Width = 350;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>dataGridView1.Height = 200;</w:t>
      </w:r>
    </w:p>
    <w:p w:rsidR="00696F0E" w:rsidRDefault="00696F0E" w:rsidP="00696F0E">
      <w:pPr>
        <w:textAlignment w:val="baseline"/>
        <w:rPr>
          <w:rFonts w:ascii="Times" w:eastAsia="Times New Roman" w:hAnsi="Times" w:cs="Arial"/>
          <w:b/>
          <w:bCs/>
          <w:color w:val="2B2B2B"/>
          <w:bdr w:val="none" w:sz="0" w:space="0" w:color="auto" w:frame="1"/>
          <w:lang w:eastAsia="ru-RU"/>
        </w:rPr>
      </w:pPr>
    </w:p>
    <w:p w:rsidR="00696F0E" w:rsidRPr="00696F0E" w:rsidRDefault="00696F0E" w:rsidP="00696F0E">
      <w:pPr>
        <w:textAlignment w:val="baseline"/>
        <w:rPr>
          <w:rFonts w:ascii="Times" w:eastAsia="Times New Roman" w:hAnsi="Times" w:cs="Arial"/>
          <w:color w:val="2B2B2B"/>
          <w:lang w:eastAsia="ru-RU"/>
        </w:rPr>
      </w:pPr>
      <w:r w:rsidRPr="00696F0E">
        <w:rPr>
          <w:rFonts w:ascii="Times" w:eastAsia="Times New Roman" w:hAnsi="Times" w:cs="Arial"/>
          <w:color w:val="2B2B2B"/>
          <w:lang w:eastAsia="ru-RU"/>
        </w:rPr>
        <w:t>Виды данных, которые могут быть представлены в ячейках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: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dataGridViewButtonColumn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 Ячейки представлены в виде кнопок типа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Button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;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dataGridViewCheckBoxColumn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 Ячейки представлены элементами управления типа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CheckBox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, которые позволяют выбирать несколько вариантов (опций) из набора предложенных;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dataGridViewComboBoxColumn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 Ячейки представлены элементами управления типа </w:t>
      </w: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ComboBox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, предназначенных для выбора одного из нескольких вариантов;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dataGridViewImageColumn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 xml:space="preserve">. Ячейки таблицы есть изображениями типа </w:t>
      </w:r>
      <w:proofErr w:type="spellStart"/>
      <w:r w:rsidRPr="00696F0E">
        <w:rPr>
          <w:rFonts w:ascii="Times" w:eastAsia="Times New Roman" w:hAnsi="Times" w:cs="Arial"/>
          <w:color w:val="2B2B2B"/>
          <w:lang w:eastAsia="ru-RU"/>
        </w:rPr>
        <w:t>Image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;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dataGridViewLinkColumn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 Ячейки таблицы представлены ссылками;</w:t>
      </w:r>
    </w:p>
    <w:p w:rsidR="00696F0E" w:rsidRPr="00696F0E" w:rsidRDefault="00696F0E" w:rsidP="00696F0E">
      <w:pPr>
        <w:numPr>
          <w:ilvl w:val="0"/>
          <w:numId w:val="1"/>
        </w:numPr>
        <w:ind w:left="300"/>
        <w:textAlignment w:val="baseline"/>
        <w:rPr>
          <w:rFonts w:ascii="Times" w:eastAsia="Times New Roman" w:hAnsi="Times" w:cs="Arial"/>
          <w:color w:val="2B2B2B"/>
          <w:lang w:eastAsia="ru-RU"/>
        </w:rPr>
      </w:pPr>
      <w:proofErr w:type="spellStart"/>
      <w:r w:rsidRPr="00696F0E">
        <w:rPr>
          <w:rFonts w:ascii="Times" w:eastAsia="Times New Roman" w:hAnsi="Times" w:cs="Arial"/>
          <w:color w:val="0000FF"/>
          <w:bdr w:val="none" w:sz="0" w:space="0" w:color="auto" w:frame="1"/>
          <w:lang w:eastAsia="ru-RU"/>
        </w:rPr>
        <w:t>dataGridViewTextBoxColumn</w:t>
      </w:r>
      <w:proofErr w:type="spellEnd"/>
      <w:r w:rsidRPr="00696F0E">
        <w:rPr>
          <w:rFonts w:ascii="Times" w:eastAsia="Times New Roman" w:hAnsi="Times" w:cs="Arial"/>
          <w:color w:val="2B2B2B"/>
          <w:lang w:eastAsia="ru-RU"/>
        </w:rPr>
        <w:t>. Этот вариант предлагается по умолчанию при добавлении (создании) нового столбца. В этом случае ячейки таблицы представлены в виде полей ввода. Это позволяет вводить данные в таблицу как в матрицу.</w:t>
      </w:r>
    </w:p>
    <w:p w:rsidR="00E85D29" w:rsidRDefault="00E85D29" w:rsidP="00696F0E">
      <w:pPr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</w:p>
    <w:p w:rsidR="00696F0E" w:rsidRPr="00696F0E" w:rsidRDefault="00696F0E" w:rsidP="00696F0E">
      <w:pPr>
        <w:spacing w:before="540" w:after="180"/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Определение количества столбцов</w:t>
      </w:r>
    </w:p>
    <w:p w:rsidR="00696F0E" w:rsidRPr="007253F7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>n</w:t>
      </w:r>
      <w:r w:rsidRPr="007253F7">
        <w:rPr>
          <w:rFonts w:ascii="Times" w:eastAsia="Times New Roman" w:hAnsi="Times" w:cs="Courier New"/>
          <w:color w:val="2B2B2B"/>
          <w:lang w:eastAsia="ru-RU"/>
        </w:rPr>
        <w:t xml:space="preserve"> = </w:t>
      </w:r>
      <w:proofErr w:type="spellStart"/>
      <w:proofErr w:type="gramStart"/>
      <w:r w:rsidRPr="00696F0E">
        <w:rPr>
          <w:rFonts w:ascii="Times" w:eastAsia="Times New Roman" w:hAnsi="Times" w:cs="Courier New"/>
          <w:color w:val="2B2B2B"/>
          <w:lang w:val="en-US" w:eastAsia="ru-RU"/>
        </w:rPr>
        <w:t>dataGridView</w:t>
      </w:r>
      <w:proofErr w:type="spellEnd"/>
      <w:r w:rsidRPr="007253F7">
        <w:rPr>
          <w:rFonts w:ascii="Times" w:eastAsia="Times New Roman" w:hAnsi="Times" w:cs="Courier New"/>
          <w:color w:val="2B2B2B"/>
          <w:lang w:eastAsia="ru-RU"/>
        </w:rPr>
        <w:t>1.</w:t>
      </w:r>
      <w:r w:rsidRPr="00696F0E">
        <w:rPr>
          <w:rFonts w:ascii="Times" w:eastAsia="Times New Roman" w:hAnsi="Times" w:cs="Courier New"/>
          <w:color w:val="2B2B2B"/>
          <w:lang w:val="en-US" w:eastAsia="ru-RU"/>
        </w:rPr>
        <w:t>Columns</w:t>
      </w:r>
      <w:r w:rsidRPr="007253F7">
        <w:rPr>
          <w:rFonts w:ascii="Times" w:eastAsia="Times New Roman" w:hAnsi="Times" w:cs="Courier New"/>
          <w:color w:val="2B2B2B"/>
          <w:lang w:eastAsia="ru-RU"/>
        </w:rPr>
        <w:t>.</w:t>
      </w:r>
      <w:r w:rsidRPr="00696F0E">
        <w:rPr>
          <w:rFonts w:ascii="Times" w:eastAsia="Times New Roman" w:hAnsi="Times" w:cs="Courier New"/>
          <w:color w:val="2B2B2B"/>
          <w:lang w:val="en-US" w:eastAsia="ru-RU"/>
        </w:rPr>
        <w:t>Count</w:t>
      </w:r>
      <w:proofErr w:type="gramEnd"/>
      <w:r w:rsidRPr="007253F7">
        <w:rPr>
          <w:rFonts w:ascii="Times" w:eastAsia="Times New Roman" w:hAnsi="Times" w:cs="Courier New"/>
          <w:color w:val="2B2B2B"/>
          <w:lang w:eastAsia="ru-RU"/>
        </w:rPr>
        <w:t>;</w:t>
      </w:r>
    </w:p>
    <w:p w:rsidR="00696F0E" w:rsidRPr="007253F7" w:rsidRDefault="00696F0E" w:rsidP="007253F7">
      <w:pPr>
        <w:spacing w:before="540" w:after="180"/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Определение количества строк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 xml:space="preserve">n = </w:t>
      </w:r>
      <w:proofErr w:type="gramStart"/>
      <w:r w:rsidRPr="00696F0E">
        <w:rPr>
          <w:rFonts w:ascii="Times" w:eastAsia="Times New Roman" w:hAnsi="Times" w:cs="Courier New"/>
          <w:color w:val="2B2B2B"/>
          <w:lang w:val="en-US" w:eastAsia="ru-RU"/>
        </w:rPr>
        <w:t>dataGridView1.Rows.Count</w:t>
      </w:r>
      <w:proofErr w:type="gramEnd"/>
      <w:r w:rsidRPr="00696F0E">
        <w:rPr>
          <w:rFonts w:ascii="Times" w:eastAsia="Times New Roman" w:hAnsi="Times" w:cs="Courier New"/>
          <w:color w:val="2B2B2B"/>
          <w:lang w:val="en-US" w:eastAsia="ru-RU"/>
        </w:rPr>
        <w:t>;</w:t>
      </w:r>
    </w:p>
    <w:p w:rsidR="00696F0E" w:rsidRPr="00696F0E" w:rsidRDefault="00696F0E" w:rsidP="00696F0E">
      <w:pPr>
        <w:spacing w:before="540" w:after="180"/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Определение ширины заданного столбца в пикселах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 xml:space="preserve">    w = dataGridView1.Columns[0</w:t>
      </w:r>
      <w:proofErr w:type="gramStart"/>
      <w:r w:rsidRPr="00696F0E">
        <w:rPr>
          <w:rFonts w:ascii="Times" w:eastAsia="Times New Roman" w:hAnsi="Times" w:cs="Courier New"/>
          <w:color w:val="2B2B2B"/>
          <w:lang w:val="en-US" w:eastAsia="ru-RU"/>
        </w:rPr>
        <w:t>].Width</w:t>
      </w:r>
      <w:proofErr w:type="gramEnd"/>
      <w:r w:rsidRPr="00696F0E">
        <w:rPr>
          <w:rFonts w:ascii="Times" w:eastAsia="Times New Roman" w:hAnsi="Times" w:cs="Courier New"/>
          <w:color w:val="2B2B2B"/>
          <w:lang w:val="en-US" w:eastAsia="ru-RU"/>
        </w:rPr>
        <w:t>;</w:t>
      </w:r>
    </w:p>
    <w:p w:rsidR="007253F7" w:rsidRDefault="007253F7" w:rsidP="007253F7">
      <w:pPr>
        <w:textAlignment w:val="baseline"/>
        <w:outlineLvl w:val="2"/>
        <w:rPr>
          <w:rFonts w:ascii="Times" w:eastAsia="Times New Roman" w:hAnsi="Times" w:cs="Courier New"/>
          <w:color w:val="2B2B2B"/>
          <w:lang w:eastAsia="ru-RU"/>
        </w:rPr>
      </w:pPr>
    </w:p>
    <w:p w:rsidR="00696F0E" w:rsidRPr="00696F0E" w:rsidRDefault="00696F0E" w:rsidP="007253F7">
      <w:pPr>
        <w:textAlignment w:val="baseline"/>
        <w:outlineLvl w:val="2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   Определение высоты заданной строки в пикселах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2B2B2B"/>
          <w:lang w:val="en-US" w:eastAsia="ru-RU"/>
        </w:rPr>
        <w:t xml:space="preserve">    h = dataGridView1.Rows[0</w:t>
      </w:r>
      <w:proofErr w:type="gramStart"/>
      <w:r w:rsidRPr="00696F0E">
        <w:rPr>
          <w:rFonts w:ascii="Times" w:eastAsia="Times New Roman" w:hAnsi="Times" w:cs="Courier New"/>
          <w:color w:val="2B2B2B"/>
          <w:lang w:val="en-US" w:eastAsia="ru-RU"/>
        </w:rPr>
        <w:t>].Height</w:t>
      </w:r>
      <w:proofErr w:type="gramEnd"/>
      <w:r w:rsidRPr="00696F0E">
        <w:rPr>
          <w:rFonts w:ascii="Times" w:eastAsia="Times New Roman" w:hAnsi="Times" w:cs="Courier New"/>
          <w:color w:val="2B2B2B"/>
          <w:lang w:val="en-US" w:eastAsia="ru-RU"/>
        </w:rPr>
        <w:t>;</w:t>
      </w:r>
    </w:p>
    <w:p w:rsidR="007253F7" w:rsidRDefault="007253F7" w:rsidP="00696F0E">
      <w:pPr>
        <w:textAlignment w:val="baseline"/>
        <w:outlineLvl w:val="4"/>
        <w:rPr>
          <w:rFonts w:ascii="Times" w:eastAsia="Times New Roman" w:hAnsi="Times" w:cs="Courier New"/>
          <w:color w:val="2B2B2B"/>
          <w:lang w:val="en-US" w:eastAsia="ru-RU"/>
        </w:rPr>
      </w:pPr>
    </w:p>
    <w:p w:rsidR="00696F0E" w:rsidRPr="00696F0E" w:rsidRDefault="00696F0E" w:rsidP="00696F0E">
      <w:pPr>
        <w:textAlignment w:val="baseline"/>
        <w:outlineLvl w:val="4"/>
        <w:rPr>
          <w:rFonts w:ascii="Times" w:eastAsia="Times New Roman" w:hAnsi="Times" w:cs="Arial"/>
          <w:b/>
          <w:bCs/>
          <w:color w:val="2B2B2B"/>
          <w:lang w:eastAsia="ru-RU"/>
        </w:rPr>
      </w:pPr>
      <w:r w:rsidRPr="00696F0E">
        <w:rPr>
          <w:rFonts w:ascii="Times" w:eastAsia="Times New Roman" w:hAnsi="Times" w:cs="Arial"/>
          <w:b/>
          <w:bCs/>
          <w:color w:val="2B2B2B"/>
          <w:lang w:eastAsia="ru-RU"/>
        </w:rPr>
        <w:t>Определение номера выделенной строки. Свойство </w:t>
      </w:r>
      <w:proofErr w:type="spellStart"/>
      <w:r w:rsidRPr="00696F0E">
        <w:rPr>
          <w:rFonts w:ascii="Times" w:eastAsia="Times New Roman" w:hAnsi="Times" w:cs="Arial"/>
          <w:b/>
          <w:bCs/>
          <w:color w:val="0000FF"/>
          <w:bdr w:val="none" w:sz="0" w:space="0" w:color="auto" w:frame="1"/>
          <w:lang w:eastAsia="ru-RU"/>
        </w:rPr>
        <w:t>CurrentRow</w:t>
      </w:r>
      <w:proofErr w:type="spellEnd"/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  <w:r w:rsidRPr="00696F0E">
        <w:rPr>
          <w:rFonts w:ascii="Times" w:eastAsia="Times New Roman" w:hAnsi="Times" w:cs="Courier New"/>
          <w:color w:val="0000FF"/>
          <w:bdr w:val="none" w:sz="0" w:space="0" w:color="auto" w:frame="1"/>
          <w:lang w:val="en-US" w:eastAsia="ru-RU"/>
        </w:rPr>
        <w:t>int</w:t>
      </w:r>
      <w:r w:rsidRPr="00696F0E">
        <w:rPr>
          <w:rFonts w:ascii="Times" w:eastAsia="Times New Roman" w:hAnsi="Times" w:cs="Courier New"/>
          <w:color w:val="2B2B2B"/>
          <w:lang w:val="en-US" w:eastAsia="ru-RU"/>
        </w:rPr>
        <w:t xml:space="preserve"> index = </w:t>
      </w:r>
      <w:proofErr w:type="gramStart"/>
      <w:r w:rsidRPr="00696F0E">
        <w:rPr>
          <w:rFonts w:ascii="Times" w:eastAsia="Times New Roman" w:hAnsi="Times" w:cs="Courier New"/>
          <w:color w:val="2B2B2B"/>
          <w:lang w:val="en-US" w:eastAsia="ru-RU"/>
        </w:rPr>
        <w:t>dataGridView1.CurrentRow.Index</w:t>
      </w:r>
      <w:proofErr w:type="gramEnd"/>
      <w:r w:rsidRPr="00696F0E">
        <w:rPr>
          <w:rFonts w:ascii="Times" w:eastAsia="Times New Roman" w:hAnsi="Times" w:cs="Courier New"/>
          <w:color w:val="2B2B2B"/>
          <w:lang w:val="en-US" w:eastAsia="ru-RU"/>
        </w:rPr>
        <w:t>;</w:t>
      </w:r>
    </w:p>
    <w:p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" w:eastAsia="Times New Roman" w:hAnsi="Times" w:cs="Courier New"/>
          <w:color w:val="2B2B2B"/>
          <w:lang w:val="en-US" w:eastAsia="ru-RU"/>
        </w:rPr>
      </w:pPr>
    </w:p>
    <w:p w:rsidR="00696F0E" w:rsidRPr="00696F0E" w:rsidRDefault="00696F0E">
      <w:pPr>
        <w:rPr>
          <w:rFonts w:ascii="Times" w:hAnsi="Times"/>
          <w:lang w:val="en-US"/>
        </w:rPr>
      </w:pPr>
    </w:p>
    <w:sectPr w:rsidR="00696F0E" w:rsidRPr="00696F0E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1248"/>
    <w:multiLevelType w:val="multilevel"/>
    <w:tmpl w:val="F7D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A2AD6"/>
    <w:multiLevelType w:val="multilevel"/>
    <w:tmpl w:val="059A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12E52"/>
    <w:multiLevelType w:val="multilevel"/>
    <w:tmpl w:val="5F3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96F10"/>
    <w:multiLevelType w:val="multilevel"/>
    <w:tmpl w:val="EC7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987B8C"/>
    <w:multiLevelType w:val="multilevel"/>
    <w:tmpl w:val="1B0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6532D"/>
    <w:multiLevelType w:val="multilevel"/>
    <w:tmpl w:val="500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34494"/>
    <w:multiLevelType w:val="multilevel"/>
    <w:tmpl w:val="3D5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1A34F1"/>
    <w:multiLevelType w:val="multilevel"/>
    <w:tmpl w:val="7FD6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0E"/>
    <w:rsid w:val="006715FA"/>
    <w:rsid w:val="00696F0E"/>
    <w:rsid w:val="007253F7"/>
    <w:rsid w:val="00B67AAA"/>
    <w:rsid w:val="00E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7DA8"/>
  <w15:chartTrackingRefBased/>
  <w15:docId w15:val="{3A06CAF7-3127-A34B-85E4-1A1171B3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6F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696F0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6F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96F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96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96F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F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9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2020-05-20T06:45:00Z</dcterms:created>
  <dcterms:modified xsi:type="dcterms:W3CDTF">2020-05-20T07:55:00Z</dcterms:modified>
</cp:coreProperties>
</file>