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rPr>
          <w:lang w:val="es-MX"/>
        </w:rPr>
      </w:pPr>
      <w:bookmarkStart w:id="0" w:name="__DdeLink__124_1900527295"/>
      <w:bookmarkEnd w:id="0"/>
      <w:r>
        <w:rPr>
          <w:rFonts w:eastAsia="Times New Roman" w:cs="Arial" w:ascii="Arial" w:hAnsi="Arial"/>
          <w:b/>
          <w:color w:val="000000"/>
          <w:szCs w:val="20"/>
          <w:lang w:val="es-MX"/>
        </w:rPr>
        <w:t>Estacionariedad débil durante sueño MOR en Adultos Mayores</w:t>
      </w:r>
    </w:p>
    <w:p>
      <w:pPr>
        <w:pStyle w:val="Normal"/>
        <w:shd w:val="clear" w:color="auto" w:fill="FFFFFF"/>
        <w:spacing w:lineRule="auto" w:line="240" w:before="0" w:after="0"/>
        <w:rPr>
          <w:rFonts w:ascii="Arial" w:hAnsi="Arial" w:eastAsia="Times New Roman" w:cs="Arial"/>
          <w:color w:val="000000"/>
          <w:sz w:val="20"/>
          <w:szCs w:val="20"/>
          <w:lang w:val="es-MX"/>
        </w:rPr>
      </w:pPr>
      <w:r>
        <w:rPr>
          <w:rFonts w:eastAsia="Times New Roman" w:cs="Arial" w:ascii="Arial" w:hAnsi="Arial"/>
          <w:color w:val="000000"/>
          <w:sz w:val="20"/>
          <w:szCs w:val="20"/>
          <w:lang w:val="es-MX"/>
        </w:rPr>
      </w:r>
    </w:p>
    <w:p>
      <w:pPr>
        <w:pStyle w:val="Normal"/>
        <w:shd w:val="clear" w:color="auto" w:fill="FFFFFF"/>
        <w:spacing w:lineRule="auto" w:line="240" w:before="0" w:after="0"/>
        <w:rPr>
          <w:lang w:val="es-MX"/>
        </w:rPr>
      </w:pPr>
      <w:r>
        <w:rPr>
          <w:rFonts w:eastAsia="Times New Roman" w:cs="Arial" w:ascii="Arial" w:hAnsi="Arial"/>
          <w:color w:val="000000"/>
          <w:sz w:val="20"/>
          <w:szCs w:val="20"/>
          <w:lang w:val="es-MX"/>
        </w:rPr>
        <w:t>Julio Enciso-Alva, BS Student</w:t>
      </w:r>
      <w:r>
        <w:rPr>
          <w:rFonts w:eastAsia="Times New Roman" w:cs="Arial" w:ascii="Arial" w:hAnsi="Arial"/>
          <w:color w:val="000000"/>
          <w:sz w:val="20"/>
          <w:szCs w:val="20"/>
          <w:vertAlign w:val="superscript"/>
          <w:lang w:val="es-MX"/>
        </w:rPr>
        <w:t>1</w:t>
      </w:r>
      <w:r>
        <w:rPr>
          <w:rFonts w:eastAsia="Times New Roman" w:cs="Arial" w:ascii="Arial" w:hAnsi="Arial"/>
          <w:color w:val="000000"/>
          <w:sz w:val="20"/>
          <w:szCs w:val="20"/>
          <w:lang w:val="es-MX"/>
        </w:rPr>
        <w:t>, Erika Rodríguez-Torres, PhD</w:t>
      </w:r>
      <w:r>
        <w:rPr>
          <w:rFonts w:eastAsia="Times New Roman" w:cs="Arial" w:ascii="Arial" w:hAnsi="Arial"/>
          <w:color w:val="000000"/>
          <w:sz w:val="20"/>
          <w:szCs w:val="20"/>
          <w:vertAlign w:val="superscript"/>
          <w:lang w:val="es-MX"/>
        </w:rPr>
        <w:t>1</w:t>
      </w:r>
      <w:r>
        <w:rPr>
          <w:rFonts w:eastAsia="Times New Roman" w:cs="Arial" w:ascii="Arial" w:hAnsi="Arial"/>
          <w:color w:val="000000"/>
          <w:sz w:val="20"/>
          <w:szCs w:val="20"/>
          <w:lang w:val="es-MX"/>
        </w:rPr>
        <w:t>, Claudia Martínez-Alcalá, PhD</w:t>
      </w:r>
      <w:r>
        <w:rPr>
          <w:rFonts w:eastAsia="Times New Roman" w:cs="Arial" w:ascii="Arial" w:hAnsi="Arial"/>
          <w:color w:val="000000"/>
          <w:sz w:val="20"/>
          <w:szCs w:val="20"/>
          <w:vertAlign w:val="superscript"/>
          <w:lang w:val="es-MX"/>
        </w:rPr>
        <w:t>2,3</w:t>
      </w:r>
      <w:r>
        <w:rPr>
          <w:rFonts w:eastAsia="Times New Roman" w:cs="Arial" w:ascii="Arial" w:hAnsi="Arial"/>
          <w:color w:val="000000"/>
          <w:sz w:val="20"/>
          <w:szCs w:val="20"/>
          <w:lang w:val="es-MX"/>
        </w:rPr>
        <w:t>, Génesis Vázquez-Tagle, MD student</w:t>
      </w:r>
      <w:r>
        <w:rPr>
          <w:rFonts w:eastAsia="Times New Roman" w:cs="Arial" w:ascii="Arial" w:hAnsi="Arial"/>
          <w:color w:val="000000"/>
          <w:sz w:val="20"/>
          <w:szCs w:val="20"/>
          <w:vertAlign w:val="superscript"/>
          <w:lang w:val="es-MX"/>
        </w:rPr>
        <w:t>3</w:t>
      </w:r>
      <w:r>
        <w:rPr>
          <w:rFonts w:eastAsia="Times New Roman" w:cs="Arial" w:ascii="Arial" w:hAnsi="Arial"/>
          <w:color w:val="000000"/>
          <w:sz w:val="20"/>
          <w:szCs w:val="20"/>
          <w:lang w:val="es-MX"/>
        </w:rPr>
        <w:t>, Margarita Tetlalmatzi-Montiel, MD</w:t>
      </w:r>
      <w:r>
        <w:rPr>
          <w:rFonts w:eastAsia="Times New Roman" w:cs="Arial" w:ascii="Arial" w:hAnsi="Arial"/>
          <w:color w:val="000000"/>
          <w:sz w:val="20"/>
          <w:szCs w:val="20"/>
          <w:vertAlign w:val="superscript"/>
          <w:lang w:val="es-MX"/>
        </w:rPr>
        <w:t>1</w:t>
      </w:r>
      <w:r>
        <w:rPr>
          <w:rFonts w:eastAsia="Times New Roman" w:cs="Arial" w:ascii="Arial" w:hAnsi="Arial"/>
          <w:color w:val="000000"/>
          <w:sz w:val="20"/>
          <w:szCs w:val="20"/>
          <w:lang w:val="es-MX"/>
        </w:rPr>
        <w:t>, Jorge Viveros, PhD</w:t>
      </w:r>
      <w:r>
        <w:rPr>
          <w:rFonts w:eastAsia="Times New Roman" w:cs="Arial" w:ascii="Arial" w:hAnsi="Arial"/>
          <w:color w:val="000000"/>
          <w:sz w:val="20"/>
          <w:szCs w:val="20"/>
          <w:vertAlign w:val="superscript"/>
          <w:lang w:val="es-MX"/>
        </w:rPr>
        <w:t>1</w:t>
      </w:r>
      <w:r>
        <w:rPr>
          <w:rFonts w:eastAsia="Times New Roman" w:cs="Arial" w:ascii="Arial" w:hAnsi="Arial"/>
          <w:color w:val="000000"/>
          <w:sz w:val="20"/>
          <w:szCs w:val="20"/>
          <w:lang w:val="es-MX"/>
        </w:rPr>
        <w:t>, </w:t>
      </w:r>
      <w:r>
        <w:rPr>
          <w:rFonts w:eastAsia="Times New Roman" w:cs="Arial" w:ascii="Arial" w:hAnsi="Arial"/>
          <w:bCs/>
          <w:color w:val="000000"/>
          <w:sz w:val="20"/>
          <w:szCs w:val="20"/>
          <w:lang w:val="es-MX"/>
        </w:rPr>
        <w:t>José Sócrates López-Noguerola, PhD student</w:t>
      </w:r>
      <w:r>
        <w:rPr>
          <w:rFonts w:eastAsia="Times New Roman" w:cs="Arial" w:ascii="Arial" w:hAnsi="Arial"/>
          <w:color w:val="000000"/>
          <w:sz w:val="20"/>
          <w:szCs w:val="20"/>
          <w:vertAlign w:val="superscript"/>
          <w:lang w:val="es-MX"/>
        </w:rPr>
        <w:t>3,4</w:t>
      </w:r>
      <w:r>
        <w:rPr>
          <w:rFonts w:eastAsia="Times New Roman" w:cs="Arial" w:ascii="Arial" w:hAnsi="Arial"/>
          <w:color w:val="000000"/>
          <w:sz w:val="20"/>
          <w:szCs w:val="20"/>
          <w:lang w:val="es-MX"/>
        </w:rPr>
        <w:t>, Alejandra Rosales-Lagarde, PhD</w:t>
      </w:r>
      <w:r>
        <w:rPr>
          <w:rFonts w:eastAsia="Times New Roman" w:cs="Arial" w:ascii="Arial" w:hAnsi="Arial"/>
          <w:color w:val="000000"/>
          <w:sz w:val="20"/>
          <w:szCs w:val="20"/>
          <w:vertAlign w:val="superscript"/>
          <w:lang w:val="es-MX"/>
        </w:rPr>
        <w:t>2,3</w:t>
      </w:r>
      <w:r>
        <w:rPr>
          <w:rFonts w:eastAsia="Times New Roman" w:cs="Arial" w:ascii="Arial" w:hAnsi="Arial"/>
          <w:color w:val="000000"/>
          <w:sz w:val="20"/>
          <w:szCs w:val="20"/>
          <w:lang w:val="es-MX"/>
        </w:rPr>
        <w:t xml:space="preserve"> </w:t>
      </w:r>
    </w:p>
    <w:p>
      <w:pPr>
        <w:pStyle w:val="Normal"/>
        <w:shd w:val="clear" w:color="auto" w:fill="FFFFFF"/>
        <w:spacing w:lineRule="auto" w:line="240" w:before="0" w:after="0"/>
        <w:rPr>
          <w:rFonts w:ascii="Arial" w:hAnsi="Arial" w:eastAsia="Times New Roman" w:cs="Arial"/>
          <w:color w:val="000000"/>
          <w:sz w:val="20"/>
          <w:szCs w:val="20"/>
          <w:lang w:val="es-ES"/>
        </w:rPr>
      </w:pPr>
      <w:r>
        <w:rPr>
          <w:rFonts w:eastAsia="Times New Roman" w:cs="Arial" w:ascii="Arial" w:hAnsi="Arial"/>
          <w:color w:val="000000"/>
          <w:sz w:val="20"/>
          <w:szCs w:val="20"/>
          <w:lang w:val="es-MX"/>
        </w:rPr>
        <w:t>(1) Universidad Autónoma del Estado de Hidalgo, Pachuca, Mexico, (2) Consejo Nacional de Ciencia y Tecnología, Mexico, Mexico,  (3) Universidad Autónoma del Estado de Hidalgo, San Agustín Tlaxiaca, Mexico, (4)University of Medicine, Göttingen, Germany</w:t>
      </w:r>
    </w:p>
    <w:p>
      <w:pPr>
        <w:pStyle w:val="Normal"/>
        <w:shd w:val="clear" w:color="auto" w:fill="FFFFFF"/>
        <w:spacing w:lineRule="auto" w:line="240" w:before="0" w:after="0"/>
        <w:rPr>
          <w:rFonts w:ascii="Arial" w:hAnsi="Arial" w:eastAsia="Times New Roman" w:cs="Arial"/>
          <w:color w:val="000000"/>
          <w:sz w:val="20"/>
          <w:szCs w:val="20"/>
          <w:lang w:val="es-MX"/>
        </w:rPr>
      </w:pPr>
      <w:r>
        <w:rPr>
          <w:rFonts w:eastAsia="Times New Roman" w:cs="Arial" w:ascii="Arial" w:hAnsi="Arial"/>
          <w:color w:val="000000"/>
          <w:sz w:val="20"/>
          <w:szCs w:val="20"/>
          <w:lang w:val="es-MX"/>
        </w:rPr>
      </w:r>
    </w:p>
    <w:p>
      <w:pPr>
        <w:pStyle w:val="Normal"/>
        <w:shd w:val="clear" w:color="auto" w:fill="FFFFFF"/>
        <w:spacing w:lineRule="auto" w:line="240" w:before="0" w:after="0"/>
        <w:rPr>
          <w:rFonts w:ascii="Arial" w:hAnsi="Arial" w:eastAsia="Times New Roman" w:cs="Arial"/>
          <w:b/>
          <w:b/>
          <w:bCs/>
          <w:color w:val="000000"/>
          <w:sz w:val="20"/>
          <w:szCs w:val="20"/>
        </w:rPr>
      </w:pPr>
      <w:r>
        <w:rPr>
          <w:rFonts w:eastAsia="Times New Roman" w:cs="Arial" w:ascii="Arial" w:hAnsi="Arial"/>
          <w:b/>
          <w:bCs/>
          <w:color w:val="000000"/>
          <w:sz w:val="20"/>
          <w:szCs w:val="20"/>
        </w:rPr>
      </w:r>
    </w:p>
    <w:p>
      <w:pPr>
        <w:pStyle w:val="Normal"/>
        <w:shd w:val="clear" w:color="auto" w:fill="FFFFFF"/>
        <w:spacing w:lineRule="auto" w:line="240" w:before="0" w:after="0"/>
        <w:rPr>
          <w:lang w:val="es-MX"/>
        </w:rPr>
      </w:pPr>
      <w:r>
        <w:rPr>
          <w:rFonts w:eastAsia="Times New Roman" w:cs="Arial" w:ascii="Arial" w:hAnsi="Arial"/>
          <w:b/>
          <w:bCs/>
          <w:color w:val="000000"/>
          <w:sz w:val="20"/>
          <w:szCs w:val="20"/>
          <w:lang w:val="es-MX"/>
        </w:rPr>
        <w:t>Resumen:</w:t>
      </w:r>
    </w:p>
    <w:p>
      <w:pPr>
        <w:pStyle w:val="Normal"/>
        <w:shd w:val="clear" w:color="auto" w:fill="FFFFFF"/>
        <w:spacing w:lineRule="auto" w:line="240" w:before="0" w:after="0"/>
        <w:rPr>
          <w:rFonts w:ascii="Arial" w:hAnsi="Arial" w:eastAsia="Times New Roman" w:cs="Arial"/>
          <w:color w:val="000000"/>
          <w:sz w:val="20"/>
          <w:szCs w:val="20"/>
          <w:lang w:val="es-MX"/>
        </w:rPr>
      </w:pPr>
      <w:r>
        <w:rPr>
          <w:rFonts w:eastAsia="Times New Roman" w:cs="Arial" w:ascii="Arial" w:hAnsi="Arial"/>
          <w:color w:val="000000"/>
          <w:sz w:val="20"/>
          <w:szCs w:val="20"/>
          <w:lang w:val="es-MX"/>
        </w:rPr>
      </w:r>
    </w:p>
    <w:p>
      <w:pPr>
        <w:pStyle w:val="Normal"/>
        <w:shd w:val="clear" w:color="auto" w:fill="FFFFFF"/>
        <w:spacing w:lineRule="auto" w:line="240" w:before="0" w:after="150"/>
        <w:rPr>
          <w:lang w:val="es-MX"/>
        </w:rPr>
      </w:pPr>
      <w:r>
        <w:rPr>
          <w:rFonts w:eastAsia="Times New Roman" w:cs="Arial" w:ascii="Arial" w:hAnsi="Arial"/>
          <w:b/>
          <w:bCs/>
          <w:color w:val="000000"/>
          <w:sz w:val="20"/>
          <w:szCs w:val="20"/>
          <w:lang w:val="es-MX"/>
        </w:rPr>
        <w:t xml:space="preserve">Antecedentes: </w:t>
      </w:r>
      <w:r>
        <w:rPr>
          <w:rFonts w:eastAsia="Times New Roman" w:cs="Arial" w:ascii="Arial" w:hAnsi="Arial"/>
          <w:color w:val="000000"/>
          <w:sz w:val="20"/>
          <w:szCs w:val="20"/>
          <w:lang w:val="es-MX"/>
        </w:rPr>
        <w:t xml:space="preserve">El sueño de Movimientos Oculares Rápidos (MOR) se caracteriza por la presencia de MOR’s, atonía muscular y actividad electroencefalográfica desincronizada. Cuando se efectúan análisis cuantitativos sobre este tipo de señales usualmente se asume que son no-estacionarias, una propiedad no se suele verificar. La prueba de Priestley-Subba Rao (PSR) calcula localmente el espectro de potencias para los registros de EEG –que posiblemente varía en el tiempo– y luego verifica si éste efectivamente varía en el tiempo, condición equivalente a la no-estacionariedad. En este trabajo se cuantificó la ‘presencia’ de estacionariedad durante sueño MOR, vigilia (V) y sueño no-MOR (NMOR). </w:t>
      </w:r>
      <w:r>
        <w:rPr>
          <w:rFonts w:eastAsia="Times New Roman" w:cs="Arial" w:ascii="Arial" w:hAnsi="Arial"/>
          <w:b/>
          <w:bCs/>
          <w:color w:val="000000"/>
          <w:sz w:val="20"/>
          <w:szCs w:val="20"/>
          <w:lang w:val="es-MX"/>
        </w:rPr>
        <w:t xml:space="preserve">Métodos: </w:t>
      </w:r>
      <w:r>
        <w:rPr>
          <w:rFonts w:eastAsia="Times New Roman" w:cs="Arial" w:ascii="Arial" w:hAnsi="Arial"/>
          <w:color w:val="000000"/>
          <w:sz w:val="20"/>
          <w:szCs w:val="20"/>
          <w:lang w:val="es-MX"/>
        </w:rPr>
        <w:t xml:space="preserve">Fueron seleccionados 5 Adultos Mayores (AM) [edad: 68.2 ± 7.2; educación: 9.2 ± 2.7] sin depresión ni ansiedad y con actividades cotidianas intactas. Los participantes fueron evaluados con la prueba Mini-Mental State Examination (MMSE, 29.4 ± 0.9) y se efectuaron registros de polisomnograma (PSG) para una noche entera. El PSG fue dividido en épocas de 30 segundos, que fueron clasificadas según los estándasres de la American Academy of Sleep Medicine (AASM); cada época de sueño MOR, NMOR y vigilia fue sujeta a la prueba PSR para detectar estacionariedad. Se obtuvieron porcentajes de épocas estacionarias respecto al total de épocas en cada etapa de sueño, y se usó la prueba t de Wilcoxon para compararlas. </w:t>
      </w:r>
      <w:r>
        <w:rPr>
          <w:rFonts w:eastAsia="Times New Roman" w:cs="Arial" w:ascii="Arial" w:hAnsi="Arial"/>
          <w:b/>
          <w:bCs/>
          <w:color w:val="000000"/>
          <w:sz w:val="20"/>
          <w:szCs w:val="20"/>
          <w:lang w:val="es-MX"/>
        </w:rPr>
        <w:t xml:space="preserve">Resultados: </w:t>
      </w:r>
      <w:r>
        <w:rPr>
          <w:rFonts w:eastAsia="Times New Roman" w:cs="Arial" w:ascii="Arial" w:hAnsi="Arial"/>
          <w:color w:val="000000"/>
          <w:sz w:val="20"/>
          <w:szCs w:val="20"/>
          <w:lang w:val="es-MX"/>
        </w:rPr>
        <w:t xml:space="preserve">De acuerdo a la clasificación de épocas usando la prueba PSR, se observaron proporciones menores de épocas estacionarias durante sueño MOR, en comparación con otras etapas de sueño; estas diferencias fueron significativas en las regiones C3, C4, CZ, F7, </w:t>
      </w:r>
      <w:bookmarkStart w:id="1" w:name="_GoBack"/>
      <w:bookmarkEnd w:id="1"/>
      <w:r>
        <w:rPr>
          <w:rFonts w:eastAsia="Times New Roman" w:cs="Arial" w:ascii="Arial" w:hAnsi="Arial"/>
          <w:color w:val="000000"/>
          <w:sz w:val="20"/>
          <w:szCs w:val="20"/>
          <w:lang w:val="es-MX"/>
        </w:rPr>
        <w:t xml:space="preserve">Fp1, LOG y ROG (p &lt; 0.05). </w:t>
      </w:r>
      <w:r>
        <w:rPr>
          <w:rFonts w:eastAsia="Times New Roman" w:cs="Arial" w:ascii="Arial" w:hAnsi="Arial"/>
          <w:b/>
          <w:bCs/>
          <w:color w:val="000000"/>
          <w:sz w:val="20"/>
          <w:szCs w:val="20"/>
          <w:lang w:val="es-MX"/>
        </w:rPr>
        <w:t xml:space="preserve">Conclusiones: </w:t>
      </w:r>
      <w:r>
        <w:rPr>
          <w:rFonts w:eastAsia="Times New Roman" w:cs="Arial" w:ascii="Arial" w:hAnsi="Arial"/>
          <w:color w:val="000000"/>
          <w:sz w:val="20"/>
          <w:szCs w:val="20"/>
          <w:lang w:val="es-MX"/>
        </w:rPr>
        <w:t>En AM durante sueño MOR, se observaron menores proporciones de épocas estacionarias en comparación a otras etapas de sueño, en las áreas frontal y anterior, un resultado que puede explicarse por el sueño MOR fásico y tónico.</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57"/>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136140"/>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c37773"/>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LibreOffice/5.1.6.2$Linux_x86 LibreOffice_project/10m0$Build-2</Application>
  <Pages>1</Pages>
  <Words>370</Words>
  <CharactersWithSpaces>2165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2017-04-24T22:26:00Z</dcterms:created>
  <dc:creator>erika</dc:creator>
  <dc:description/>
  <dc:language>es-MX</dc:language>
  <cp:lastModifiedBy/>
  <dcterms:modified xsi:type="dcterms:W3CDTF">2017-06-05T15:10:15Z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