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心态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目的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主题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话题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常规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工作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工作内容；工作感受；工作的计划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学习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学习内容；学习感受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当地风情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吃喝玩乐；风土文化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人际关系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更多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理想、家庭、打算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Focus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特殊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技巧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开放式提问、适当自我揭露、倾听、认同、不要</w:t>
      </w:r>
      <w:r>
        <w:rPr>
          <w:rFonts w:ascii="Times" w:hAnsi="Times" w:cs="Times"/>
          <w:sz w:val="24"/>
          <w:sz-cs w:val="24"/>
        </w:rPr>
        <w:t xml:space="preserve">judge people</w:t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开始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结束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其他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风险评估：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ChenJunyu</dc:creator>
</cp:coreProperties>
</file>

<file path=docProps/meta.xml><?xml version="1.0" encoding="utf-8"?>
<meta xmlns="http://schemas.apple.com/cocoa/2006/metadata">
  <generator>CocoaOOXMLWriter/1404.46</generator>
</meta>
</file>