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 xml:space="preserve">This paper will be presented in a session sponsored by the SBL Digital Humanities in Biblical, Early </w:t>
      </w:r>
      <w:proofErr w:type="gramStart"/>
      <w:r w:rsidRPr="00C873B4">
        <w:rPr>
          <w:i/>
          <w:iCs/>
          <w:sz w:val="28"/>
          <w:szCs w:val="28"/>
        </w:rPr>
        <w:t>Jewish,</w:t>
      </w:r>
      <w:proofErr w:type="gramEnd"/>
      <w:r w:rsidRPr="00C873B4">
        <w:rPr>
          <w:i/>
          <w:iCs/>
          <w:sz w:val="28"/>
          <w:szCs w:val="28"/>
        </w:rPr>
        <w:t xml:space="preserve">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w:t>
      </w:r>
      <w:proofErr w:type="spellStart"/>
      <w:proofErr w:type="gramStart"/>
      <w:r w:rsidR="008B4787" w:rsidRPr="00C873B4">
        <w:rPr>
          <w:i/>
          <w:iCs/>
          <w:sz w:val="28"/>
          <w:szCs w:val="28"/>
        </w:rPr>
        <w:t>powerpoint</w:t>
      </w:r>
      <w:proofErr w:type="spellEnd"/>
      <w:proofErr w:type="gramEnd"/>
      <w:r w:rsidR="008B4787" w:rsidRPr="00C873B4">
        <w:rPr>
          <w:i/>
          <w:iCs/>
          <w:sz w:val="28"/>
          <w:szCs w:val="28"/>
        </w:rPr>
        <w:t xml:space="preserve">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885F7F"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7348D3B7" w:rsidR="00142593" w:rsidRPr="00C873B4" w:rsidRDefault="007824C4" w:rsidP="00C111ED">
      <w:pPr>
        <w:ind w:firstLine="720"/>
        <w:rPr>
          <w:sz w:val="28"/>
          <w:szCs w:val="28"/>
        </w:rPr>
      </w:pPr>
      <w:r w:rsidRPr="00C873B4">
        <w:rPr>
          <w:sz w:val="28"/>
          <w:szCs w:val="28"/>
        </w:rPr>
        <w:lastRenderedPageBreak/>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First</w:t>
      </w:r>
      <w:r w:rsidR="009844D4" w:rsidRPr="00C873B4">
        <w:rPr>
          <w:sz w:val="28"/>
          <w:szCs w:val="28"/>
        </w:rPr>
        <w:t xml:space="preserve"> [Slide: Quotation]</w:t>
      </w:r>
      <w:r w:rsidR="001A6361" w:rsidRPr="00C873B4">
        <w:rPr>
          <w:sz w:val="28"/>
          <w:szCs w:val="28"/>
        </w:rPr>
        <w: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001A6361" w:rsidRPr="00C873B4">
        <w:rPr>
          <w:sz w:val="28"/>
          <w:szCs w:val="28"/>
        </w:rPr>
        <w:t>Second</w:t>
      </w:r>
      <w:r w:rsidR="009844D4" w:rsidRPr="00C873B4">
        <w:rPr>
          <w:sz w:val="28"/>
          <w:szCs w:val="28"/>
        </w:rPr>
        <w:t xml:space="preserve"> [Slide: Allusion]</w:t>
      </w:r>
      <w:r w:rsidR="001A6361" w:rsidRPr="00C873B4">
        <w:rPr>
          <w:sz w:val="28"/>
          <w:szCs w:val="28"/>
        </w:rPr>
        <w:t xml:space="preserve">, 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haggolah</w:t>
      </w:r>
      <w:proofErr w:type="spellEnd"/>
      <w:r w:rsidR="00043A08" w:rsidRPr="00C873B4">
        <w:rPr>
          <w:sz w:val="28"/>
          <w:szCs w:val="28"/>
        </w:rPr>
        <w:t xml:space="preserve"> (the exiles) and </w:t>
      </w:r>
      <w:proofErr w:type="spellStart"/>
      <w:r w:rsidR="00043A08" w:rsidRPr="00C873B4">
        <w:rPr>
          <w:i/>
          <w:iCs/>
          <w:sz w:val="28"/>
          <w:szCs w:val="28"/>
        </w:rPr>
        <w:t>wegiylu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sidR="001A6361" w:rsidRPr="00C873B4">
        <w:rPr>
          <w:sz w:val="28"/>
          <w:szCs w:val="28"/>
        </w:rPr>
        <w:t>Third</w:t>
      </w:r>
      <w:r w:rsidR="009844D4" w:rsidRPr="00C873B4">
        <w:rPr>
          <w:sz w:val="28"/>
          <w:szCs w:val="28"/>
        </w:rPr>
        <w:t xml:space="preserve"> Slide: Themes],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 xml:space="preserve">or </w:t>
      </w:r>
      <w:r w:rsidR="009C0DEF" w:rsidRPr="00C873B4">
        <w:rPr>
          <w:sz w:val="28"/>
          <w:szCs w:val="28"/>
        </w:rPr>
        <w:lastRenderedPageBreak/>
        <w:t>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3051ACE8" w:rsidR="0043751A" w:rsidRPr="00C873B4" w:rsidRDefault="00142593" w:rsidP="00C873B4">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w:t>
      </w:r>
      <w:proofErr w:type="spellStart"/>
      <w:r w:rsidR="00C13F6C" w:rsidRPr="00C873B4">
        <w:rPr>
          <w:sz w:val="28"/>
          <w:szCs w:val="28"/>
        </w:rPr>
        <w:t>Deutero</w:t>
      </w:r>
      <w:proofErr w:type="spellEnd"/>
      <w:r w:rsidR="00C13F6C" w:rsidRPr="00C873B4">
        <w:rPr>
          <w:sz w:val="28"/>
          <w:szCs w:val="28"/>
        </w:rPr>
        <w:t xml:space="preserve">-Isaiah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to us from John’s contemporaries</w:t>
      </w:r>
      <w:r w:rsidR="00965D72" w:rsidRPr="00C873B4">
        <w:rPr>
          <w:sz w:val="28"/>
          <w:szCs w:val="28"/>
        </w:rPr>
        <w:t xml:space="preserve"> </w:t>
      </w:r>
      <w:r w:rsidR="00965D72" w:rsidRPr="00C873B4">
        <w:rPr>
          <w:sz w:val="28"/>
          <w:szCs w:val="28"/>
        </w:rPr>
        <w:lastRenderedPageBreak/>
        <w:t>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0B0076" w:rsidRPr="00C873B4">
        <w:rPr>
          <w:sz w:val="28"/>
          <w:szCs w:val="28"/>
        </w:rPr>
        <w:t>[</w:t>
      </w:r>
      <w:r w:rsidR="00C06A40" w:rsidRPr="00C873B4">
        <w:rPr>
          <w:sz w:val="28"/>
          <w:szCs w:val="28"/>
        </w:rPr>
        <w:t>Slide</w:t>
      </w:r>
      <w:r w:rsidR="000B0076" w:rsidRPr="00C873B4">
        <w:rPr>
          <w:sz w:val="28"/>
          <w:szCs w:val="28"/>
        </w:rPr>
        <w:t>: Citation formulae</w:t>
      </w:r>
      <w:r w:rsidR="003D2F65" w:rsidRPr="00C873B4">
        <w:rPr>
          <w:sz w:val="28"/>
          <w:szCs w:val="28"/>
        </w:rPr>
        <w:t>]</w:t>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73EC9134" w:rsidR="00F759A0" w:rsidRPr="00C873B4" w:rsidRDefault="00B903C1" w:rsidP="002D7FE7">
      <w:pPr>
        <w:ind w:firstLine="720"/>
        <w:rPr>
          <w:sz w:val="28"/>
          <w:szCs w:val="28"/>
        </w:rPr>
      </w:pPr>
      <w:r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[Slide: Text-form] The improper use of case and prepositions may reflect a quotation from a Greek text-form, rather than simple barbarism, as in 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w:t>
      </w:r>
      <w:proofErr w:type="spellStart"/>
      <w:r w:rsidR="002D7FE7">
        <w:rPr>
          <w:sz w:val="28"/>
          <w:szCs w:val="28"/>
        </w:rPr>
        <w:t>targum</w:t>
      </w:r>
      <w:proofErr w:type="spellEnd"/>
      <w:r w:rsidR="002D7FE7">
        <w:rPr>
          <w:sz w:val="28"/>
          <w:szCs w:val="28"/>
        </w:rPr>
        <w:t>.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3453BC65" w:rsidR="003767F5" w:rsidRPr="00C873B4" w:rsidRDefault="00961D64" w:rsidP="00F436A4">
      <w:pPr>
        <w:ind w:firstLine="720"/>
        <w:rPr>
          <w:sz w:val="28"/>
          <w:szCs w:val="28"/>
        </w:rPr>
      </w:pPr>
      <w:r w:rsidRPr="00C873B4">
        <w:rPr>
          <w:sz w:val="28"/>
          <w:szCs w:val="28"/>
        </w:rPr>
        <w:t xml:space="preserve">Revelation cites Scripture more than other contemporary Christian text </w:t>
      </w:r>
      <w:r w:rsidR="00D156B3" w:rsidRPr="00C873B4">
        <w:rPr>
          <w:noProof/>
          <w:sz w:val="28"/>
          <w:szCs w:val="28"/>
          <w:lang w:bidi="he-IL"/>
        </w:rPr>
        <w:t>[</w:t>
      </w:r>
      <w:r w:rsidR="00C06A40" w:rsidRPr="00C873B4">
        <w:rPr>
          <w:noProof/>
          <w:sz w:val="28"/>
          <w:szCs w:val="28"/>
          <w:lang w:bidi="he-IL"/>
        </w:rPr>
        <w:t>Slide</w:t>
      </w:r>
      <w:r w:rsidR="00D156B3" w:rsidRPr="00C873B4">
        <w:rPr>
          <w:noProof/>
          <w:sz w:val="28"/>
          <w:szCs w:val="28"/>
          <w:lang w:bidi="he-IL"/>
        </w:rPr>
        <w:t xml:space="preserve">: </w:t>
      </w:r>
      <w:r w:rsidR="00C5378B" w:rsidRPr="00C873B4">
        <w:rPr>
          <w:noProof/>
          <w:sz w:val="28"/>
          <w:szCs w:val="28"/>
          <w:lang w:bidi="he-IL"/>
        </w:rPr>
        <w:t>Moyise data)</w:t>
      </w:r>
      <w:r w:rsidR="00BD4295" w:rsidRPr="00C873B4">
        <w:rPr>
          <w:noProof/>
          <w:sz w:val="28"/>
          <w:szCs w:val="28"/>
          <w:lang w:bidi="he-IL"/>
        </w:rPr>
        <w:t xml:space="preserve">. </w:t>
      </w:r>
      <w:r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001A6671" w:rsidRPr="00C873B4">
        <w:rPr>
          <w:sz w:val="28"/>
          <w:szCs w:val="28"/>
        </w:rPr>
        <w:t>Compare here the marginalia of the Nestle and Nestle-Aland editions f</w:t>
      </w:r>
      <w:r w:rsidR="003767F5" w:rsidRPr="00C873B4">
        <w:rPr>
          <w:sz w:val="28"/>
          <w:szCs w:val="28"/>
        </w:rPr>
        <w:t>rom 1904,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3F140B7F" w14:textId="77777777" w:rsidR="001A6671" w:rsidRPr="00C873B4" w:rsidRDefault="001A6671" w:rsidP="003E4B80">
      <w:pPr>
        <w:ind w:firstLine="720"/>
        <w:rPr>
          <w:sz w:val="28"/>
          <w:szCs w:val="28"/>
        </w:rPr>
      </w:pPr>
      <w:r w:rsidRPr="00C873B4">
        <w:rPr>
          <w:sz w:val="28"/>
          <w:szCs w:val="28"/>
        </w:rPr>
        <w:t>[</w:t>
      </w:r>
      <w:r w:rsidR="00511885" w:rsidRPr="00C873B4">
        <w:rPr>
          <w:sz w:val="28"/>
          <w:szCs w:val="28"/>
        </w:rPr>
        <w:t>Slide</w:t>
      </w:r>
      <w:r w:rsidR="00961D64" w:rsidRPr="00C873B4">
        <w:rPr>
          <w:sz w:val="28"/>
          <w:szCs w:val="28"/>
        </w:rPr>
        <w:t xml:space="preserve"> – scanned images side by side</w:t>
      </w:r>
      <w:r w:rsidRPr="00C873B4">
        <w:rPr>
          <w:sz w:val="28"/>
          <w:szCs w:val="28"/>
        </w:rPr>
        <w:t>]</w:t>
      </w:r>
    </w:p>
    <w:p w14:paraId="7F09E2D8" w14:textId="70C43EF9" w:rsidR="00763CF0" w:rsidRPr="00C873B4" w:rsidRDefault="00763CF0" w:rsidP="00F436A4">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395CFF" w:rsidRPr="00C873B4">
        <w:rPr>
          <w:sz w:val="28"/>
          <w:szCs w:val="28"/>
        </w:rPr>
        <w:t xml:space="preserve"> </w:t>
      </w:r>
      <w:r w:rsidR="009240BB" w:rsidRPr="00C873B4">
        <w:rPr>
          <w:sz w:val="28"/>
          <w:szCs w:val="28"/>
        </w:rPr>
        <w:t>[Slide: SBLGNT and NA</w:t>
      </w:r>
      <w:r w:rsidR="009240BB" w:rsidRPr="00C873B4">
        <w:rPr>
          <w:sz w:val="28"/>
          <w:szCs w:val="28"/>
          <w:vertAlign w:val="superscript"/>
        </w:rPr>
        <w:t>28</w:t>
      </w:r>
      <w:r w:rsidR="006128BC" w:rsidRPr="00C873B4">
        <w:rPr>
          <w:sz w:val="28"/>
          <w:szCs w:val="28"/>
        </w:rPr>
        <w:t xml:space="preserve"> </w:t>
      </w:r>
      <w:r w:rsidR="009240BB" w:rsidRPr="00C873B4">
        <w:rPr>
          <w:sz w:val="28"/>
          <w:szCs w:val="28"/>
        </w:rPr>
        <w:t>Online],</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D15BD1" w:rsidRPr="00C873B4">
        <w:rPr>
          <w:sz w:val="28"/>
          <w:szCs w:val="28"/>
        </w:rPr>
        <w:t>Fully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5"/>
      <w:r w:rsidR="00853D83" w:rsidRPr="00C873B4">
        <w:rPr>
          <w:sz w:val="28"/>
          <w:szCs w:val="28"/>
        </w:rPr>
        <w:t>intertextuality</w:t>
      </w:r>
      <w:commentRangeEnd w:id="5"/>
      <w:r w:rsidR="00F436A4">
        <w:rPr>
          <w:rStyle w:val="CommentReference"/>
        </w:rPr>
        <w:commentReference w:id="5"/>
      </w:r>
      <w:r w:rsidR="00853D83" w:rsidRPr="00C873B4">
        <w:rPr>
          <w:sz w:val="28"/>
          <w:szCs w:val="28"/>
        </w:rPr>
        <w:t xml:space="preserve">. </w:t>
      </w:r>
    </w:p>
    <w:p w14:paraId="39508542" w14:textId="1E85C71C" w:rsidR="00CC5FA6" w:rsidRPr="00C873B4" w:rsidRDefault="00F9644F" w:rsidP="00C111ED">
      <w:pPr>
        <w:pStyle w:val="ListParagraph"/>
        <w:ind w:left="0" w:firstLine="720"/>
        <w:rPr>
          <w:sz w:val="28"/>
          <w:szCs w:val="28"/>
        </w:rPr>
      </w:pPr>
      <w:r w:rsidRPr="00C873B4">
        <w:rPr>
          <w:sz w:val="28"/>
          <w:szCs w:val="28"/>
        </w:rPr>
        <w:t>As case studies for digital editions, let us examine four passages from Revelation 17-18 and 21-22. [</w:t>
      </w:r>
      <w:hyperlink r:id="rId11" w:history="1">
        <w:r w:rsidR="006706DE" w:rsidRPr="00C873B4">
          <w:rPr>
            <w:rStyle w:val="Hyperlink"/>
            <w:sz w:val="28"/>
            <w:szCs w:val="28"/>
          </w:rPr>
          <w:t>http://encodingrevelation.github.io/revelation/apocalypseandempire.html</w:t>
        </w:r>
      </w:hyperlink>
      <w:r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w:t>
      </w:r>
      <w:r w:rsidR="009B6B02" w:rsidRPr="00C873B4">
        <w:rPr>
          <w:sz w:val="28"/>
          <w:szCs w:val="28"/>
        </w:rPr>
        <w:lastRenderedPageBreak/>
        <w:t xml:space="preserve">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9B6B02" w:rsidRPr="00C873B4">
        <w:rPr>
          <w:sz w:val="28"/>
          <w:szCs w:val="28"/>
        </w:rPr>
        <w:t xml:space="preserve">commentaries of </w:t>
      </w:r>
      <w:r w:rsidR="008D3498" w:rsidRPr="00C873B4">
        <w:rPr>
          <w:sz w:val="28"/>
          <w:szCs w:val="28"/>
        </w:rPr>
        <w:t>Swete,</w:t>
      </w:r>
      <w:r w:rsidR="00A85BE8" w:rsidRPr="00C873B4">
        <w:rPr>
          <w:rStyle w:val="FootnoteReference"/>
          <w:sz w:val="28"/>
          <w:szCs w:val="28"/>
        </w:rPr>
        <w:footnoteReference w:id="12"/>
      </w:r>
      <w:r w:rsidR="008D3498" w:rsidRPr="00C873B4">
        <w:rPr>
          <w:sz w:val="28"/>
          <w:szCs w:val="28"/>
        </w:rPr>
        <w:t xml:space="preserve"> Charles,</w:t>
      </w:r>
      <w:r w:rsidR="00A85BE8" w:rsidRPr="00C873B4">
        <w:rPr>
          <w:rStyle w:val="FootnoteReference"/>
          <w:sz w:val="28"/>
          <w:szCs w:val="28"/>
        </w:rPr>
        <w:footnoteReference w:id="13"/>
      </w:r>
      <w:r w:rsidR="008D3498" w:rsidRPr="00C873B4">
        <w:rPr>
          <w:sz w:val="28"/>
          <w:szCs w:val="28"/>
        </w:rPr>
        <w:t xml:space="preserve"> </w:t>
      </w:r>
      <w:r w:rsidR="009B6B02" w:rsidRPr="00C873B4">
        <w:rPr>
          <w:sz w:val="28"/>
          <w:szCs w:val="28"/>
        </w:rPr>
        <w:t>Aune,</w:t>
      </w:r>
      <w:r w:rsidR="00A85BE8" w:rsidRPr="00C873B4">
        <w:rPr>
          <w:rStyle w:val="FootnoteReference"/>
          <w:sz w:val="28"/>
          <w:szCs w:val="28"/>
        </w:rPr>
        <w:footnoteReference w:id="14"/>
      </w:r>
      <w:r w:rsidR="009B6B02" w:rsidRPr="00C873B4">
        <w:rPr>
          <w:sz w:val="28"/>
          <w:szCs w:val="28"/>
        </w:rPr>
        <w:t xml:space="preserve"> </w:t>
      </w:r>
      <w:r w:rsidR="00A85BE8" w:rsidRPr="00C873B4">
        <w:rPr>
          <w:sz w:val="28"/>
          <w:szCs w:val="28"/>
        </w:rPr>
        <w:t>Beale,</w:t>
      </w:r>
      <w:r w:rsidR="00A85BE8" w:rsidRPr="00C873B4">
        <w:rPr>
          <w:rStyle w:val="FootnoteReference"/>
          <w:sz w:val="28"/>
          <w:szCs w:val="28"/>
        </w:rPr>
        <w:footnoteReference w:id="15"/>
      </w:r>
      <w:r w:rsidR="00A85BE8" w:rsidRPr="00C873B4">
        <w:rPr>
          <w:sz w:val="28"/>
          <w:szCs w:val="28"/>
        </w:rPr>
        <w:t xml:space="preserve"> </w:t>
      </w:r>
      <w:r w:rsidR="009B6B02" w:rsidRPr="00C873B4">
        <w:rPr>
          <w:sz w:val="28"/>
          <w:szCs w:val="28"/>
        </w:rPr>
        <w:t>and Koester.</w:t>
      </w:r>
      <w:r w:rsidR="00A85BE8" w:rsidRPr="00C873B4">
        <w:rPr>
          <w:rStyle w:val="FootnoteReference"/>
          <w:sz w:val="28"/>
          <w:szCs w:val="28"/>
        </w:rPr>
        <w:footnoteReference w:id="16"/>
      </w:r>
      <w:r w:rsidR="009B6B02" w:rsidRPr="00C873B4">
        <w:rPr>
          <w:sz w:val="28"/>
          <w:szCs w:val="28"/>
        </w:rPr>
        <w:t xml:space="preserve"> </w:t>
      </w:r>
      <w:r w:rsidR="00365EC4" w:rsidRPr="00C873B4">
        <w:rPr>
          <w:sz w:val="28"/>
          <w:szCs w:val="28"/>
        </w:rPr>
        <w:t>References can be meta-tagged with data in accordance with research q</w:t>
      </w:r>
      <w:r w:rsidR="00C111ED" w:rsidRPr="00C873B4">
        <w:rPr>
          <w:sz w:val="28"/>
          <w:szCs w:val="28"/>
        </w:rPr>
        <w:t xml:space="preserve">uestions, such as the typology of intertextual reference, prophetic book, text-form of Scripture, or editorial confidence of authorial intentionality. </w:t>
      </w:r>
    </w:p>
    <w:p w14:paraId="61151A81" w14:textId="3C0998C3" w:rsidR="00854689" w:rsidRPr="00C873B4" w:rsidRDefault="00680832" w:rsidP="00886B56">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references. </w:t>
      </w:r>
      <w:r w:rsidR="00F36B09" w:rsidRPr="00C873B4">
        <w:rPr>
          <w:sz w:val="28"/>
          <w:szCs w:val="28"/>
        </w:rPr>
        <w:t>By color-coding the text, Revelation’s hyper-saturation wit</w:t>
      </w:r>
      <w:bookmarkStart w:id="6" w:name="_GoBack"/>
      <w:bookmarkEnd w:id="6"/>
      <w:r w:rsidR="00F36B09" w:rsidRPr="00C873B4">
        <w:rPr>
          <w:sz w:val="28"/>
          <w:szCs w:val="28"/>
        </w:rPr>
        <w:t xml:space="preserve">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 xml:space="preserve">the allusion the specific words are marked as allusive. </w:t>
      </w:r>
      <w:r w:rsidR="00F36B09" w:rsidRPr="00C873B4">
        <w:rPr>
          <w:sz w:val="28"/>
          <w:szCs w:val="28"/>
        </w:rPr>
        <w:t xml:space="preserve">Every verse has at least one reference in it.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F50BB7" w:rsidRPr="00C873B4">
        <w:rPr>
          <w:sz w:val="28"/>
          <w:szCs w:val="28"/>
        </w:rPr>
        <w:t xml:space="preserve">can </w:t>
      </w:r>
      <w:r w:rsidR="00F50BB7" w:rsidRPr="00C873B4">
        <w:rPr>
          <w:sz w:val="28"/>
          <w:szCs w:val="28"/>
        </w:rPr>
        <w:lastRenderedPageBreak/>
        <w:t>be</w:t>
      </w:r>
      <w:r w:rsidR="001C07C6" w:rsidRPr="00C873B4">
        <w:rPr>
          <w:sz w:val="28"/>
          <w:szCs w:val="28"/>
        </w:rPr>
        <w:t xml:space="preserve"> instructive to see how thoroughly </w:t>
      </w:r>
      <w:r w:rsidR="00886B56" w:rsidRPr="00C873B4">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imagery.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77777777" w:rsidR="00F36B09" w:rsidRPr="00C873B4" w:rsidRDefault="00854689" w:rsidP="00536912">
      <w:pPr>
        <w:pStyle w:val="ListParagraph"/>
        <w:ind w:left="0" w:firstLine="720"/>
        <w:rPr>
          <w:sz w:val="28"/>
          <w:szCs w:val="28"/>
        </w:rPr>
      </w:pPr>
      <w:r w:rsidRPr="00C873B4">
        <w:rPr>
          <w:sz w:val="28"/>
          <w:szCs w:val="28"/>
        </w:rPr>
        <w:t xml:space="preserve">John’s description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7"/>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 xml:space="preserve">means of connection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depiction of the whore </w:t>
      </w:r>
      <w:r w:rsidR="00536912" w:rsidRPr="00C873B4">
        <w:rPr>
          <w:sz w:val="28"/>
          <w:szCs w:val="28"/>
        </w:rPr>
        <w:lastRenderedPageBreak/>
        <w:t xml:space="preserve">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76823BF5" w:rsidR="008726C5" w:rsidRPr="00C873B4" w:rsidRDefault="008726C5" w:rsidP="00F95FED">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t xml:space="preserve">Revelation 18:1-3 </w:t>
      </w:r>
      <w:hyperlink r:id="rId13" w:history="1">
        <w:r w:rsidRPr="00C873B4">
          <w:rPr>
            <w:rStyle w:val="Hyperlink"/>
            <w:sz w:val="28"/>
            <w:szCs w:val="28"/>
          </w:rPr>
          <w:t>http://encodingrevelation.github.io/revelation/revelation/chapter/ap18.html</w:t>
        </w:r>
      </w:hyperlink>
    </w:p>
    <w:p w14:paraId="6B3282DA" w14:textId="315EDCC4"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w:t>
      </w:r>
      <w:r w:rsidRPr="00C873B4">
        <w:rPr>
          <w:sz w:val="28"/>
          <w:szCs w:val="28"/>
        </w:rPr>
        <w:lastRenderedPageBreak/>
        <w:t xml:space="preserve">of Babylon’s downfall </w:t>
      </w:r>
      <w:r w:rsidR="00FC65BE" w:rsidRPr="00C873B4">
        <w:rPr>
          <w:sz w:val="28"/>
          <w:szCs w:val="28"/>
        </w:rPr>
        <w:t>translates</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8"/>
      </w:r>
    </w:p>
    <w:p w14:paraId="0BD2E507" w14:textId="77777777" w:rsidR="00A26DE5" w:rsidRPr="00C873B4" w:rsidRDefault="00811EC4" w:rsidP="00231344">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 xml:space="preserve">These double utilizations play upon the flexibility of metaphor and prophecy.  </w:t>
      </w:r>
    </w:p>
    <w:p w14:paraId="34A8EC60" w14:textId="5A2FCAC1" w:rsidR="00821846" w:rsidRPr="00C873B4" w:rsidRDefault="002D2BFF" w:rsidP="00E12977">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w:t>
      </w:r>
      <w:r w:rsidR="005A3CD1" w:rsidRPr="00C873B4">
        <w:rPr>
          <w:sz w:val="28"/>
          <w:szCs w:val="28"/>
        </w:rPr>
        <w:lastRenderedPageBreak/>
        <w:t xml:space="preserve">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Jeremiah </w:t>
      </w:r>
      <w:r w:rsidR="00F829EB" w:rsidRPr="00C873B4">
        <w:rPr>
          <w:sz w:val="28"/>
          <w:szCs w:val="28"/>
        </w:rPr>
        <w:t>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9"/>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 xml:space="preserve">d will do to Babylon that which Babylon has done.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by fire in Jeremiah 50-51. </w:t>
      </w:r>
      <w:r w:rsidR="001F1721" w:rsidRPr="00C873B4">
        <w:rPr>
          <w:sz w:val="28"/>
          <w:szCs w:val="28"/>
        </w:rPr>
        <w:t xml:space="preserve">Though </w:t>
      </w:r>
      <w:r w:rsidR="00394E97" w:rsidRPr="00C873B4">
        <w:rPr>
          <w:sz w:val="28"/>
          <w:szCs w:val="28"/>
        </w:rPr>
        <w:t>Revelation yokes these allusions</w:t>
      </w:r>
      <w:r w:rsidR="001F1721" w:rsidRPr="00C873B4">
        <w:rPr>
          <w:sz w:val="28"/>
          <w:szCs w:val="28"/>
        </w:rPr>
        <w:t xml:space="preserve"> other </w:t>
      </w:r>
      <w:r w:rsidR="00394E97" w:rsidRPr="00C873B4">
        <w:rPr>
          <w:sz w:val="28"/>
          <w:szCs w:val="28"/>
        </w:rPr>
        <w:t>prophets</w:t>
      </w:r>
      <w:r w:rsidR="00E534E2" w:rsidRPr="00C873B4">
        <w:rPr>
          <w:sz w:val="28"/>
          <w:szCs w:val="28"/>
        </w:rPr>
        <w:t xml:space="preserve"> within 18:1-8</w:t>
      </w:r>
      <w:r w:rsidR="001F1721" w:rsidRPr="00C873B4">
        <w:rPr>
          <w:sz w:val="28"/>
          <w:szCs w:val="28"/>
        </w:rPr>
        <w:t xml:space="preserve">, </w:t>
      </w:r>
      <w:r w:rsidR="008F4263" w:rsidRPr="00C873B4">
        <w:rPr>
          <w:sz w:val="28"/>
          <w:szCs w:val="28"/>
        </w:rPr>
        <w:t xml:space="preserve">Jeremiah’s oracles form the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merited. </w:t>
      </w:r>
    </w:p>
    <w:p w14:paraId="1F17D595" w14:textId="77777777" w:rsidR="00113C6E" w:rsidRPr="00C873B4" w:rsidRDefault="00113C6E" w:rsidP="00330B06">
      <w:pPr>
        <w:ind w:firstLine="720"/>
        <w:rPr>
          <w:sz w:val="28"/>
          <w:szCs w:val="28"/>
        </w:rPr>
      </w:pPr>
      <w:r w:rsidRPr="00C873B4">
        <w:rPr>
          <w:sz w:val="28"/>
          <w:szCs w:val="28"/>
        </w:rPr>
        <w:lastRenderedPageBreak/>
        <w:t xml:space="preserve">In 18:2, we find that the third </w:t>
      </w:r>
      <w:proofErr w:type="gramStart"/>
      <w:r w:rsidRPr="00C873B4">
        <w:rPr>
          <w:sz w:val="28"/>
          <w:szCs w:val="28"/>
        </w:rPr>
        <w:t>class</w:t>
      </w:r>
      <w:proofErr w:type="gramEnd"/>
      <w:r w:rsidRPr="00C873B4">
        <w:rPr>
          <w:sz w:val="28"/>
          <w:szCs w:val="28"/>
        </w:rPr>
        <w:t xml:space="preserve"> of animals that haunt Babylon, the unclean beasts, have been dropped</w:t>
      </w:r>
      <w:r w:rsidR="00330B06" w:rsidRPr="00C873B4">
        <w:rPr>
          <w:sz w:val="28"/>
          <w:szCs w:val="28"/>
        </w:rPr>
        <w:t xml:space="preserve"> in some manuscripts</w:t>
      </w:r>
      <w:r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proofErr w:type="spellStart"/>
      <w:r w:rsidR="00146AD5" w:rsidRPr="00C873B4">
        <w:rPr>
          <w:i/>
          <w:iCs/>
          <w:sz w:val="28"/>
          <w:szCs w:val="28"/>
        </w:rPr>
        <w:t>daimon</w:t>
      </w:r>
      <w:proofErr w:type="spellEnd"/>
      <w:r w:rsidR="00146AD5" w:rsidRPr="00C873B4">
        <w:rPr>
          <w:sz w:val="28"/>
          <w:szCs w:val="28"/>
        </w:rPr>
        <w:t xml:space="preserve"> and </w:t>
      </w:r>
      <w:proofErr w:type="spellStart"/>
      <w:r w:rsidR="00146AD5" w:rsidRPr="00C873B4">
        <w:rPr>
          <w:i/>
          <w:iCs/>
          <w:sz w:val="28"/>
          <w:szCs w:val="28"/>
        </w:rPr>
        <w:t>theria</w:t>
      </w:r>
      <w:proofErr w:type="spellEnd"/>
      <w:r w:rsidR="00146AD5" w:rsidRPr="00C873B4">
        <w:rPr>
          <w:sz w:val="28"/>
          <w:szCs w:val="28"/>
        </w:rPr>
        <w:t xml:space="preserve">. </w:t>
      </w:r>
    </w:p>
    <w:p w14:paraId="70696C20" w14:textId="77777777" w:rsidR="00567E68" w:rsidRPr="00C873B4" w:rsidRDefault="00F46E2B" w:rsidP="00B204B9">
      <w:pPr>
        <w:ind w:firstLine="720"/>
        <w:rPr>
          <w:sz w:val="28"/>
          <w:szCs w:val="28"/>
        </w:rPr>
      </w:pPr>
      <w:r w:rsidRPr="00C873B4">
        <w:rPr>
          <w:sz w:val="28"/>
          <w:szCs w:val="28"/>
        </w:rPr>
        <w:t xml:space="preserve">The variation on 18:3 presents another interesting </w:t>
      </w:r>
      <w:r w:rsidR="004C6E77" w:rsidRPr="00C873B4">
        <w:rPr>
          <w:sz w:val="28"/>
          <w:szCs w:val="28"/>
        </w:rPr>
        <w:t xml:space="preserve">case 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and the text-form John is using. If </w:t>
      </w:r>
      <w:proofErr w:type="spellStart"/>
      <w:r w:rsidR="004C6E77" w:rsidRPr="00C873B4">
        <w:rPr>
          <w:i/>
          <w:iCs/>
          <w:sz w:val="28"/>
          <w:szCs w:val="28"/>
        </w:rPr>
        <w:t>peptokan</w:t>
      </w:r>
      <w:proofErr w:type="spellEnd"/>
      <w:r w:rsidR="004C6E77" w:rsidRPr="00C873B4">
        <w:rPr>
          <w:sz w:val="28"/>
          <w:szCs w:val="28"/>
        </w:rPr>
        <w:t xml:space="preserve"> is accepted, John would seem to be allud</w:t>
      </w:r>
      <w:r w:rsidR="00BE1E3A" w:rsidRPr="00C873B4">
        <w:rPr>
          <w:sz w:val="28"/>
          <w:szCs w:val="28"/>
        </w:rPr>
        <w:t>ing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w:t>
      </w:r>
      <w:proofErr w:type="spellStart"/>
      <w:r w:rsidR="002D69F9" w:rsidRPr="00C873B4">
        <w:rPr>
          <w:sz w:val="28"/>
          <w:szCs w:val="28"/>
        </w:rPr>
        <w:t>Deutero</w:t>
      </w:r>
      <w:proofErr w:type="spellEnd"/>
      <w:r w:rsidR="002D69F9" w:rsidRPr="00C873B4">
        <w:rPr>
          <w:sz w:val="28"/>
          <w:szCs w:val="28"/>
        </w:rPr>
        <w:t xml:space="preserve">-Isaiah’s </w:t>
      </w:r>
      <w:proofErr w:type="spellStart"/>
      <w:r w:rsidR="002D69F9" w:rsidRPr="00C873B4">
        <w:rPr>
          <w:i/>
          <w:iCs/>
          <w:sz w:val="28"/>
          <w:szCs w:val="28"/>
        </w:rPr>
        <w:t>haggolah</w:t>
      </w:r>
      <w:proofErr w:type="spellEnd"/>
      <w:r w:rsidR="002D69F9" w:rsidRPr="00C873B4">
        <w:rPr>
          <w:sz w:val="28"/>
          <w:szCs w:val="28"/>
        </w:rPr>
        <w:t xml:space="preserve"> and </w:t>
      </w:r>
      <w:proofErr w:type="spellStart"/>
      <w:r w:rsidR="002D69F9" w:rsidRPr="00C873B4">
        <w:rPr>
          <w:i/>
          <w:iCs/>
          <w:sz w:val="28"/>
          <w:szCs w:val="28"/>
        </w:rPr>
        <w:t>wegiylu</w:t>
      </w:r>
      <w:proofErr w:type="spellEnd"/>
      <w:r w:rsidR="002D69F9" w:rsidRPr="00C873B4">
        <w:rPr>
          <w:sz w:val="28"/>
          <w:szCs w:val="28"/>
        </w:rPr>
        <w:t xml:space="preserve">. Many commentators have noted that the Septuagint of Isaiah uses </w:t>
      </w:r>
      <w:proofErr w:type="spellStart"/>
      <w:r w:rsidR="002D69F9" w:rsidRPr="00C873B4">
        <w:rPr>
          <w:i/>
          <w:iCs/>
          <w:sz w:val="28"/>
          <w:szCs w:val="28"/>
        </w:rPr>
        <w:t>emporion</w:t>
      </w:r>
      <w:proofErr w:type="spellEnd"/>
      <w:r w:rsidR="002D69F9" w:rsidRPr="00C873B4">
        <w:rPr>
          <w:b/>
          <w:bCs/>
          <w:sz w:val="28"/>
          <w:szCs w:val="28"/>
        </w:rPr>
        <w:t xml:space="preserve"> </w:t>
      </w:r>
      <w:r w:rsidR="002D69F9" w:rsidRPr="00C873B4">
        <w:rPr>
          <w:sz w:val="28"/>
          <w:szCs w:val="28"/>
        </w:rPr>
        <w:t xml:space="preserve">for the Hebrew </w:t>
      </w:r>
      <w:proofErr w:type="spellStart"/>
      <w:r w:rsidR="002D69F9" w:rsidRPr="00C873B4">
        <w:rPr>
          <w:i/>
          <w:iCs/>
          <w:sz w:val="28"/>
          <w:szCs w:val="28"/>
        </w:rPr>
        <w:t>etnan</w:t>
      </w:r>
      <w:proofErr w:type="spellEnd"/>
      <w:r w:rsidR="002D69F9" w:rsidRPr="00C873B4">
        <w:rPr>
          <w:sz w:val="28"/>
          <w:szCs w:val="28"/>
        </w:rPr>
        <w:t xml:space="preserve">, the wages of a prostitute. The kings of the earth committed fornication – </w:t>
      </w:r>
      <w:proofErr w:type="spellStart"/>
      <w:r w:rsidR="002D69F9" w:rsidRPr="00C873B4">
        <w:rPr>
          <w:i/>
          <w:iCs/>
          <w:sz w:val="28"/>
          <w:szCs w:val="28"/>
        </w:rPr>
        <w:t>eporneusan</w:t>
      </w:r>
      <w:proofErr w:type="spellEnd"/>
      <w:r w:rsidR="002D69F9" w:rsidRPr="00C873B4">
        <w:rPr>
          <w:i/>
          <w:iCs/>
          <w:sz w:val="28"/>
          <w:szCs w:val="28"/>
        </w:rPr>
        <w:t xml:space="preserve">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proofErr w:type="spellStart"/>
      <w:r w:rsidR="002D69F9" w:rsidRPr="00C873B4">
        <w:rPr>
          <w:i/>
          <w:iCs/>
          <w:sz w:val="28"/>
          <w:szCs w:val="28"/>
        </w:rPr>
        <w:t>pino</w:t>
      </w:r>
      <w:proofErr w:type="spellEnd"/>
      <w:r w:rsidR="002D69F9" w:rsidRPr="00C873B4">
        <w:rPr>
          <w:sz w:val="28"/>
          <w:szCs w:val="28"/>
        </w:rPr>
        <w:t xml:space="preserve"> instead of </w:t>
      </w:r>
      <w:proofErr w:type="spellStart"/>
      <w:r w:rsidR="002D69F9" w:rsidRPr="00C873B4">
        <w:rPr>
          <w:i/>
          <w:iCs/>
          <w:sz w:val="28"/>
          <w:szCs w:val="28"/>
        </w:rPr>
        <w:lastRenderedPageBreak/>
        <w:t>methusko</w:t>
      </w:r>
      <w:proofErr w:type="spellEnd"/>
      <w:r w:rsidR="002D69F9" w:rsidRPr="00C873B4">
        <w:rPr>
          <w:b/>
          <w:bCs/>
          <w:sz w:val="28"/>
          <w:szCs w:val="28"/>
        </w:rPr>
        <w:t xml:space="preserve"> </w:t>
      </w:r>
      <w:r w:rsidR="002D69F9" w:rsidRPr="00C873B4">
        <w:rPr>
          <w:sz w:val="28"/>
          <w:szCs w:val="28"/>
        </w:rPr>
        <w:t xml:space="preserve">for the aural similarities between </w:t>
      </w:r>
      <w:proofErr w:type="spellStart"/>
      <w:r w:rsidR="002D69F9" w:rsidRPr="00C873B4">
        <w:rPr>
          <w:i/>
          <w:iCs/>
          <w:sz w:val="28"/>
          <w:szCs w:val="28"/>
        </w:rPr>
        <w:t>pepokan</w:t>
      </w:r>
      <w:proofErr w:type="spellEnd"/>
      <w:r w:rsidR="002D69F9" w:rsidRPr="00C873B4">
        <w:rPr>
          <w:i/>
          <w:iCs/>
          <w:sz w:val="28"/>
          <w:szCs w:val="28"/>
        </w:rPr>
        <w:t xml:space="preserve"> </w:t>
      </w:r>
      <w:r w:rsidR="002D69F9" w:rsidRPr="00C873B4">
        <w:rPr>
          <w:sz w:val="28"/>
          <w:szCs w:val="28"/>
        </w:rPr>
        <w:t xml:space="preserve">and </w:t>
      </w:r>
      <w:proofErr w:type="spellStart"/>
      <w:r w:rsidR="002D69F9" w:rsidRPr="00C873B4">
        <w:rPr>
          <w:i/>
          <w:iCs/>
          <w:sz w:val="28"/>
          <w:szCs w:val="28"/>
        </w:rPr>
        <w:t>peptokan</w:t>
      </w:r>
      <w:proofErr w:type="spellEnd"/>
      <w:r w:rsidR="002D69F9" w:rsidRPr="00C873B4">
        <w:rPr>
          <w:sz w:val="28"/>
          <w:szCs w:val="28"/>
        </w:rPr>
        <w:t>.</w:t>
      </w:r>
      <w:r w:rsidR="000E4051" w:rsidRPr="00C873B4">
        <w:rPr>
          <w:rStyle w:val="FootnoteReference"/>
          <w:sz w:val="28"/>
          <w:szCs w:val="28"/>
        </w:rPr>
        <w:footnoteReference w:id="20"/>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7777777" w:rsidR="007226C6" w:rsidRPr="00C873B4" w:rsidRDefault="00B204B9" w:rsidP="00B204B9">
      <w:pPr>
        <w:ind w:firstLine="720"/>
        <w:rPr>
          <w:sz w:val="28"/>
          <w:szCs w:val="28"/>
        </w:rPr>
      </w:pPr>
      <w:r w:rsidRPr="00C873B4">
        <w:rPr>
          <w:sz w:val="28"/>
          <w:szCs w:val="28"/>
        </w:rPr>
        <w:t xml:space="preserve">Taken as a unit, Revelation 17 and 18 proclaim the coming destruction of Rome through an appeal to prophetic antecedents. </w:t>
      </w:r>
      <w:r w:rsidR="00B11D8F" w:rsidRPr="00C873B4">
        <w:rPr>
          <w:sz w:val="28"/>
          <w:szCs w:val="28"/>
        </w:rPr>
        <w:t xml:space="preserve">Having explored Revelation’s proclamation of Babylon’s demise through a recollection of </w:t>
      </w:r>
      <w:r w:rsidR="00C17610" w:rsidRPr="00C873B4">
        <w:rPr>
          <w:sz w:val="28"/>
          <w:szCs w:val="28"/>
        </w:rPr>
        <w:t>the Lord’s</w:t>
      </w:r>
      <w:r w:rsidR="00B11D8F" w:rsidRPr="00C873B4">
        <w:rPr>
          <w:sz w:val="28"/>
          <w:szCs w:val="28"/>
        </w:rPr>
        <w:t xml:space="preserve"> judgment against the great empires, let us consider the restoration of </w:t>
      </w:r>
      <w:r w:rsidR="00C17610" w:rsidRPr="00C873B4">
        <w:rPr>
          <w:sz w:val="28"/>
          <w:szCs w:val="28"/>
        </w:rPr>
        <w:t>the holy</w:t>
      </w:r>
      <w:r w:rsidR="00B11D8F" w:rsidRPr="00C873B4">
        <w:rPr>
          <w:sz w:val="28"/>
          <w:szCs w:val="28"/>
        </w:rPr>
        <w:t xml:space="preserve"> city in Revelation 21-22. The imagery for the renewal of creation </w:t>
      </w:r>
      <w:r w:rsidR="00385A7C" w:rsidRPr="00C873B4">
        <w:rPr>
          <w:sz w:val="28"/>
          <w:szCs w:val="28"/>
        </w:rPr>
        <w:t>(the New Heaven and the New Earth)</w:t>
      </w:r>
      <w:r w:rsidR="00385A7C" w:rsidRPr="00C873B4">
        <w:rPr>
          <w:rStyle w:val="FootnoteReference"/>
          <w:sz w:val="28"/>
          <w:szCs w:val="28"/>
        </w:rPr>
        <w:footnoteReference w:id="21"/>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B11D8F" w:rsidRPr="00C873B4">
        <w:rPr>
          <w:sz w:val="28"/>
          <w:szCs w:val="28"/>
        </w:rPr>
        <w:t xml:space="preserve">Jerusalem are </w:t>
      </w:r>
      <w:r w:rsidR="00B11D8F" w:rsidRPr="00C873B4">
        <w:rPr>
          <w:sz w:val="28"/>
          <w:szCs w:val="28"/>
        </w:rPr>
        <w:lastRenderedPageBreak/>
        <w:t xml:space="preserve">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city reverses the decadence </w:t>
      </w:r>
      <w:r w:rsidR="00C17610" w:rsidRPr="00C873B4">
        <w:rPr>
          <w:sz w:val="28"/>
          <w:szCs w:val="28"/>
        </w:rPr>
        <w:t>of the Whorish city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22"/>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proofErr w:type="spellStart"/>
      <w:r w:rsidR="005C5470" w:rsidRPr="00C873B4">
        <w:rPr>
          <w:sz w:val="28"/>
          <w:szCs w:val="28"/>
        </w:rPr>
        <w:t>metropole</w:t>
      </w:r>
      <w:proofErr w:type="spellEnd"/>
      <w:r w:rsidR="005C5470" w:rsidRPr="00C873B4">
        <w:rPr>
          <w:sz w:val="28"/>
          <w:szCs w:val="28"/>
        </w:rPr>
        <w:t>.</w:t>
      </w:r>
      <w:r w:rsidR="005C5470" w:rsidRPr="00C873B4">
        <w:rPr>
          <w:rStyle w:val="FootnoteReference"/>
          <w:sz w:val="28"/>
          <w:szCs w:val="28"/>
        </w:rPr>
        <w:footnoteReference w:id="23"/>
      </w:r>
      <w:r w:rsidR="005C5470" w:rsidRPr="00C873B4">
        <w:rPr>
          <w:sz w:val="28"/>
          <w:szCs w:val="28"/>
        </w:rPr>
        <w:t xml:space="preserve"> </w:t>
      </w:r>
    </w:p>
    <w:p w14:paraId="1A303962" w14:textId="77777777" w:rsidR="00F13161" w:rsidRPr="00C873B4" w:rsidRDefault="006B2762" w:rsidP="00FD3F40">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the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heavenly throne room of </w:t>
      </w:r>
      <w:r w:rsidR="00FD3F40" w:rsidRPr="00C873B4">
        <w:rPr>
          <w:sz w:val="28"/>
          <w:szCs w:val="28"/>
        </w:rPr>
        <w:lastRenderedPageBreak/>
        <w:t>Revelation 4-5 and repeated throughout the book by chorus</w:t>
      </w:r>
      <w:r w:rsidR="00410E66" w:rsidRPr="00C873B4">
        <w:rPr>
          <w:sz w:val="28"/>
          <w:szCs w:val="28"/>
        </w:rPr>
        <w:t>: “The Empire of this World is now the Empire of our God and of his Christ. And he shall reign forever and ever.”</w:t>
      </w:r>
    </w:p>
    <w:p w14:paraId="47162DE2" w14:textId="60D9AAF9"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4"/>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Babylon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God’s dominion through the death on the Cross</w:t>
      </w:r>
      <w:r w:rsidR="00134138" w:rsidRPr="00C873B4">
        <w:rPr>
          <w:sz w:val="28"/>
          <w:szCs w:val="28"/>
        </w:rPr>
        <w:t xml:space="preserve">. </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162F0089" w14:textId="00DB0447" w:rsidR="00C111ED" w:rsidRPr="00C873B4" w:rsidRDefault="009134F4" w:rsidP="00194BCD">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p>
    <w:p w14:paraId="68D2FA59" w14:textId="77777777" w:rsidR="00194BCD" w:rsidRPr="00C873B4" w:rsidRDefault="00194BCD" w:rsidP="00194BCD">
      <w:pPr>
        <w:ind w:firstLine="720"/>
        <w:rPr>
          <w:sz w:val="28"/>
          <w:szCs w:val="28"/>
        </w:rPr>
      </w:pPr>
    </w:p>
    <w:p w14:paraId="6D3FB709" w14:textId="405DCAA8" w:rsidR="00194BCD" w:rsidRPr="00C873B4" w:rsidRDefault="00194BCD" w:rsidP="00194BCD">
      <w:pPr>
        <w:ind w:firstLine="720"/>
        <w:rPr>
          <w:sz w:val="28"/>
          <w:szCs w:val="28"/>
        </w:rPr>
      </w:pPr>
      <w:r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13T22:34:00Z" w:initials="CTF">
    <w:p w14:paraId="33B0DB02" w14:textId="6B35BA18" w:rsidR="00F436A4" w:rsidRDefault="00F436A4">
      <w:pPr>
        <w:pStyle w:val="CommentText"/>
      </w:pPr>
      <w:r>
        <w:rPr>
          <w:rStyle w:val="CommentReference"/>
        </w:rPr>
        <w:annotationRef/>
      </w:r>
      <w:r>
        <w:t>8:30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56CCA" w14:textId="77777777" w:rsidR="00885F7F" w:rsidRDefault="00885F7F" w:rsidP="002C7240">
      <w:pPr>
        <w:spacing w:line="240" w:lineRule="auto"/>
      </w:pPr>
      <w:r>
        <w:separator/>
      </w:r>
    </w:p>
  </w:endnote>
  <w:endnote w:type="continuationSeparator" w:id="0">
    <w:p w14:paraId="1CE45AD6" w14:textId="77777777" w:rsidR="00885F7F" w:rsidRDefault="00885F7F" w:rsidP="002C7240">
      <w:pPr>
        <w:spacing w:line="240" w:lineRule="auto"/>
      </w:pPr>
      <w:r>
        <w:continuationSeparator/>
      </w:r>
    </w:p>
  </w:endnote>
  <w:endnote w:type="continuationNotice" w:id="1">
    <w:p w14:paraId="0EC02993" w14:textId="77777777" w:rsidR="00885F7F" w:rsidRDefault="00885F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F436A4">
          <w:rPr>
            <w:noProof/>
          </w:rPr>
          <w:t>9</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1CCE8" w14:textId="77777777" w:rsidR="00885F7F" w:rsidRDefault="00885F7F" w:rsidP="002C7240">
      <w:pPr>
        <w:spacing w:line="240" w:lineRule="auto"/>
      </w:pPr>
      <w:r>
        <w:separator/>
      </w:r>
    </w:p>
  </w:footnote>
  <w:footnote w:type="continuationSeparator" w:id="0">
    <w:p w14:paraId="3E43451C" w14:textId="77777777" w:rsidR="00885F7F" w:rsidRDefault="00885F7F" w:rsidP="002C7240">
      <w:pPr>
        <w:spacing w:line="240" w:lineRule="auto"/>
      </w:pPr>
      <w:r>
        <w:continuationSeparator/>
      </w:r>
    </w:p>
  </w:footnote>
  <w:footnote w:type="continuationNotice" w:id="1">
    <w:p w14:paraId="011EDE60" w14:textId="77777777" w:rsidR="00885F7F" w:rsidRDefault="00885F7F">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rsidRPr="00B10511">
        <w:rPr>
          <w:rFonts w:cs="Times New Roman"/>
        </w:rPr>
        <w:fldChar w:fldCharType="separate"/>
      </w:r>
      <w:r w:rsidRPr="00B10511">
        <w:rPr>
          <w:rFonts w:cs="Times New Roman"/>
          <w:szCs w:val="24"/>
        </w:rPr>
        <w:t xml:space="preserve">Henry B. Swete, </w:t>
      </w:r>
      <w:r w:rsidRPr="00B10511">
        <w:rPr>
          <w:rFonts w:cs="Times New Roman"/>
          <w:i/>
          <w:iCs/>
          <w:szCs w:val="24"/>
        </w:rPr>
        <w:t>The Apocalypse of St. John</w:t>
      </w:r>
      <w:r w:rsidRPr="00B10511">
        <w:rPr>
          <w:rFonts w:cs="Times New Roman"/>
          <w:szCs w:val="24"/>
        </w:rPr>
        <w:t xml:space="preserve"> (3rd ed.; London ; New York: Macmillan, 1909).</w:t>
      </w:r>
      <w:r w:rsidRPr="00B10511">
        <w:rPr>
          <w:rFonts w:cs="Times New Roman"/>
        </w:rPr>
        <w:fldChar w:fldCharType="end"/>
      </w:r>
    </w:p>
  </w:footnote>
  <w:footnote w:id="13">
    <w:p w14:paraId="37A54E0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rsidRPr="00B10511">
        <w:rPr>
          <w:rFonts w:cs="Times New Roman"/>
        </w:rPr>
        <w:fldChar w:fldCharType="separate"/>
      </w:r>
      <w:r w:rsidRPr="00B10511">
        <w:rPr>
          <w:rFonts w:cs="Times New Roman"/>
          <w:szCs w:val="24"/>
        </w:rPr>
        <w:t xml:space="preserve">R. H Charles, </w:t>
      </w:r>
      <w:r w:rsidRPr="00B10511">
        <w:rPr>
          <w:rFonts w:cs="Times New Roman"/>
          <w:i/>
          <w:iCs/>
          <w:szCs w:val="24"/>
        </w:rPr>
        <w:t>A Critical and Exegetical Commentary on the Revelation of St. John</w:t>
      </w:r>
      <w:r w:rsidRPr="00B10511">
        <w:rPr>
          <w:rFonts w:cs="Times New Roman"/>
          <w:szCs w:val="24"/>
        </w:rPr>
        <w:t xml:space="preserve"> (2 vols.; ICC 44; Edinburgh: T. &amp; T. Clark, 1920).</w:t>
      </w:r>
      <w:r w:rsidRPr="00B10511">
        <w:rPr>
          <w:rFonts w:cs="Times New Roman"/>
        </w:rPr>
        <w:fldChar w:fldCharType="end"/>
      </w:r>
    </w:p>
  </w:footnote>
  <w:footnote w:id="14">
    <w:p w14:paraId="5BAFEE2F"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rsidRPr="00B10511">
        <w:rPr>
          <w:rFonts w:cs="Times New Roman"/>
        </w:rPr>
        <w:fldChar w:fldCharType="separate"/>
      </w:r>
      <w:r w:rsidRPr="00B10511">
        <w:rPr>
          <w:rFonts w:cs="Times New Roman"/>
          <w:szCs w:val="24"/>
        </w:rPr>
        <w:t xml:space="preserve">David E. Aune, </w:t>
      </w:r>
      <w:r w:rsidRPr="00B10511">
        <w:rPr>
          <w:rFonts w:cs="Times New Roman"/>
          <w:i/>
          <w:iCs/>
          <w:szCs w:val="24"/>
        </w:rPr>
        <w:t>Revelation</w:t>
      </w:r>
      <w:r w:rsidRPr="00B10511">
        <w:rPr>
          <w:rFonts w:cs="Times New Roman"/>
          <w:szCs w:val="24"/>
        </w:rPr>
        <w:t xml:space="preserve"> (3 vols.; WBC 52A-C; Nashville: Thomas Nelson, 1997).</w:t>
      </w:r>
      <w:r w:rsidRPr="00B10511">
        <w:rPr>
          <w:rFonts w:cs="Times New Roman"/>
        </w:rPr>
        <w:fldChar w:fldCharType="end"/>
      </w:r>
    </w:p>
  </w:footnote>
  <w:footnote w:id="15">
    <w:p w14:paraId="07517A63" w14:textId="77777777" w:rsidR="00F748B7" w:rsidRPr="00B10511" w:rsidRDefault="00F748B7" w:rsidP="00A85BE8">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w:t>
      </w:r>
      <w:r w:rsidRPr="00B10511">
        <w:rPr>
          <w:rFonts w:cs="Times New Roman"/>
          <w:i/>
          <w:iCs/>
          <w:szCs w:val="24"/>
        </w:rPr>
        <w:t>The Book of Revelation: A Commentary on the Greek Text</w:t>
      </w:r>
      <w:r w:rsidRPr="00B10511">
        <w:rPr>
          <w:rFonts w:cs="Times New Roman"/>
          <w:szCs w:val="24"/>
        </w:rPr>
        <w:t xml:space="preserve"> (NIGTC; Grand Rapids, Mich.: Eerdmans, 1999).</w:t>
      </w:r>
      <w:r w:rsidRPr="00B10511">
        <w:rPr>
          <w:rFonts w:cs="Times New Roman"/>
        </w:rPr>
        <w:fldChar w:fldCharType="end"/>
      </w:r>
    </w:p>
  </w:footnote>
  <w:footnote w:id="16">
    <w:p w14:paraId="5BD0DE5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Pr="00B10511">
        <w:rPr>
          <w:rFonts w:cs="Times New Roman"/>
          <w:szCs w:val="24"/>
        </w:rPr>
        <w:t xml:space="preserve">Craig R. Koester, </w:t>
      </w:r>
      <w:r w:rsidRPr="00B10511">
        <w:rPr>
          <w:rFonts w:cs="Times New Roman"/>
          <w:i/>
          <w:iCs/>
          <w:szCs w:val="24"/>
        </w:rPr>
        <w:t>Revelation: A New Translation with Introduction and Commentary</w:t>
      </w:r>
      <w:r w:rsidRPr="00B10511">
        <w:rPr>
          <w:rFonts w:cs="Times New Roman"/>
          <w:szCs w:val="24"/>
        </w:rPr>
        <w:t xml:space="preserve"> (New Haven: Yale University Press, 2014).</w:t>
      </w:r>
      <w:r w:rsidRPr="00B10511">
        <w:rPr>
          <w:rFonts w:cs="Times New Roman"/>
        </w:rPr>
        <w:fldChar w:fldCharType="end"/>
      </w:r>
    </w:p>
  </w:footnote>
  <w:footnote w:id="17">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8">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9">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20">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 xml:space="preserve">(both in </w:t>
      </w:r>
      <w:proofErr w:type="spellStart"/>
      <w:r w:rsidR="00987897">
        <w:rPr>
          <w:rFonts w:cs="Times New Roman"/>
        </w:rPr>
        <w:t>Jeremaih</w:t>
      </w:r>
      <w:proofErr w:type="spellEnd"/>
      <w:r w:rsidR="00987897">
        <w:rPr>
          <w:rFonts w:cs="Times New Roman"/>
        </w:rPr>
        <w:t xml:space="preserve"> 29//Isaiah</w:t>
      </w:r>
      <w:r w:rsidR="00DD4BAA" w:rsidRPr="00B10511">
        <w:rPr>
          <w:rFonts w:cs="Times New Roman"/>
        </w:rPr>
        <w:t xml:space="preserve"> 65 and in the </w:t>
      </w:r>
      <w:proofErr w:type="spellStart"/>
      <w:r w:rsidR="00DD4BAA" w:rsidRPr="00B10511">
        <w:rPr>
          <w:rFonts w:cs="Times New Roman"/>
          <w:i/>
          <w:iCs/>
        </w:rPr>
        <w:t>pesharim</w:t>
      </w:r>
      <w:proofErr w:type="spellEnd"/>
      <w:r w:rsidR="00DD4BAA" w:rsidRPr="00B10511">
        <w:rPr>
          <w:rFonts w:cs="Times New Roman"/>
        </w:rPr>
        <w:t xml:space="preserve">). </w:t>
      </w:r>
    </w:p>
  </w:footnote>
  <w:footnote w:id="21">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22">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23">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4">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15E6"/>
    <w:rsid w:val="0022008B"/>
    <w:rsid w:val="00224917"/>
    <w:rsid w:val="00231344"/>
    <w:rsid w:val="00263457"/>
    <w:rsid w:val="00267BF5"/>
    <w:rsid w:val="00274C15"/>
    <w:rsid w:val="00286375"/>
    <w:rsid w:val="0028740C"/>
    <w:rsid w:val="00291493"/>
    <w:rsid w:val="002A0400"/>
    <w:rsid w:val="002A5206"/>
    <w:rsid w:val="002C7240"/>
    <w:rsid w:val="002D2BFF"/>
    <w:rsid w:val="002D4CFF"/>
    <w:rsid w:val="002D69F9"/>
    <w:rsid w:val="002D6DBF"/>
    <w:rsid w:val="002D7E4C"/>
    <w:rsid w:val="002D7FE7"/>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76C9"/>
    <w:rsid w:val="004A0667"/>
    <w:rsid w:val="004A230D"/>
    <w:rsid w:val="004B09B4"/>
    <w:rsid w:val="004B0BAD"/>
    <w:rsid w:val="004B5809"/>
    <w:rsid w:val="004C3800"/>
    <w:rsid w:val="004C6E77"/>
    <w:rsid w:val="004E3ABC"/>
    <w:rsid w:val="004F2677"/>
    <w:rsid w:val="0050197D"/>
    <w:rsid w:val="00504E29"/>
    <w:rsid w:val="00511885"/>
    <w:rsid w:val="0053680C"/>
    <w:rsid w:val="00536912"/>
    <w:rsid w:val="005569DF"/>
    <w:rsid w:val="00560ADB"/>
    <w:rsid w:val="00567E68"/>
    <w:rsid w:val="00571C51"/>
    <w:rsid w:val="0057590C"/>
    <w:rsid w:val="00583C09"/>
    <w:rsid w:val="0058477D"/>
    <w:rsid w:val="005A3CD1"/>
    <w:rsid w:val="005A3DD0"/>
    <w:rsid w:val="005B785D"/>
    <w:rsid w:val="005C5470"/>
    <w:rsid w:val="005D7130"/>
    <w:rsid w:val="005E5B41"/>
    <w:rsid w:val="005F389D"/>
    <w:rsid w:val="00611876"/>
    <w:rsid w:val="006128BC"/>
    <w:rsid w:val="00622A66"/>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404C"/>
    <w:rsid w:val="007C164D"/>
    <w:rsid w:val="007E1BEB"/>
    <w:rsid w:val="007F63ED"/>
    <w:rsid w:val="00801749"/>
    <w:rsid w:val="0080448B"/>
    <w:rsid w:val="00807154"/>
    <w:rsid w:val="00811EC4"/>
    <w:rsid w:val="00821846"/>
    <w:rsid w:val="008328EE"/>
    <w:rsid w:val="00853D83"/>
    <w:rsid w:val="0085447B"/>
    <w:rsid w:val="00854689"/>
    <w:rsid w:val="0086771D"/>
    <w:rsid w:val="00870ED0"/>
    <w:rsid w:val="008711CE"/>
    <w:rsid w:val="008726C5"/>
    <w:rsid w:val="00873287"/>
    <w:rsid w:val="00885F7F"/>
    <w:rsid w:val="00886B56"/>
    <w:rsid w:val="00886CCA"/>
    <w:rsid w:val="00890084"/>
    <w:rsid w:val="008942F6"/>
    <w:rsid w:val="008B4787"/>
    <w:rsid w:val="008B5CB3"/>
    <w:rsid w:val="008C6AAE"/>
    <w:rsid w:val="008D2C85"/>
    <w:rsid w:val="008D3498"/>
    <w:rsid w:val="008E7A3A"/>
    <w:rsid w:val="008F0AE6"/>
    <w:rsid w:val="008F2291"/>
    <w:rsid w:val="008F4263"/>
    <w:rsid w:val="008F4969"/>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D0C4F"/>
    <w:rsid w:val="009D38B0"/>
    <w:rsid w:val="009D657D"/>
    <w:rsid w:val="009F0B84"/>
    <w:rsid w:val="00A00D12"/>
    <w:rsid w:val="00A0114B"/>
    <w:rsid w:val="00A02CD3"/>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10511"/>
    <w:rsid w:val="00B109C4"/>
    <w:rsid w:val="00B11D8F"/>
    <w:rsid w:val="00B1201A"/>
    <w:rsid w:val="00B204B9"/>
    <w:rsid w:val="00B35A0E"/>
    <w:rsid w:val="00B461B8"/>
    <w:rsid w:val="00B46A31"/>
    <w:rsid w:val="00B6457E"/>
    <w:rsid w:val="00B8134E"/>
    <w:rsid w:val="00B855B2"/>
    <w:rsid w:val="00B86D4C"/>
    <w:rsid w:val="00B903C1"/>
    <w:rsid w:val="00BA49D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771A"/>
    <w:rsid w:val="00C873B4"/>
    <w:rsid w:val="00CA14AE"/>
    <w:rsid w:val="00CB261F"/>
    <w:rsid w:val="00CC5FA6"/>
    <w:rsid w:val="00CC714C"/>
    <w:rsid w:val="00CD7FE4"/>
    <w:rsid w:val="00CE45EC"/>
    <w:rsid w:val="00CE55A8"/>
    <w:rsid w:val="00D071A8"/>
    <w:rsid w:val="00D156B3"/>
    <w:rsid w:val="00D15BD1"/>
    <w:rsid w:val="00D2623C"/>
    <w:rsid w:val="00D37EC7"/>
    <w:rsid w:val="00D51769"/>
    <w:rsid w:val="00D55AB6"/>
    <w:rsid w:val="00D67F6D"/>
    <w:rsid w:val="00D722EB"/>
    <w:rsid w:val="00D7301C"/>
    <w:rsid w:val="00D96C4B"/>
    <w:rsid w:val="00DA105C"/>
    <w:rsid w:val="00DB18E4"/>
    <w:rsid w:val="00DC1896"/>
    <w:rsid w:val="00DC6395"/>
    <w:rsid w:val="00DC7B76"/>
    <w:rsid w:val="00DD02EA"/>
    <w:rsid w:val="00DD4BAA"/>
    <w:rsid w:val="00DE48BE"/>
    <w:rsid w:val="00DF2EE6"/>
    <w:rsid w:val="00E121FC"/>
    <w:rsid w:val="00E12977"/>
    <w:rsid w:val="00E16B7B"/>
    <w:rsid w:val="00E30461"/>
    <w:rsid w:val="00E50ED5"/>
    <w:rsid w:val="00E534E2"/>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C4C8-4850-43A2-84C5-8192D0CD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19</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6</cp:revision>
  <cp:lastPrinted>2014-11-12T01:50:00Z</cp:lastPrinted>
  <dcterms:created xsi:type="dcterms:W3CDTF">2014-11-11T18:33:00Z</dcterms:created>
  <dcterms:modified xsi:type="dcterms:W3CDTF">2014-11-14T03:35:00Z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