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bookmarkStart w:id="0" w:name="_GoBack"/>
      <w:bookmarkEnd w:id="0"/>
      <w:r>
        <w:rPr>
          <w:i/>
          <w:iCs/>
        </w:rPr>
        <w:t xml:space="preserve">This paper will be presented in a session sponsored by the </w:t>
      </w:r>
      <w:r w:rsidRPr="006C4D21">
        <w:rPr>
          <w:i/>
          <w:iCs/>
        </w:rPr>
        <w:t xml:space="preserve">SBL Digital Humanities in Biblical, Early </w:t>
      </w:r>
      <w:proofErr w:type="gramStart"/>
      <w:r w:rsidRPr="006C4D21">
        <w:rPr>
          <w:i/>
          <w:iCs/>
        </w:rPr>
        <w:t>Jewish,</w:t>
      </w:r>
      <w:proofErr w:type="gramEnd"/>
      <w:r w:rsidRPr="006C4D21">
        <w:rPr>
          <w:i/>
          <w:iCs/>
        </w:rPr>
        <w:t xml:space="preserve">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2D4CFF" w:rsidRDefault="00F13A12" w:rsidP="003E4B80">
      <w:pPr>
        <w:rPr>
          <w:i/>
          <w:iCs/>
        </w:rPr>
      </w:pPr>
      <w:r>
        <w:rPr>
          <w:i/>
          <w:iCs/>
        </w:rPr>
        <w:tab/>
        <w:t>To facilitate your reading of this paper, you may want to follow along with the “slides</w:t>
      </w:r>
      <w:r w:rsidR="008B4787">
        <w:rPr>
          <w:i/>
          <w:iCs/>
        </w:rPr>
        <w:t>.</w:t>
      </w:r>
      <w:r>
        <w:rPr>
          <w:i/>
          <w:iCs/>
        </w:rPr>
        <w:t xml:space="preserve">” </w:t>
      </w:r>
      <w:r w:rsidR="008B4787">
        <w:rPr>
          <w:i/>
          <w:iCs/>
        </w:rPr>
        <w:t xml:space="preserve">To get material disseminated more quickly, the </w:t>
      </w:r>
      <w:proofErr w:type="spellStart"/>
      <w:proofErr w:type="gramStart"/>
      <w:r w:rsidR="008B4787">
        <w:rPr>
          <w:i/>
          <w:iCs/>
        </w:rPr>
        <w:t>powerpoint</w:t>
      </w:r>
      <w:proofErr w:type="spellEnd"/>
      <w:proofErr w:type="gramEnd"/>
      <w:r w:rsidR="008B4787">
        <w:rPr>
          <w:i/>
          <w:iCs/>
        </w:rPr>
        <w:t xml:space="preserve"> will take your through the first few pages before the URL is needed (these slides will be posted in the html eventually). </w:t>
      </w:r>
      <w:r>
        <w:rPr>
          <w:i/>
          <w:iCs/>
        </w:rPr>
        <w:t xml:space="preserve">Please visit </w:t>
      </w:r>
      <w:hyperlink r:id="rId9" w:history="1">
        <w:r w:rsidRPr="007920EE">
          <w:rPr>
            <w:rStyle w:val="Hyperlink"/>
            <w:i/>
            <w:iCs/>
          </w:rPr>
          <w:t>http://tinyurl.com/ApocalypseAndEmpire</w:t>
        </w:r>
      </w:hyperlink>
      <w:r>
        <w:rPr>
          <w:i/>
          <w:iCs/>
        </w:rPr>
        <w:t xml:space="preserve"> to start.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3E4B80">
      <w:r>
        <w:t>Good afternoon: Given the nature of my paper, I would encourage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1B6914">
      <w:pPr>
        <w:ind w:firstLine="720"/>
      </w:pPr>
      <w:r>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w:t>
      </w:r>
      <w:r w:rsidR="00712E7F">
        <w:lastRenderedPageBreak/>
        <w:t>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John’s </w:t>
      </w:r>
      <w:r w:rsidR="00712E7F">
        <w:t>use</w:t>
      </w:r>
      <w:r>
        <w:t xml:space="preserve"> of prophetic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physical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Since none of the prophets left behind a handbook explaining how they would reference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684C9D">
        <w:t xml:space="preserve">Joel 3:16 repeats the same phrase from Amos: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either through extended verbal parallels (as in Jeremiah 29 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proofErr w:type="spellStart"/>
      <w:r w:rsidR="00043A08" w:rsidRPr="00444727">
        <w:rPr>
          <w:i/>
          <w:iCs/>
        </w:rPr>
        <w:t>haggolah</w:t>
      </w:r>
      <w:proofErr w:type="spellEnd"/>
      <w:r w:rsidR="00043A08">
        <w:t xml:space="preserve"> (the exiles) and </w:t>
      </w:r>
      <w:proofErr w:type="spellStart"/>
      <w:r w:rsidR="00043A08" w:rsidRPr="00444727">
        <w:rPr>
          <w:i/>
          <w:iCs/>
        </w:rPr>
        <w:t>wegiylu</w:t>
      </w:r>
      <w:proofErr w:type="spellEnd"/>
      <w:r w:rsidR="00043A08">
        <w:t xml:space="preserve"> </w:t>
      </w:r>
      <w:r w:rsidR="00043A08">
        <w:lastRenderedPageBreak/>
        <w:t xml:space="preserve">(rejoice), though the secondary interplay of building houses and dwelling in them remains.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3D2F65">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similar themes and motifs all suggest intentionality on the author’s part; allusions are a sort of shibboleth to sort the sophisticated reader from the naïve.</w:t>
      </w:r>
      <w:r w:rsidR="005A3DD0">
        <w:rPr>
          <w:rStyle w:val="FootnoteReference"/>
        </w:rPr>
        <w:footnoteReference w:id="5"/>
      </w:r>
      <w:r w:rsidR="005A3DD0">
        <w:t xml:space="preserve"> </w:t>
      </w:r>
      <w:r w:rsidR="00886CCA">
        <w:t xml:space="preserve">One </w:t>
      </w:r>
      <w:r w:rsidR="008328EE">
        <w:t>concern</w:t>
      </w:r>
      <w:r w:rsidR="00886CCA">
        <w:t xml:space="preserve"> is literary </w:t>
      </w:r>
      <w:r w:rsidR="00291493">
        <w:t>dependency</w:t>
      </w:r>
      <w:r w:rsidR="0043751A">
        <w:t xml:space="preserve">: who is borrowing from whom? </w:t>
      </w:r>
      <w:r w:rsidR="00C13F6C">
        <w:t xml:space="preserve">Was </w:t>
      </w:r>
      <w:proofErr w:type="spellStart"/>
      <w:r w:rsidR="00C13F6C">
        <w:t>Deutero</w:t>
      </w:r>
      <w:proofErr w:type="spellEnd"/>
      <w:r w:rsidR="00C13F6C">
        <w:t xml:space="preserve">-Isaiah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dependency is obviously less crucial in Revelation, but we lack the markers of citation familiar </w:t>
      </w:r>
      <w:r w:rsidR="00C3111D">
        <w:t xml:space="preserve">to us from John’s contemporaries;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06190B" w:rsidRDefault="00B903C1" w:rsidP="009F0B84">
      <w:pPr>
        <w:ind w:firstLine="720"/>
      </w:pPr>
      <w:r>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w:t>
      </w:r>
      <w:r w:rsidR="00C13F6C">
        <w:lastRenderedPageBreak/>
        <w:t>both the Septuagint and Masoretic Text.</w:t>
      </w:r>
      <w:r w:rsidR="00326726">
        <w:rPr>
          <w:rStyle w:val="FootnoteReference"/>
        </w:rPr>
        <w:footnoteReference w:id="8"/>
      </w:r>
      <w:r w:rsidR="00975A75" w:rsidRPr="00975A75">
        <w:t xml:space="preserve"> </w:t>
      </w:r>
      <w:r w:rsidR="00975A75">
        <w:t xml:space="preserve">Furthermore, John’s allusions are </w:t>
      </w:r>
      <w:r w:rsidR="00F03705">
        <w:t xml:space="preserve">frequently </w:t>
      </w:r>
      <w:r w:rsidR="00975A75">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ever-flowing stream</w:t>
      </w:r>
      <w:r w:rsidR="005E5B41">
        <w:t xml:space="preserve"> flooding the reader.</w:t>
      </w:r>
      <w:r w:rsidR="0006190B">
        <w:t xml:space="preserve"> </w:t>
      </w:r>
    </w:p>
    <w:p w:rsidR="003767F5" w:rsidRDefault="00961D64" w:rsidP="0006190B">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divergent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proofErr w:type="gramStart"/>
      <w:r w:rsidR="003330EC">
        <w:t>B</w:t>
      </w:r>
      <w:r w:rsidR="0006190B">
        <w:t>roadly</w:t>
      </w:r>
      <w:proofErr w:type="gramEnd"/>
      <w:r w:rsidR="0006190B">
        <w:t xml:space="preserve">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3E4B80">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611876">
        <w:t>The pdf edition</w:t>
      </w:r>
      <w:r w:rsidR="006128BC">
        <w:t xml:space="preserve"> of the SBL Greek New Testament and 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lastRenderedPageBreak/>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w:t>
      </w:r>
      <w:proofErr w:type="spellStart"/>
      <w:r w:rsidR="009B6B02">
        <w:t>Nestle’s</w:t>
      </w:r>
      <w:proofErr w:type="spellEnd"/>
      <w:r w:rsidR="009B6B02">
        <w:t xml:space="preserve">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426F2F">
      <w:pPr>
        <w:pStyle w:val="ListParagraph"/>
        <w:ind w:left="0" w:firstLine="720"/>
      </w:pPr>
      <w:r>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elective nature of </w:t>
      </w:r>
      <w:r w:rsidR="00F36B09">
        <w:lastRenderedPageBreak/>
        <w:t xml:space="preserve">case studies. </w:t>
      </w:r>
      <w:r w:rsidR="001C07C6">
        <w:t>Nevertheless, it is instructive to see how thoroughly John described</w:t>
      </w:r>
      <w:r w:rsidR="00E72FA8">
        <w:t xml:space="preserve"> the whore</w:t>
      </w:r>
      <w:r w:rsidR="001C07C6">
        <w:t>-</w:t>
      </w:r>
      <w:r w:rsidR="00E72FA8">
        <w:t>cum-</w:t>
      </w:r>
      <w:r w:rsidR="001C07C6">
        <w:t xml:space="preserve">city of Rome with </w:t>
      </w:r>
      <w:r w:rsidR="00DE48BE">
        <w:t>evocative</w:t>
      </w:r>
      <w:r w:rsidR="001C07C6">
        <w:t xml:space="preserve"> language. </w:t>
      </w:r>
    </w:p>
    <w:p w:rsidR="00F36B09" w:rsidRDefault="00854689" w:rsidP="00426F2F">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A30FBD">
        <w:t xml:space="preserve">The use of Babylon as the ciphered name for Rome has long been understood as a means of connection the </w:t>
      </w:r>
      <w:proofErr w:type="spellStart"/>
      <w:r w:rsidR="00A30FBD">
        <w:t>Flavian’s</w:t>
      </w:r>
      <w:proofErr w:type="spellEnd"/>
      <w:r w:rsidR="00A30FBD">
        <w:t xml:space="preserve"> destruction of the Second Temple with Nebuchadnezzar’s destruction of the First. </w:t>
      </w:r>
      <w:r w:rsidR="00DE48BE">
        <w:t>The bowl of plagues recalls the exodus narrative and the conquest of Egypt. 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w:t>
      </w:r>
      <w:proofErr w:type="spellStart"/>
      <w:r w:rsidR="00E72FA8">
        <w:t>Tyre</w:t>
      </w:r>
      <w:proofErr w:type="spellEnd"/>
      <w:r w:rsidR="00E72FA8">
        <w:t xml:space="preserv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067DAC">
        <w:t>In verse six we 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8726C5">
        <w:t>Similarly, the depiction of the whore riding the crimson beast recalls t</w:t>
      </w:r>
      <w:r w:rsidR="00A30FBD">
        <w:t>he two beasts of Revelat</w:t>
      </w:r>
      <w:r w:rsidR="002010B5">
        <w:t xml:space="preserve">ion 13 </w:t>
      </w:r>
      <w:r w:rsidR="00A30FBD">
        <w:t xml:space="preserve">and of </w:t>
      </w:r>
      <w:r w:rsidR="002010B5">
        <w:t xml:space="preserve">Antiochus Epiphanes in </w:t>
      </w:r>
      <w:r w:rsidR="00A30FBD">
        <w:t xml:space="preserve">Daniel 7. </w:t>
      </w:r>
      <w:r w:rsidR="00CB261F">
        <w:t xml:space="preserve">By </w:t>
      </w:r>
      <w:r w:rsidR="00FD1B74">
        <w:t xml:space="preserve">combining these </w:t>
      </w:r>
      <w:r w:rsidR="00DE48BE">
        <w:t>allusions</w:t>
      </w:r>
      <w:r w:rsidR="001E13AF">
        <w:t xml:space="preserve"> together, </w:t>
      </w:r>
      <w:r w:rsidR="00DE48BE">
        <w:t xml:space="preserve">Egypt, Babylon, </w:t>
      </w:r>
      <w:proofErr w:type="spellStart"/>
      <w:r w:rsidR="00DE48BE">
        <w:t>Tyre</w:t>
      </w:r>
      <w:proofErr w:type="spellEnd"/>
      <w:r w:rsidR="00DE48BE">
        <w:t xml:space="preserve">, </w:t>
      </w:r>
      <w:proofErr w:type="spellStart"/>
      <w:r w:rsidR="00DE48BE">
        <w:t>Ninevah</w:t>
      </w:r>
      <w:proofErr w:type="spellEnd"/>
      <w:r w:rsidR="00DE48BE">
        <w:t xml:space="preserve">, Jezebel, </w:t>
      </w:r>
      <w:r w:rsidR="002010B5">
        <w:t xml:space="preserve">and the Seleucids, </w:t>
      </w:r>
      <w:r w:rsidR="001E13AF">
        <w:t xml:space="preserve">John 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8726C5">
      <w:pPr>
        <w:pStyle w:val="ListParagraph"/>
        <w:ind w:left="0" w:firstLine="720"/>
      </w:pPr>
      <w:r>
        <w:t xml:space="preserve">Digital editions allow for more flexibility for research. Because the references have been tagged by reference type, the reader can isolate the quotes, allusions, and thematic parallels as desired. Toggling the dropdown menu in the right-most column activates only the links of the desired classification. While we can see that Revelation references Scripture using each of the </w:t>
      </w:r>
      <w:r>
        <w:lastRenderedPageBreak/>
        <w:t xml:space="preserve">three typologies discussed above, he has a preference for allusion compared to either quotation or thematic parallels. </w:t>
      </w:r>
    </w:p>
    <w:p w:rsidR="00EB1D1E" w:rsidRPr="00A81C54" w:rsidRDefault="00EB1D1E" w:rsidP="00115797">
      <w:pPr>
        <w:ind w:firstLine="720"/>
      </w:pPr>
      <w:r>
        <w:t xml:space="preserve">Turning to Revelation 18:1-3, we find two distinctive features of Revelation’s intertextuality. The first concerns the text form used by John in the quotation of 18:2 – </w:t>
      </w:r>
      <w:proofErr w:type="spellStart"/>
      <w:r w:rsidRPr="00EB1D1E">
        <w:rPr>
          <w:i/>
          <w:iCs/>
        </w:rPr>
        <w:t>epesen</w:t>
      </w:r>
      <w:proofErr w:type="spellEnd"/>
      <w:r w:rsidRPr="00EB1D1E">
        <w:rPr>
          <w:i/>
          <w:iCs/>
        </w:rPr>
        <w:t xml:space="preserve">, </w:t>
      </w:r>
      <w:proofErr w:type="spellStart"/>
      <w:r w:rsidRPr="00EB1D1E">
        <w:rPr>
          <w:i/>
          <w:iCs/>
        </w:rPr>
        <w:t>epesen</w:t>
      </w:r>
      <w:proofErr w:type="spellEnd"/>
      <w:r w:rsidRPr="00EB1D1E">
        <w:rPr>
          <w:i/>
          <w:iCs/>
        </w:rPr>
        <w:t xml:space="preserve"> </w:t>
      </w:r>
      <w:proofErr w:type="spellStart"/>
      <w:r w:rsidRPr="00EB1D1E">
        <w:rPr>
          <w:i/>
          <w:iCs/>
        </w:rPr>
        <w:t>Babul</w:t>
      </w:r>
      <w:r w:rsidRPr="00EB1D1E">
        <w:rPr>
          <w:rFonts w:cs="Times New Roman"/>
          <w:i/>
          <w:iCs/>
        </w:rPr>
        <w:t>ō</w:t>
      </w:r>
      <w:r w:rsidRPr="00EB1D1E">
        <w:rPr>
          <w:i/>
          <w:iCs/>
        </w:rPr>
        <w:t>n</w:t>
      </w:r>
      <w:proofErr w:type="spellEnd"/>
      <w:r>
        <w:t xml:space="preserve">. The double proclamation of Babylon’s downfall quotes the Masoretic Text of Isaiah 21:9, rather than the LXX – </w:t>
      </w:r>
      <w:proofErr w:type="spellStart"/>
      <w:r w:rsidRPr="00EB1D1E">
        <w:rPr>
          <w:i/>
          <w:iCs/>
        </w:rPr>
        <w:t>naflah</w:t>
      </w:r>
      <w:proofErr w:type="spellEnd"/>
      <w:r w:rsidRPr="00EB1D1E">
        <w:rPr>
          <w:i/>
          <w:iCs/>
        </w:rPr>
        <w:t xml:space="preserve">, </w:t>
      </w:r>
      <w:proofErr w:type="spellStart"/>
      <w:r w:rsidRPr="00EB1D1E">
        <w:rPr>
          <w:i/>
          <w:iCs/>
        </w:rPr>
        <w:t>naflah</w:t>
      </w:r>
      <w:proofErr w:type="spellEnd"/>
      <w:r w:rsidRPr="00EB1D1E">
        <w:rPr>
          <w:i/>
          <w:iCs/>
        </w:rPr>
        <w:t xml:space="preserve"> </w:t>
      </w:r>
      <w:proofErr w:type="spellStart"/>
      <w:r w:rsidRPr="00EB1D1E">
        <w:rPr>
          <w:i/>
          <w:iCs/>
        </w:rPr>
        <w:t>bavel</w:t>
      </w:r>
      <w:proofErr w:type="spellEnd"/>
      <w:r w:rsidRPr="00EB1D1E">
        <w:rPr>
          <w:i/>
          <w:iCs/>
        </w:rPr>
        <w:t xml:space="preserve">.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6"/>
      </w:r>
    </w:p>
    <w:p w:rsidR="00A26DE5" w:rsidRDefault="00811EC4" w:rsidP="00F21989">
      <w:pPr>
        <w:ind w:firstLine="720"/>
      </w:pPr>
      <w:r w:rsidRPr="00331154">
        <w:rPr>
          <w:highlight w:val="yellow"/>
        </w:rPr>
        <w:t xml:space="preserve">The second intertextual feature is the </w:t>
      </w:r>
      <w:r w:rsidR="00D55AB6" w:rsidRPr="00331154">
        <w:rPr>
          <w:highlight w:val="yellow"/>
        </w:rPr>
        <w:t xml:space="preserve">so-called </w:t>
      </w:r>
      <w:r w:rsidRPr="00331154">
        <w:rPr>
          <w:highlight w:val="yellow"/>
        </w:rPr>
        <w:t xml:space="preserve">“double utilization” of a single Scriptural image for two purposes. </w:t>
      </w:r>
      <w:r w:rsidR="00A26DE5" w:rsidRPr="00331154">
        <w:rPr>
          <w:highlight w:val="yellow"/>
        </w:rPr>
        <w:t xml:space="preserve">The cup of wine, again a reference to Jeremiah, served as the cup of the Great Whore’s lustful iniquity in 17:2. In 18:3, however, the wine of the wrath returns again, though now the cup is God’s cup of wrath which </w:t>
      </w:r>
      <w:r w:rsidR="00713C2C" w:rsidRPr="00331154">
        <w:rPr>
          <w:highlight w:val="yellow"/>
        </w:rPr>
        <w:t>causes the nations to fall.</w:t>
      </w:r>
      <w:r w:rsidR="00713C2C">
        <w:t xml:space="preserve"> </w:t>
      </w:r>
    </w:p>
    <w:p w:rsidR="00821846" w:rsidRDefault="002D2BFF" w:rsidP="00F829EB">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If properly coded, the text can be manipulated to display only those references to the particular work. Here, for </w:t>
      </w:r>
      <w:r w:rsidR="00F274CA">
        <w:t>example, we see 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7"/>
      </w:r>
      <w:r w:rsidR="005A3CD1">
        <w:t xml:space="preserve"> </w:t>
      </w:r>
    </w:p>
    <w:p w:rsidR="00331154" w:rsidRDefault="00821846" w:rsidP="00331154">
      <w:pPr>
        <w:ind w:firstLine="720"/>
      </w:pPr>
      <w:r>
        <w:lastRenderedPageBreak/>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the major vari</w:t>
      </w:r>
      <w:r w:rsidR="005A3CD1">
        <w:t xml:space="preserve">ants and their textual support in the side window. </w:t>
      </w:r>
      <w:r w:rsidR="00331154">
        <w:t>However, t</w:t>
      </w:r>
      <w:r w:rsidR="00A02CD3">
        <w:t>he variations in both 18</w:t>
      </w:r>
      <w:r w:rsidR="00331154">
        <w:t xml:space="preserve">:2 and 3 regard intertexuality and merit some discussion. </w:t>
      </w:r>
    </w:p>
    <w:p w:rsidR="00113C6E" w:rsidRPr="00146AD5" w:rsidRDefault="00113C6E" w:rsidP="00331154">
      <w:pPr>
        <w:ind w:firstLine="720"/>
      </w:pPr>
      <w:r>
        <w:t xml:space="preserve">In 18:2, we find that the third </w:t>
      </w:r>
      <w:proofErr w:type="gramStart"/>
      <w:r>
        <w:t>class</w:t>
      </w:r>
      <w:proofErr w:type="gramEnd"/>
      <w:r>
        <w:t xml:space="preserve"> of animals that haunt Babylon, the unclean beasts, have been dropped.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that it better reflects the theme to beasts inhabiting the desolated city.</w:t>
      </w:r>
      <w:r>
        <w:tab/>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make that John had Isaiah 13:21-22 in mind given the combination of </w:t>
      </w:r>
      <w:proofErr w:type="spellStart"/>
      <w:r w:rsidR="00146AD5" w:rsidRPr="00146AD5">
        <w:rPr>
          <w:i/>
          <w:iCs/>
        </w:rPr>
        <w:t>daimon</w:t>
      </w:r>
      <w:proofErr w:type="spellEnd"/>
      <w:r w:rsidR="00146AD5">
        <w:t xml:space="preserve"> and </w:t>
      </w:r>
      <w:proofErr w:type="spellStart"/>
      <w:r w:rsidR="00146AD5">
        <w:rPr>
          <w:i/>
          <w:iCs/>
        </w:rPr>
        <w:t>theria</w:t>
      </w:r>
      <w:proofErr w:type="spellEnd"/>
      <w:r w:rsidR="00146AD5">
        <w:t xml:space="preserve">. </w:t>
      </w:r>
    </w:p>
    <w:p w:rsidR="00F46E2B" w:rsidRDefault="00F46E2B" w:rsidP="003E4B80">
      <w:pPr>
        <w:ind w:firstLine="720"/>
      </w:pPr>
      <w:r>
        <w:t xml:space="preserve">The variation on 18:3 presents another interesting </w:t>
      </w:r>
      <w:r w:rsidR="004C6E77">
        <w:t xml:space="preserve">case regarding the verb associated with </w:t>
      </w:r>
      <w:r w:rsidR="004C6E77">
        <w:rPr>
          <w:i/>
          <w:iCs/>
        </w:rPr>
        <w:t xml:space="preserve">ta </w:t>
      </w:r>
      <w:proofErr w:type="spellStart"/>
      <w:r w:rsidR="004C6E77">
        <w:rPr>
          <w:i/>
          <w:iCs/>
        </w:rPr>
        <w:t>ethne</w:t>
      </w:r>
      <w:proofErr w:type="spellEnd"/>
      <w:r w:rsidR="004C6E77">
        <w:t xml:space="preserve"> and the text-form John is using. If </w:t>
      </w:r>
      <w:proofErr w:type="spellStart"/>
      <w:r w:rsidR="004C6E77" w:rsidRPr="00BF34CB">
        <w:rPr>
          <w:i/>
          <w:iCs/>
        </w:rPr>
        <w:t>peptokan</w:t>
      </w:r>
      <w:proofErr w:type="spellEnd"/>
      <w:r w:rsidR="004C6E77">
        <w:t xml:space="preserve"> is accepted, John would seem to be allud</w:t>
      </w:r>
      <w:r w:rsidR="00BE1E3A">
        <w:t>ing to Jeremiah 51:7, translating</w:t>
      </w:r>
      <w:r w:rsidR="004C6E77">
        <w:t xml:space="preserve"> </w:t>
      </w:r>
      <w:r w:rsidR="000E4FC8">
        <w:t xml:space="preserve">the </w:t>
      </w:r>
      <w:proofErr w:type="spellStart"/>
      <w:r w:rsidR="000E4FC8">
        <w:t>hiphi</w:t>
      </w:r>
      <w:r w:rsidR="004C6E77">
        <w:t>l</w:t>
      </w:r>
      <w:proofErr w:type="spellEnd"/>
      <w:r w:rsidR="004C6E77">
        <w:t xml:space="preserve"> of </w:t>
      </w:r>
      <w:proofErr w:type="spellStart"/>
      <w:r w:rsidR="004C6E77">
        <w:rPr>
          <w:i/>
          <w:iCs/>
        </w:rPr>
        <w:t>shakar</w:t>
      </w:r>
      <w:proofErr w:type="spellEnd"/>
      <w:r w:rsidR="004C6E77">
        <w:t xml:space="preserve"> with a perfect active indicative of the verb </w:t>
      </w:r>
      <w:proofErr w:type="spellStart"/>
      <w:r w:rsidR="004C6E77" w:rsidRPr="004C6E77">
        <w:rPr>
          <w:i/>
          <w:iCs/>
        </w:rPr>
        <w:t>pino</w:t>
      </w:r>
      <w:proofErr w:type="spellEnd"/>
      <w:r w:rsidR="004C6E77">
        <w:t xml:space="preserve">, since the Septuagint has a form of </w:t>
      </w:r>
      <w:proofErr w:type="spellStart"/>
      <w:r w:rsidR="004C6E77">
        <w:rPr>
          <w:i/>
          <w:iCs/>
        </w:rPr>
        <w:t>methusko</w:t>
      </w:r>
      <w:proofErr w:type="spellEnd"/>
      <w:r w:rsidR="004C6E77">
        <w:t xml:space="preserve">. </w:t>
      </w:r>
    </w:p>
    <w:p w:rsidR="0005221B" w:rsidRPr="004C6E77" w:rsidRDefault="002D69F9" w:rsidP="007F63ED">
      <w:pPr>
        <w:ind w:firstLine="720"/>
      </w:pPr>
      <w:r>
        <w:t xml:space="preserve">The aural and visual similarities which may have resulted in this manuscript variation may result from intentional word play. John may also be engaging in word play here similar to </w:t>
      </w:r>
      <w:proofErr w:type="spellStart"/>
      <w:r>
        <w:t>Deutero</w:t>
      </w:r>
      <w:proofErr w:type="spellEnd"/>
      <w:r>
        <w:t xml:space="preserve">-Isaiah’s </w:t>
      </w:r>
      <w:proofErr w:type="spellStart"/>
      <w:r w:rsidRPr="00890084">
        <w:rPr>
          <w:i/>
          <w:iCs/>
        </w:rPr>
        <w:t>haggolah</w:t>
      </w:r>
      <w:proofErr w:type="spellEnd"/>
      <w:r>
        <w:t xml:space="preserve"> and </w:t>
      </w:r>
      <w:proofErr w:type="spellStart"/>
      <w:r w:rsidRPr="00890084">
        <w:rPr>
          <w:i/>
          <w:iCs/>
          <w:u w:val="single"/>
        </w:rPr>
        <w:t>wegiylu</w:t>
      </w:r>
      <w:proofErr w:type="spellEnd"/>
      <w:r>
        <w:t xml:space="preserve">. Many commentators have noted that the Septuagint of Isaiah uses </w:t>
      </w:r>
      <w:proofErr w:type="spellStart"/>
      <w:r w:rsidRPr="00C06440">
        <w:rPr>
          <w:i/>
          <w:iCs/>
        </w:rPr>
        <w:t>emporion</w:t>
      </w:r>
      <w:proofErr w:type="spellEnd"/>
      <w:r>
        <w:rPr>
          <w:b/>
          <w:bCs/>
        </w:rPr>
        <w:t xml:space="preserve"> </w:t>
      </w:r>
      <w:r>
        <w:t xml:space="preserve">for the Hebrew </w:t>
      </w:r>
      <w:proofErr w:type="spellStart"/>
      <w:r w:rsidRPr="00C06440">
        <w:rPr>
          <w:i/>
          <w:iCs/>
        </w:rPr>
        <w:t>etnan</w:t>
      </w:r>
      <w:proofErr w:type="spellEnd"/>
      <w:r>
        <w:t xml:space="preserve">, the wages of a prostitute. The kings of the earth committed fornication – </w:t>
      </w:r>
      <w:proofErr w:type="spellStart"/>
      <w:r w:rsidRPr="002D69F9">
        <w:rPr>
          <w:i/>
          <w:iCs/>
        </w:rPr>
        <w:t>eporneusan</w:t>
      </w:r>
      <w:proofErr w:type="spellEnd"/>
      <w:r>
        <w:rPr>
          <w:i/>
          <w:iCs/>
        </w:rPr>
        <w:t xml:space="preserve"> </w:t>
      </w:r>
      <w:r>
        <w:t>– with the whore.</w:t>
      </w:r>
      <w:r w:rsidR="00D37EC7">
        <w:t xml:space="preserve"> </w:t>
      </w:r>
      <w:r>
        <w:t xml:space="preserve">John may have also used a form of </w:t>
      </w:r>
      <w:proofErr w:type="spellStart"/>
      <w:r>
        <w:rPr>
          <w:i/>
          <w:iCs/>
        </w:rPr>
        <w:t>pino</w:t>
      </w:r>
      <w:proofErr w:type="spellEnd"/>
      <w:r>
        <w:t xml:space="preserve"> </w:t>
      </w:r>
      <w:r>
        <w:lastRenderedPageBreak/>
        <w:t xml:space="preserve">instead of </w:t>
      </w:r>
      <w:proofErr w:type="spellStart"/>
      <w:r w:rsidRPr="00C06440">
        <w:rPr>
          <w:i/>
          <w:iCs/>
        </w:rPr>
        <w:t>methusko</w:t>
      </w:r>
      <w:proofErr w:type="spellEnd"/>
      <w:r>
        <w:rPr>
          <w:b/>
          <w:bCs/>
        </w:rPr>
        <w:t xml:space="preserve"> </w:t>
      </w:r>
      <w:r>
        <w:t xml:space="preserve">for the aural similarities between </w:t>
      </w:r>
      <w:proofErr w:type="spellStart"/>
      <w:r>
        <w:rPr>
          <w:i/>
          <w:iCs/>
        </w:rPr>
        <w:t>pepokan</w:t>
      </w:r>
      <w:proofErr w:type="spellEnd"/>
      <w:r>
        <w:rPr>
          <w:i/>
          <w:iCs/>
        </w:rPr>
        <w:t xml:space="preserve"> </w:t>
      </w:r>
      <w:r>
        <w:t xml:space="preserve">and </w:t>
      </w:r>
      <w:proofErr w:type="spellStart"/>
      <w:r>
        <w:rPr>
          <w:i/>
          <w:iCs/>
        </w:rPr>
        <w:t>peptokan</w:t>
      </w:r>
      <w:proofErr w:type="spellEnd"/>
      <w:r>
        <w:t>.</w:t>
      </w:r>
      <w:r w:rsidR="000E4051">
        <w:rPr>
          <w:rStyle w:val="FootnoteReference"/>
        </w:rPr>
        <w:footnoteReference w:id="18"/>
      </w:r>
      <w:r>
        <w:t xml:space="preserve"> </w:t>
      </w:r>
      <w:r w:rsidR="0005221B">
        <w:t>Moreover, the manuscripts which use verbs of falling have dropped the “wine” f</w:t>
      </w:r>
      <w:r w:rsidR="007F63ED">
        <w:t>rom the beginning of the verse, perhaps suggesting that 18:3 was harmonized with 14:8 and 17:2.</w:t>
      </w:r>
    </w:p>
    <w:p w:rsidR="003D762F" w:rsidRDefault="00DC6395" w:rsidP="00DC6395">
      <w:r>
        <w:t xml:space="preserve"> </w:t>
      </w:r>
      <w:r>
        <w:tab/>
      </w:r>
    </w:p>
    <w:p w:rsidR="00F13161" w:rsidRDefault="00F13161" w:rsidP="003E4B80"/>
    <w:p w:rsidR="006C7FA2" w:rsidRDefault="003D762F" w:rsidP="006C7FA2">
      <w:r>
        <w:t>As a conclusion, consider Rev 22:6-7.</w:t>
      </w:r>
      <w:r w:rsidR="00F13161">
        <w:t xml:space="preserve"> John’s account of his vision concludes by reasserting the validity and truth of his prophetic book. The phrase “that which are necessary to happen” used in both Revelation’s introduction and here at the conclusion of the vision, allude to Daniel 2 and the dream of Nebuchadnezzar, the King of Babylon. But Revelation modifies Daniel’s promise of eschatological validity</w:t>
      </w:r>
      <w:r w:rsidR="006C7FA2">
        <w:t xml:space="preserve">, proclaiming that the vision of judgment and renewal will happen soon. </w:t>
      </w:r>
    </w:p>
    <w:p w:rsidR="00D96C4B" w:rsidRDefault="006C7FA2" w:rsidP="006C7FA2">
      <w:pPr>
        <w:ind w:firstLine="720"/>
      </w:pPr>
      <w:r>
        <w:t xml:space="preserve">John expected those who read his book to understand the prophetic underpinnings of his vision. By tying the judgment of Rome to the prophets through quotations, allusions, and thematic parallels, Revelation proclaims that like Babylon, Egypt, </w:t>
      </w:r>
      <w:proofErr w:type="spellStart"/>
      <w:r>
        <w:t>Tyre</w:t>
      </w:r>
      <w:proofErr w:type="spellEnd"/>
      <w:r>
        <w:t xml:space="preserve">, and Nineveh, Rome will fall. Digital editions allow us to read like John asks us to read, recognizing, analyzing, and assimilating Revelation’s intertextuality and keeping the prophetic words. </w:t>
      </w:r>
    </w:p>
    <w:sectPr w:rsidR="00D96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EB7" w:rsidRDefault="00916EB7" w:rsidP="002C7240">
      <w:pPr>
        <w:spacing w:line="240" w:lineRule="auto"/>
      </w:pPr>
      <w:r>
        <w:separator/>
      </w:r>
    </w:p>
  </w:endnote>
  <w:endnote w:type="continuationSeparator" w:id="0">
    <w:p w:rsidR="00916EB7" w:rsidRDefault="00916EB7"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EB7" w:rsidRDefault="00916EB7" w:rsidP="002C7240">
      <w:pPr>
        <w:spacing w:line="240" w:lineRule="auto"/>
      </w:pPr>
      <w:r>
        <w:separator/>
      </w:r>
    </w:p>
  </w:footnote>
  <w:footnote w:type="continuationSeparator" w:id="0">
    <w:p w:rsidR="00916EB7" w:rsidRDefault="00916EB7" w:rsidP="002C7240">
      <w:pPr>
        <w:spacing w:line="240" w:lineRule="auto"/>
      </w:pPr>
      <w:r>
        <w:continuationSeparator/>
      </w:r>
    </w:p>
  </w:footnote>
  <w:footnote w:id="1">
    <w:p w:rsidR="00F748B7" w:rsidRDefault="00F748B7">
      <w:pPr>
        <w:pStyle w:val="FootnoteText"/>
      </w:pPr>
      <w:r>
        <w:rPr>
          <w:rStyle w:val="FootnoteReference"/>
        </w:rPr>
        <w:footnoteRef/>
      </w:r>
      <w:r>
        <w:t xml:space="preserve"> See, among others, </w:t>
      </w:r>
      <w:r>
        <w:fldChar w:fldCharType="begin"/>
      </w:r>
      <w: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fldChar w:fldCharType="separate"/>
      </w:r>
      <w:r w:rsidRPr="009D38B0">
        <w:rPr>
          <w:rFonts w:cs="Times New Roman"/>
          <w:szCs w:val="24"/>
        </w:rPr>
        <w:t xml:space="preserve">John J. Collins, “Towards the Morphology of a Genre: Introduction,” </w:t>
      </w:r>
      <w:r w:rsidRPr="009D38B0">
        <w:rPr>
          <w:rFonts w:cs="Times New Roman"/>
          <w:i/>
          <w:iCs/>
          <w:szCs w:val="24"/>
        </w:rPr>
        <w:t>Semeia</w:t>
      </w:r>
      <w:r w:rsidRPr="009D38B0">
        <w:rPr>
          <w:rFonts w:cs="Times New Roman"/>
          <w:szCs w:val="24"/>
        </w:rPr>
        <w:t xml:space="preserve"> 14 (1979): 1–20; Adela Yarbro Collins, “Introduction: Early Christian Apocalypticism,” </w:t>
      </w:r>
      <w:r w:rsidRPr="009D38B0">
        <w:rPr>
          <w:rFonts w:cs="Times New Roman"/>
          <w:i/>
          <w:iCs/>
          <w:szCs w:val="24"/>
        </w:rPr>
        <w:t>Semeia</w:t>
      </w:r>
      <w:r w:rsidRPr="009D38B0">
        <w:rPr>
          <w:rFonts w:cs="Times New Roman"/>
          <w:szCs w:val="24"/>
        </w:rPr>
        <w:t xml:space="preserve"> 36 (1986): 1–11; David E. Aune, “The Apocalypse of John and the Problem of Genre,” </w:t>
      </w:r>
      <w:r w:rsidRPr="009D38B0">
        <w:rPr>
          <w:rFonts w:cs="Times New Roman"/>
          <w:i/>
          <w:iCs/>
          <w:szCs w:val="24"/>
        </w:rPr>
        <w:t>Semeia</w:t>
      </w:r>
      <w:r w:rsidRPr="009D38B0">
        <w:rPr>
          <w:rFonts w:cs="Times New Roman"/>
          <w:szCs w:val="24"/>
        </w:rPr>
        <w:t xml:space="preserve"> 36 (1986): 65–96; David Hellholm, “The Problem of Apocalyptic Genre and the Apocalypse of John,” </w:t>
      </w:r>
      <w:r w:rsidRPr="009D38B0">
        <w:rPr>
          <w:rFonts w:cs="Times New Roman"/>
          <w:i/>
          <w:iCs/>
          <w:szCs w:val="24"/>
        </w:rPr>
        <w:t>Semeia</w:t>
      </w:r>
      <w:r w:rsidRPr="009D38B0">
        <w:rPr>
          <w:rFonts w:cs="Times New Roman"/>
          <w:szCs w:val="24"/>
        </w:rPr>
        <w:t xml:space="preserve"> 36 (1986): 13–64.</w:t>
      </w:r>
      <w:r>
        <w:fldChar w:fldCharType="end"/>
      </w:r>
    </w:p>
  </w:footnote>
  <w:footnote w:id="2">
    <w:p w:rsidR="00F748B7" w:rsidRDefault="00F748B7" w:rsidP="00076425">
      <w:pPr>
        <w:pStyle w:val="FootnoteText"/>
      </w:pPr>
      <w:r>
        <w:rPr>
          <w:rStyle w:val="FootnoteReference"/>
        </w:rPr>
        <w:footnoteRef/>
      </w:r>
      <w:r>
        <w:t xml:space="preserve"> </w:t>
      </w:r>
      <w:r>
        <w:fldChar w:fldCharType="begin"/>
      </w:r>
      <w:r>
        <w:instrText xml:space="preserve"> ADDIN ZOTERO_ITEM CSL_CITATION {"citationID":"OuJYmbId","properties":{"formattedCitation":"{\\rtf Michael A. Fishbane, \\i Biblical Interpretation in Ancient Israel\\i0{} (Oxford; New York: Clarendon Pr; Oxford Univ Pr, 1985); James Nogalski, \\uc0\\u8220{}Intertextuality and the Twelve,\\uc0\\u8221{} in \\i Forming prophetic literature\\i0{} (Sheffield, Eng: Sheffield Academic Pr, 1996), 102\\uc0\\u8211{}124;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New York: Clarendon Pr; Oxford Univ Pr, 1985); James Nogalski, “Intertextuality and the Twelve,” in Forming prophetic literature (Sheffield, Eng: Sheffield Academic Pr, 1996), 102–124;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 Pr; Oxford Univ Pr","publisher-place":"Oxford; New York","source":"EBSCOhost","event-place":"Oxford; New York","author":[{"family":"Fishbane","given":"Michael A."}],"issued":{"date-parts":[["1985"]]}}},{"id":102,"uris":["http://zotero.org/users/66701/items/IMNF7ICR"],"uri":["http://zotero.org/users/66701/items/IMNF7ICR"],"itemData":{"id":102,"type":"chapter","title":"Intertextuality and the Twelve","container-title":"Forming prophetic literature","publisher":"Sheffield Academic Pr","publisher-place":"Sheffield, Eng","page":"102-124","source":"EBSCOhost","event-place":"Sheffield, Eng","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fldChar w:fldCharType="separate"/>
      </w:r>
      <w:r w:rsidRPr="00003A46">
        <w:rPr>
          <w:rFonts w:cs="Times New Roman"/>
          <w:szCs w:val="24"/>
        </w:rPr>
        <w:t xml:space="preserve">Michael A. </w:t>
      </w:r>
      <w:proofErr w:type="spellStart"/>
      <w:r w:rsidRPr="00003A46">
        <w:rPr>
          <w:rFonts w:cs="Times New Roman"/>
          <w:szCs w:val="24"/>
        </w:rPr>
        <w:t>Fishbane</w:t>
      </w:r>
      <w:proofErr w:type="spellEnd"/>
      <w:r w:rsidRPr="00003A46">
        <w:rPr>
          <w:rFonts w:cs="Times New Roman"/>
          <w:szCs w:val="24"/>
        </w:rPr>
        <w:t xml:space="preserve">, </w:t>
      </w:r>
      <w:r w:rsidRPr="00003A46">
        <w:rPr>
          <w:rFonts w:cs="Times New Roman"/>
          <w:i/>
          <w:iCs/>
          <w:szCs w:val="24"/>
        </w:rPr>
        <w:t>Biblical Interpretation in Ancient Israel</w:t>
      </w:r>
      <w:r w:rsidRPr="00003A46">
        <w:rPr>
          <w:rFonts w:cs="Times New Roman"/>
          <w:szCs w:val="24"/>
        </w:rPr>
        <w:t xml:space="preserve"> (Oxford; New York: Clarendon </w:t>
      </w:r>
      <w:proofErr w:type="spellStart"/>
      <w:r w:rsidRPr="00003A46">
        <w:rPr>
          <w:rFonts w:cs="Times New Roman"/>
          <w:szCs w:val="24"/>
        </w:rPr>
        <w:t>Pr</w:t>
      </w:r>
      <w:proofErr w:type="spellEnd"/>
      <w:r w:rsidRPr="00003A46">
        <w:rPr>
          <w:rFonts w:cs="Times New Roman"/>
          <w:szCs w:val="24"/>
        </w:rPr>
        <w:t xml:space="preserve">; Oxford </w:t>
      </w:r>
      <w:proofErr w:type="spellStart"/>
      <w:r w:rsidRPr="00003A46">
        <w:rPr>
          <w:rFonts w:cs="Times New Roman"/>
          <w:szCs w:val="24"/>
        </w:rPr>
        <w:t>Univ</w:t>
      </w:r>
      <w:proofErr w:type="spellEnd"/>
      <w:r w:rsidRPr="00003A46">
        <w:rPr>
          <w:rFonts w:cs="Times New Roman"/>
          <w:szCs w:val="24"/>
        </w:rPr>
        <w:t xml:space="preserve"> </w:t>
      </w:r>
      <w:proofErr w:type="spellStart"/>
      <w:r w:rsidRPr="00003A46">
        <w:rPr>
          <w:rFonts w:cs="Times New Roman"/>
          <w:szCs w:val="24"/>
        </w:rPr>
        <w:t>Pr</w:t>
      </w:r>
      <w:proofErr w:type="spellEnd"/>
      <w:r w:rsidRPr="00003A46">
        <w:rPr>
          <w:rFonts w:cs="Times New Roman"/>
          <w:szCs w:val="24"/>
        </w:rPr>
        <w:t xml:space="preserve">, 1985); James </w:t>
      </w:r>
      <w:proofErr w:type="spellStart"/>
      <w:r w:rsidRPr="00003A46">
        <w:rPr>
          <w:rFonts w:cs="Times New Roman"/>
          <w:szCs w:val="24"/>
        </w:rPr>
        <w:t>Nogalski</w:t>
      </w:r>
      <w:proofErr w:type="spellEnd"/>
      <w:r w:rsidRPr="00003A46">
        <w:rPr>
          <w:rFonts w:cs="Times New Roman"/>
          <w:szCs w:val="24"/>
        </w:rPr>
        <w:t xml:space="preserve">, “Intertextuality and the Twelve,” in </w:t>
      </w:r>
      <w:r w:rsidRPr="00003A46">
        <w:rPr>
          <w:rFonts w:cs="Times New Roman"/>
          <w:i/>
          <w:iCs/>
          <w:szCs w:val="24"/>
        </w:rPr>
        <w:t>Forming prophetic literature</w:t>
      </w:r>
      <w:r w:rsidRPr="00003A46">
        <w:rPr>
          <w:rFonts w:cs="Times New Roman"/>
          <w:szCs w:val="24"/>
        </w:rPr>
        <w:t xml:space="preserve"> (Sheffield, </w:t>
      </w:r>
      <w:proofErr w:type="spellStart"/>
      <w:r w:rsidRPr="00003A46">
        <w:rPr>
          <w:rFonts w:cs="Times New Roman"/>
          <w:szCs w:val="24"/>
        </w:rPr>
        <w:t>Eng</w:t>
      </w:r>
      <w:proofErr w:type="spellEnd"/>
      <w:r w:rsidRPr="00003A46">
        <w:rPr>
          <w:rFonts w:cs="Times New Roman"/>
          <w:szCs w:val="24"/>
        </w:rPr>
        <w:t xml:space="preserve">: Sheffield Academic </w:t>
      </w:r>
      <w:proofErr w:type="spellStart"/>
      <w:r w:rsidRPr="00003A46">
        <w:rPr>
          <w:rFonts w:cs="Times New Roman"/>
          <w:szCs w:val="24"/>
        </w:rPr>
        <w:t>Pr</w:t>
      </w:r>
      <w:proofErr w:type="spellEnd"/>
      <w:r w:rsidRPr="00003A46">
        <w:rPr>
          <w:rFonts w:cs="Times New Roman"/>
          <w:szCs w:val="24"/>
        </w:rPr>
        <w:t xml:space="preserve">, 1996), 102–124; Patricia </w:t>
      </w:r>
      <w:proofErr w:type="spellStart"/>
      <w:r w:rsidRPr="00003A46">
        <w:rPr>
          <w:rFonts w:cs="Times New Roman"/>
          <w:szCs w:val="24"/>
        </w:rPr>
        <w:t>Tull</w:t>
      </w:r>
      <w:proofErr w:type="spellEnd"/>
      <w:r w:rsidRPr="00003A46">
        <w:rPr>
          <w:rFonts w:cs="Times New Roman"/>
          <w:szCs w:val="24"/>
        </w:rPr>
        <w:t xml:space="preserve"> Willey, </w:t>
      </w:r>
      <w:r w:rsidRPr="00003A46">
        <w:rPr>
          <w:rFonts w:cs="Times New Roman"/>
          <w:i/>
          <w:iCs/>
          <w:szCs w:val="24"/>
        </w:rPr>
        <w:t>Remember the Former Things: The Recollection of Previous Texts in Second Isaiah</w:t>
      </w:r>
      <w:r w:rsidRPr="00003A46">
        <w:rPr>
          <w:rFonts w:cs="Times New Roman"/>
          <w:szCs w:val="24"/>
        </w:rPr>
        <w:t xml:space="preserve"> (Atlanta: Scholars Press, 1997); Benjamin D. </w:t>
      </w:r>
      <w:proofErr w:type="spellStart"/>
      <w:r w:rsidRPr="00003A46">
        <w:rPr>
          <w:rFonts w:cs="Times New Roman"/>
          <w:szCs w:val="24"/>
        </w:rPr>
        <w:t>Sommer</w:t>
      </w:r>
      <w:proofErr w:type="spellEnd"/>
      <w:r w:rsidRPr="00003A46">
        <w:rPr>
          <w:rFonts w:cs="Times New Roman"/>
          <w:szCs w:val="24"/>
        </w:rPr>
        <w:t xml:space="preserve">, </w:t>
      </w:r>
      <w:r w:rsidRPr="00003A46">
        <w:rPr>
          <w:rFonts w:cs="Times New Roman"/>
          <w:i/>
          <w:iCs/>
          <w:szCs w:val="24"/>
        </w:rPr>
        <w:t>A Prophet Reads Scripture: Allusion in Isaiah 40-66</w:t>
      </w:r>
      <w:r w:rsidRPr="00003A46">
        <w:rPr>
          <w:rFonts w:cs="Times New Roman"/>
          <w:szCs w:val="24"/>
        </w:rPr>
        <w:t xml:space="preserve"> (Palo Alto, </w:t>
      </w:r>
      <w:proofErr w:type="spellStart"/>
      <w:r w:rsidRPr="00003A46">
        <w:rPr>
          <w:rFonts w:cs="Times New Roman"/>
          <w:szCs w:val="24"/>
        </w:rPr>
        <w:t>Calif</w:t>
      </w:r>
      <w:proofErr w:type="spellEnd"/>
      <w:r w:rsidRPr="00003A46">
        <w:rPr>
          <w:rFonts w:cs="Times New Roman"/>
          <w:szCs w:val="24"/>
        </w:rPr>
        <w:t xml:space="preserve">: Stanford, 1998); Richard L. Schultz, </w:t>
      </w:r>
      <w:r w:rsidRPr="00003A46">
        <w:rPr>
          <w:rFonts w:cs="Times New Roman"/>
          <w:i/>
          <w:iCs/>
          <w:szCs w:val="24"/>
        </w:rPr>
        <w:t>The Search for Quotation: Verbal Parallels in the Prophets</w:t>
      </w:r>
      <w:r w:rsidRPr="00003A46">
        <w:rPr>
          <w:rFonts w:cs="Times New Roman"/>
          <w:szCs w:val="24"/>
        </w:rPr>
        <w:t xml:space="preserve"> (Sheffield: Sheffield Academic </w:t>
      </w:r>
      <w:proofErr w:type="spellStart"/>
      <w:r w:rsidRPr="00003A46">
        <w:rPr>
          <w:rFonts w:cs="Times New Roman"/>
          <w:szCs w:val="24"/>
        </w:rPr>
        <w:t>Pr</w:t>
      </w:r>
      <w:proofErr w:type="spellEnd"/>
      <w:r w:rsidRPr="00003A46">
        <w:rPr>
          <w:rFonts w:cs="Times New Roman"/>
          <w:szCs w:val="24"/>
        </w:rPr>
        <w:t xml:space="preserve">, 1999); Marvin A. Sweeney, </w:t>
      </w:r>
      <w:r w:rsidRPr="00003A46">
        <w:rPr>
          <w:rFonts w:cs="Times New Roman"/>
          <w:i/>
          <w:iCs/>
          <w:szCs w:val="24"/>
        </w:rPr>
        <w:t>Form and Intertextuality in Prophetic and Apocalyptic Literature</w:t>
      </w:r>
      <w:r w:rsidRPr="00003A46">
        <w:rPr>
          <w:rFonts w:cs="Times New Roman"/>
          <w:szCs w:val="24"/>
        </w:rPr>
        <w:t xml:space="preserve"> (Tübingen: Mohr </w:t>
      </w:r>
      <w:proofErr w:type="spellStart"/>
      <w:r w:rsidRPr="00003A46">
        <w:rPr>
          <w:rFonts w:cs="Times New Roman"/>
          <w:szCs w:val="24"/>
        </w:rPr>
        <w:t>Siebeck</w:t>
      </w:r>
      <w:proofErr w:type="spellEnd"/>
      <w:r w:rsidRPr="00003A46">
        <w:rPr>
          <w:rFonts w:cs="Times New Roman"/>
          <w:szCs w:val="24"/>
        </w:rPr>
        <w:t>, 2005).</w:t>
      </w:r>
      <w:r>
        <w:fldChar w:fldCharType="end"/>
      </w:r>
      <w:r>
        <w:t xml:space="preserve">  </w:t>
      </w:r>
    </w:p>
  </w:footnote>
  <w:footnote w:id="3">
    <w:p w:rsidR="00F748B7" w:rsidRPr="000300A4" w:rsidRDefault="00F748B7" w:rsidP="000300A4">
      <w:pPr>
        <w:pStyle w:val="FootnoteText"/>
      </w:pPr>
      <w:r>
        <w:rPr>
          <w:rStyle w:val="FootnoteReference"/>
        </w:rPr>
        <w:footnoteRef/>
      </w:r>
      <w:r>
        <w:t xml:space="preserve"> My categories here are derived from </w:t>
      </w:r>
      <w:r>
        <w:fldChar w:fldCharType="begin"/>
      </w:r>
      <w: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Pr","publisher-place":"Sheffield, Eng","page":"102-124","source":"EBSCOhost","event-place":"Sheffield, Eng","ISBN":"1850756414","author":[{"family":"Nogalski","given":"James"}],"issued":{"date-parts":[["1996"]]}}}],"schema":"https://github.com/citation-style-language/schema/raw/master/csl-citation.json"} </w:instrText>
      </w:r>
      <w:r>
        <w:fldChar w:fldCharType="separate"/>
      </w:r>
      <w:proofErr w:type="spellStart"/>
      <w:r w:rsidRPr="00003A46">
        <w:rPr>
          <w:rFonts w:cs="Times New Roman"/>
          <w:szCs w:val="24"/>
        </w:rPr>
        <w:t>Nogalski</w:t>
      </w:r>
      <w:proofErr w:type="spellEnd"/>
      <w:r w:rsidRPr="00003A46">
        <w:rPr>
          <w:rFonts w:cs="Times New Roman"/>
          <w:szCs w:val="24"/>
        </w:rPr>
        <w:t>, “Intertextuality and the Twelve.”</w:t>
      </w:r>
      <w:r>
        <w:fldChar w:fldCharType="end"/>
      </w:r>
      <w:r>
        <w:t xml:space="preserve">  Insufficient attention has been paid by scholars focused on intertextuality and Revelation to prophetic intertextuality, though note </w:t>
      </w:r>
      <w:proofErr w:type="spellStart"/>
      <w:r>
        <w:t>Bauckham’s</w:t>
      </w:r>
      <w:proofErr w:type="spellEnd"/>
      <w:r>
        <w:t xml:space="preserve"> critique of those (esp. Elizabeth </w:t>
      </w:r>
      <w:proofErr w:type="spellStart"/>
      <w:r>
        <w:t>Schussler</w:t>
      </w:r>
      <w:proofErr w:type="spellEnd"/>
      <w:r>
        <w:t xml:space="preserve"> </w:t>
      </w:r>
      <w:proofErr w:type="spellStart"/>
      <w:r>
        <w:t>Fiorenza</w:t>
      </w:r>
      <w:proofErr w:type="spellEnd"/>
      <w:r>
        <w:t xml:space="preserve">) who would divorce Revelation’s allusions from their original contexts </w:t>
      </w:r>
      <w:r>
        <w:fldChar w:fldCharType="begin"/>
      </w:r>
      <w: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fldChar w:fldCharType="separate"/>
      </w:r>
      <w:r w:rsidRPr="00B0117E">
        <w:rPr>
          <w:rFonts w:cs="Times New Roman"/>
          <w:szCs w:val="24"/>
        </w:rPr>
        <w:t xml:space="preserve">Richard </w:t>
      </w:r>
      <w:proofErr w:type="spellStart"/>
      <w:r w:rsidRPr="00B0117E">
        <w:rPr>
          <w:rFonts w:cs="Times New Roman"/>
          <w:szCs w:val="24"/>
        </w:rPr>
        <w:t>Bauckham</w:t>
      </w:r>
      <w:proofErr w:type="spellEnd"/>
      <w:r w:rsidRPr="00B0117E">
        <w:rPr>
          <w:rFonts w:cs="Times New Roman"/>
          <w:szCs w:val="24"/>
        </w:rPr>
        <w:t xml:space="preserve">, </w:t>
      </w:r>
      <w:r w:rsidRPr="00B0117E">
        <w:rPr>
          <w:rFonts w:cs="Times New Roman"/>
          <w:i/>
          <w:iCs/>
          <w:szCs w:val="24"/>
        </w:rPr>
        <w:t>The Climax of Prophecy: Studies on the Book of Revelation</w:t>
      </w:r>
      <w:r w:rsidRPr="00B0117E">
        <w:rPr>
          <w:rFonts w:cs="Times New Roman"/>
          <w:szCs w:val="24"/>
        </w:rPr>
        <w:t xml:space="preserve"> (Edinburgh: T &amp; T Clark, 1993), 296–307.</w:t>
      </w:r>
      <w:r>
        <w:fldChar w:fldCharType="end"/>
      </w:r>
    </w:p>
  </w:footnote>
  <w:footnote w:id="4">
    <w:p w:rsidR="00F748B7" w:rsidRDefault="00F748B7">
      <w:pPr>
        <w:pStyle w:val="FootnoteText"/>
      </w:pPr>
      <w:r>
        <w:rPr>
          <w:rStyle w:val="FootnoteReference"/>
        </w:rPr>
        <w:footnoteRef/>
      </w:r>
      <w:r>
        <w:t xml:space="preserve"> Strictly speaking, “intertextuality” does not imply intent or direction, but rather the “linkages” between two or more texts. The point here is one of intention, rather than coincidence. </w:t>
      </w:r>
      <w:r>
        <w:fldChar w:fldCharType="begin"/>
      </w:r>
      <w: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fldChar w:fldCharType="separate"/>
      </w:r>
      <w:r w:rsidRPr="00DC1896">
        <w:rPr>
          <w:rFonts w:cs="Times New Roman"/>
          <w:szCs w:val="24"/>
        </w:rPr>
        <w:t xml:space="preserve">Benjamin D. </w:t>
      </w:r>
      <w:proofErr w:type="spellStart"/>
      <w:r w:rsidRPr="00DC1896">
        <w:rPr>
          <w:rFonts w:cs="Times New Roman"/>
          <w:szCs w:val="24"/>
        </w:rPr>
        <w:t>Sommer</w:t>
      </w:r>
      <w:proofErr w:type="spellEnd"/>
      <w:r w:rsidRPr="00DC1896">
        <w:rPr>
          <w:rFonts w:cs="Times New Roman"/>
          <w:szCs w:val="24"/>
        </w:rPr>
        <w:t xml:space="preserve">, “Exegesis, Allusion and Intertextuality in the Hebrew Bible: A Response to Lyle </w:t>
      </w:r>
      <w:proofErr w:type="spellStart"/>
      <w:r w:rsidRPr="00DC1896">
        <w:rPr>
          <w:rFonts w:cs="Times New Roman"/>
          <w:szCs w:val="24"/>
        </w:rPr>
        <w:t>Eslinger</w:t>
      </w:r>
      <w:proofErr w:type="spellEnd"/>
      <w:r w:rsidRPr="00DC1896">
        <w:rPr>
          <w:rFonts w:cs="Times New Roman"/>
          <w:szCs w:val="24"/>
        </w:rPr>
        <w:t xml:space="preserve">,” </w:t>
      </w:r>
      <w:r w:rsidRPr="00DC1896">
        <w:rPr>
          <w:rFonts w:cs="Times New Roman"/>
          <w:i/>
          <w:iCs/>
          <w:szCs w:val="24"/>
        </w:rPr>
        <w:t>VT</w:t>
      </w:r>
      <w:r w:rsidRPr="00DC1896">
        <w:rPr>
          <w:rFonts w:cs="Times New Roman"/>
          <w:szCs w:val="24"/>
        </w:rPr>
        <w:t xml:space="preserve"> 46 (1996): 486.</w:t>
      </w:r>
      <w:r>
        <w:fldChar w:fldCharType="end"/>
      </w:r>
      <w:r>
        <w:t xml:space="preserve">  </w:t>
      </w:r>
    </w:p>
  </w:footnote>
  <w:footnote w:id="5">
    <w:p w:rsidR="00F748B7" w:rsidRDefault="00F748B7" w:rsidP="00F3002C">
      <w:pPr>
        <w:pStyle w:val="FootnoteText"/>
      </w:pPr>
      <w:r>
        <w:rPr>
          <w:rStyle w:val="FootnoteReference"/>
        </w:rPr>
        <w:footnoteRef/>
      </w:r>
      <w: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fldChar w:fldCharType="begin"/>
      </w:r>
      <w: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fldChar w:fldCharType="separate"/>
      </w:r>
      <w:r w:rsidRPr="00910FF3">
        <w:rPr>
          <w:rFonts w:cs="Times New Roman"/>
          <w:szCs w:val="24"/>
        </w:rPr>
        <w:t>Aune, “The Apocalypse of John and the Problem of Genre,” 86–88.</w:t>
      </w:r>
      <w:r>
        <w:fldChar w:fldCharType="end"/>
      </w:r>
      <w:r>
        <w:t xml:space="preserve">) Extended comments along this front are most welcome. </w:t>
      </w:r>
    </w:p>
  </w:footnote>
  <w:footnote w:id="6">
    <w:p w:rsidR="00F748B7" w:rsidRDefault="00F748B7" w:rsidP="002A0400">
      <w:pPr>
        <w:pStyle w:val="FootnoteText"/>
      </w:pPr>
      <w:r>
        <w:rPr>
          <w:rStyle w:val="FootnoteReference"/>
        </w:rPr>
        <w:footnoteRef/>
      </w:r>
      <w:r>
        <w:t xml:space="preserve"> The most notable exceptions being Daniel’s appeal to Jeremiah in Daniel 9 (though cf. Jer 26:18-19). </w:t>
      </w:r>
      <w:r>
        <w:fldChar w:fldCharType="begin"/>
      </w:r>
      <w: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fldChar w:fldCharType="separate"/>
      </w:r>
      <w:r w:rsidRPr="002A0400">
        <w:rPr>
          <w:rFonts w:cs="Times New Roman"/>
          <w:szCs w:val="24"/>
        </w:rPr>
        <w:t xml:space="preserve">John J. Collins, “Prophecy and Fulfillment in the Qumran Scrolls,” </w:t>
      </w:r>
      <w:r w:rsidRPr="002A0400">
        <w:rPr>
          <w:rFonts w:cs="Times New Roman"/>
          <w:i/>
          <w:iCs/>
          <w:szCs w:val="24"/>
        </w:rPr>
        <w:t>JETS</w:t>
      </w:r>
      <w:r w:rsidRPr="002A0400">
        <w:rPr>
          <w:rFonts w:cs="Times New Roman"/>
          <w:szCs w:val="24"/>
        </w:rPr>
        <w:t xml:space="preserve"> 30 (1987): 270–72.</w:t>
      </w:r>
      <w:r>
        <w:fldChar w:fldCharType="end"/>
      </w:r>
    </w:p>
  </w:footnote>
  <w:footnote w:id="7">
    <w:p w:rsidR="00F748B7" w:rsidRDefault="00F748B7" w:rsidP="006C256B">
      <w:pPr>
        <w:pStyle w:val="FootnoteText"/>
      </w:pPr>
      <w:r>
        <w:rPr>
          <w:rStyle w:val="FootnoteReference"/>
        </w:rPr>
        <w:footnoteRef/>
      </w:r>
      <w: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fldChar w:fldCharType="begin"/>
      </w:r>
      <w: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fldChar w:fldCharType="separate"/>
      </w:r>
      <w:r w:rsidRPr="002A0400">
        <w:rPr>
          <w:rFonts w:cs="Times New Roman"/>
          <w:szCs w:val="24"/>
        </w:rPr>
        <w:t xml:space="preserve">Gregory K. Beale, “Solecisms in the Apocalypse as Signals for the Presence of Old Testament Allusions: A Selective Analysis of Revelation 1-22,” in </w:t>
      </w:r>
      <w:r w:rsidRPr="002A0400">
        <w:rPr>
          <w:rFonts w:cs="Times New Roman"/>
          <w:i/>
          <w:iCs/>
          <w:szCs w:val="24"/>
        </w:rPr>
        <w:t>Early Christian Interpretation of the Scriptures of Israel</w:t>
      </w:r>
      <w:r w:rsidRPr="002A0400">
        <w:rPr>
          <w:rFonts w:cs="Times New Roman"/>
          <w:szCs w:val="24"/>
        </w:rPr>
        <w:t xml:space="preserve"> (Sheffield: Sheffield Academic Press, 1997), 421–46.</w:t>
      </w:r>
      <w:r>
        <w:fldChar w:fldCharType="end"/>
      </w:r>
      <w:r>
        <w:t xml:space="preserve"> </w:t>
      </w:r>
    </w:p>
  </w:footnote>
  <w:footnote w:id="8">
    <w:p w:rsidR="00F748B7" w:rsidRDefault="00F748B7">
      <w:pPr>
        <w:pStyle w:val="FootnoteText"/>
      </w:pPr>
      <w:r>
        <w:rPr>
          <w:rStyle w:val="FootnoteReference"/>
        </w:rPr>
        <w:footnoteRef/>
      </w:r>
      <w:r>
        <w:t xml:space="preserve"> </w:t>
      </w:r>
      <w:r>
        <w:fldChar w:fldCharType="begin"/>
      </w:r>
      <w: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fldChar w:fldCharType="separate"/>
      </w:r>
      <w:r w:rsidRPr="00D7301C">
        <w:rPr>
          <w:rFonts w:cs="Times New Roman"/>
          <w:szCs w:val="24"/>
        </w:rPr>
        <w:t xml:space="preserve">Steve </w:t>
      </w:r>
      <w:proofErr w:type="spellStart"/>
      <w:r w:rsidRPr="00D7301C">
        <w:rPr>
          <w:rFonts w:cs="Times New Roman"/>
          <w:szCs w:val="24"/>
        </w:rPr>
        <w:t>Moyise</w:t>
      </w:r>
      <w:proofErr w:type="spellEnd"/>
      <w:r w:rsidRPr="00D7301C">
        <w:rPr>
          <w:rFonts w:cs="Times New Roman"/>
          <w:szCs w:val="24"/>
        </w:rPr>
        <w:t xml:space="preserve">, “The Language of the Old Testament in the Apocalypse,” </w:t>
      </w:r>
      <w:r w:rsidRPr="00D7301C">
        <w:rPr>
          <w:rFonts w:cs="Times New Roman"/>
          <w:i/>
          <w:iCs/>
          <w:szCs w:val="24"/>
        </w:rPr>
        <w:t>Journal for the Study of the New Testament</w:t>
      </w:r>
      <w:r w:rsidRPr="00D7301C">
        <w:rPr>
          <w:rFonts w:cs="Times New Roman"/>
          <w:szCs w:val="24"/>
        </w:rPr>
        <w:t xml:space="preserve"> 76 (1999): 97–113.</w:t>
      </w:r>
      <w:r>
        <w:fldChar w:fldCharType="end"/>
      </w:r>
    </w:p>
  </w:footnote>
  <w:footnote w:id="9">
    <w:p w:rsidR="00F748B7" w:rsidRDefault="00F748B7">
      <w:pPr>
        <w:pStyle w:val="FootnoteText"/>
      </w:pPr>
      <w:r>
        <w:rPr>
          <w:rStyle w:val="FootnoteReference"/>
        </w:rPr>
        <w:footnoteRef/>
      </w:r>
      <w:r>
        <w:t xml:space="preserve"> </w:t>
      </w:r>
      <w:r w:rsidRPr="00F106A7">
        <w:t>At least one scholar has taken a “weighted average” approach from previous commentators to adduce a scale of “certain,” “probable,” and “possible.” This “wisdom of the crowds” approach has benefits, as it curtails the confirmation bias of scholars hunting for allusions</w:t>
      </w:r>
      <w:r>
        <w:t>. But it also limits readers’</w:t>
      </w:r>
      <w:r w:rsidRPr="00F106A7">
        <w:t xml:space="preserve"> ability to decipher John’s allusions for </w:t>
      </w:r>
      <w:proofErr w:type="gramStart"/>
      <w:r w:rsidRPr="00F106A7">
        <w:t>themselves</w:t>
      </w:r>
      <w:proofErr w:type="gramEnd"/>
      <w:r w:rsidRPr="00F106A7">
        <w:t>.</w:t>
      </w:r>
      <w:r>
        <w:t xml:space="preserve"> It is a scientific way of sampling allusions, but it multiplies scholarly “group think.” Since the commentators are not operating in isolation, the data is polluted. </w:t>
      </w:r>
      <w:r>
        <w:fldChar w:fldCharType="begin"/>
      </w:r>
      <w: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fldChar w:fldCharType="separate"/>
      </w:r>
      <w:r w:rsidRPr="00A90CCB">
        <w:rPr>
          <w:rFonts w:cs="Times New Roman"/>
          <w:szCs w:val="24"/>
        </w:rPr>
        <w:t xml:space="preserve">Jon </w:t>
      </w:r>
      <w:proofErr w:type="spellStart"/>
      <w:r w:rsidRPr="00A90CCB">
        <w:rPr>
          <w:rFonts w:cs="Times New Roman"/>
          <w:szCs w:val="24"/>
        </w:rPr>
        <w:t>Paulien</w:t>
      </w:r>
      <w:proofErr w:type="spellEnd"/>
      <w:r w:rsidRPr="00A90CCB">
        <w:rPr>
          <w:rFonts w:cs="Times New Roman"/>
          <w:szCs w:val="24"/>
        </w:rPr>
        <w:t xml:space="preserve">, “Criteria and </w:t>
      </w:r>
      <w:proofErr w:type="spellStart"/>
      <w:r w:rsidRPr="00A90CCB">
        <w:rPr>
          <w:rFonts w:cs="Times New Roman"/>
          <w:szCs w:val="24"/>
        </w:rPr>
        <w:t>Assesment</w:t>
      </w:r>
      <w:proofErr w:type="spellEnd"/>
      <w:r w:rsidRPr="00A90CCB">
        <w:rPr>
          <w:rFonts w:cs="Times New Roman"/>
          <w:szCs w:val="24"/>
        </w:rPr>
        <w:t xml:space="preserve"> of Allusions to the Old Testament in the Book of Revelation,” in </w:t>
      </w:r>
      <w:r w:rsidRPr="00A90CCB">
        <w:rPr>
          <w:rFonts w:cs="Times New Roman"/>
          <w:i/>
          <w:iCs/>
          <w:szCs w:val="24"/>
        </w:rPr>
        <w:t>Studies in the book of Revelation</w:t>
      </w:r>
      <w:r w:rsidRPr="00A90CCB">
        <w:rPr>
          <w:rFonts w:cs="Times New Roman"/>
          <w:szCs w:val="24"/>
        </w:rPr>
        <w:t xml:space="preserve"> (</w:t>
      </w:r>
      <w:proofErr w:type="gramStart"/>
      <w:r w:rsidRPr="00A90CCB">
        <w:rPr>
          <w:rFonts w:cs="Times New Roman"/>
          <w:szCs w:val="24"/>
        </w:rPr>
        <w:t>ed</w:t>
      </w:r>
      <w:proofErr w:type="gramEnd"/>
      <w:r w:rsidRPr="00A90CCB">
        <w:rPr>
          <w:rFonts w:cs="Times New Roman"/>
          <w:szCs w:val="24"/>
        </w:rPr>
        <w:t xml:space="preserve"> by. </w:t>
      </w:r>
      <w:proofErr w:type="gramStart"/>
      <w:r w:rsidRPr="00A90CCB">
        <w:rPr>
          <w:rFonts w:cs="Times New Roman"/>
          <w:szCs w:val="24"/>
        </w:rPr>
        <w:t xml:space="preserve">Steve </w:t>
      </w:r>
      <w:proofErr w:type="spellStart"/>
      <w:r w:rsidRPr="00A90CCB">
        <w:rPr>
          <w:rFonts w:cs="Times New Roman"/>
          <w:szCs w:val="24"/>
        </w:rPr>
        <w:t>Moyise</w:t>
      </w:r>
      <w:proofErr w:type="spellEnd"/>
      <w:r w:rsidRPr="00A90CCB">
        <w:rPr>
          <w:rFonts w:cs="Times New Roman"/>
          <w:szCs w:val="24"/>
        </w:rPr>
        <w:t>; Edinburgh: T &amp; T Clark, 2001), 113–30.</w:t>
      </w:r>
      <w:proofErr w:type="gramEnd"/>
      <w:r>
        <w:fldChar w:fldCharType="end"/>
      </w:r>
    </w:p>
  </w:footnote>
  <w:footnote w:id="10">
    <w:p w:rsidR="00F748B7" w:rsidRDefault="00F748B7" w:rsidP="009240BB">
      <w:pPr>
        <w:pStyle w:val="FootnoteText"/>
      </w:pPr>
      <w:r>
        <w:rPr>
          <w:rStyle w:val="FootnoteReference"/>
        </w:rPr>
        <w:footnoteRef/>
      </w:r>
      <w:r>
        <w:t xml:space="preserve"> </w:t>
      </w:r>
      <w:hyperlink r:id="rId1" w:history="1">
        <w:proofErr w:type="gramStart"/>
        <w:r w:rsidRPr="006B6C5A">
          <w:rPr>
            <w:rStyle w:val="Hyperlink"/>
          </w:rPr>
          <w:t>http://sblgnt.com/download/</w:t>
        </w:r>
      </w:hyperlink>
      <w:r>
        <w:t xml:space="preserve"> and </w:t>
      </w:r>
      <w:hyperlink r:id="rId2" w:history="1">
        <w:r w:rsidRPr="006B6C5A">
          <w:rPr>
            <w:rStyle w:val="Hyperlink"/>
          </w:rPr>
          <w:t>http://www.nestle-aland.com/en/read-na28-online/text/bibeltext/lesen/stelle/76/</w:t>
        </w:r>
      </w:hyperlink>
      <w:r>
        <w:t xml:space="preserve"> respectively.</w:t>
      </w:r>
      <w:proofErr w:type="gramEnd"/>
      <w:r>
        <w:t xml:space="preserve"> </w:t>
      </w:r>
    </w:p>
  </w:footnote>
  <w:footnote w:id="11">
    <w:p w:rsidR="00F748B7" w:rsidRDefault="00F748B7">
      <w:pPr>
        <w:pStyle w:val="FootnoteText"/>
      </w:pPr>
      <w:r>
        <w:rPr>
          <w:rStyle w:val="FootnoteReference"/>
        </w:rPr>
        <w:footnoteRef/>
      </w:r>
      <w:r>
        <w:t xml:space="preserve"> </w:t>
      </w:r>
      <w:r>
        <w:fldChar w:fldCharType="begin"/>
      </w:r>
      <w: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fldChar w:fldCharType="separate"/>
      </w:r>
      <w:r w:rsidRPr="00A85BE8">
        <w:rPr>
          <w:rFonts w:cs="Times New Roman"/>
          <w:szCs w:val="24"/>
        </w:rPr>
        <w:t xml:space="preserve">Henry B. Swete, </w:t>
      </w:r>
      <w:proofErr w:type="gramStart"/>
      <w:r w:rsidRPr="00A85BE8">
        <w:rPr>
          <w:rFonts w:cs="Times New Roman"/>
          <w:i/>
          <w:iCs/>
          <w:szCs w:val="24"/>
        </w:rPr>
        <w:t>The</w:t>
      </w:r>
      <w:proofErr w:type="gramEnd"/>
      <w:r w:rsidRPr="00A85BE8">
        <w:rPr>
          <w:rFonts w:cs="Times New Roman"/>
          <w:i/>
          <w:iCs/>
          <w:szCs w:val="24"/>
        </w:rPr>
        <w:t xml:space="preserve"> Apocalypse of St. John</w:t>
      </w:r>
      <w:r w:rsidRPr="00A85BE8">
        <w:rPr>
          <w:rFonts w:cs="Times New Roman"/>
          <w:szCs w:val="24"/>
        </w:rPr>
        <w:t xml:space="preserve"> (3rd ed.; London ; New York: Macmillan, 1909).</w:t>
      </w:r>
      <w:r>
        <w:fldChar w:fldCharType="end"/>
      </w:r>
    </w:p>
  </w:footnote>
  <w:footnote w:id="12">
    <w:p w:rsidR="00F748B7" w:rsidRDefault="00F748B7">
      <w:pPr>
        <w:pStyle w:val="FootnoteText"/>
      </w:pPr>
      <w:r>
        <w:rPr>
          <w:rStyle w:val="FootnoteReference"/>
        </w:rPr>
        <w:footnoteRef/>
      </w:r>
      <w:r>
        <w:t xml:space="preserve"> </w:t>
      </w:r>
      <w:r>
        <w:fldChar w:fldCharType="begin"/>
      </w:r>
      <w: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fldChar w:fldCharType="separate"/>
      </w:r>
      <w:r w:rsidRPr="00A85BE8">
        <w:rPr>
          <w:rFonts w:cs="Times New Roman"/>
          <w:szCs w:val="24"/>
        </w:rPr>
        <w:t xml:space="preserve">R. H Charles, </w:t>
      </w:r>
      <w:r w:rsidRPr="00A85BE8">
        <w:rPr>
          <w:rFonts w:cs="Times New Roman"/>
          <w:i/>
          <w:iCs/>
          <w:szCs w:val="24"/>
        </w:rPr>
        <w:t>A Critical and Exegetical Commentary on the Revelation of St. John</w:t>
      </w:r>
      <w:r w:rsidRPr="00A85BE8">
        <w:rPr>
          <w:rFonts w:cs="Times New Roman"/>
          <w:szCs w:val="24"/>
        </w:rPr>
        <w:t xml:space="preserve"> (2 </w:t>
      </w:r>
      <w:proofErr w:type="gramStart"/>
      <w:r w:rsidRPr="00A85BE8">
        <w:rPr>
          <w:rFonts w:cs="Times New Roman"/>
          <w:szCs w:val="24"/>
        </w:rPr>
        <w:t>vols.;</w:t>
      </w:r>
      <w:proofErr w:type="gramEnd"/>
      <w:r w:rsidRPr="00A85BE8">
        <w:rPr>
          <w:rFonts w:cs="Times New Roman"/>
          <w:szCs w:val="24"/>
        </w:rPr>
        <w:t xml:space="preserve"> ICC 44; Edinburgh: T. &amp; T. Clark, 1920).</w:t>
      </w:r>
      <w:r>
        <w:fldChar w:fldCharType="end"/>
      </w:r>
    </w:p>
  </w:footnote>
  <w:footnote w:id="13">
    <w:p w:rsidR="00F748B7" w:rsidRDefault="00F748B7">
      <w:pPr>
        <w:pStyle w:val="FootnoteText"/>
      </w:pPr>
      <w:r>
        <w:rPr>
          <w:rStyle w:val="FootnoteReference"/>
        </w:rPr>
        <w:footnoteRef/>
      </w:r>
      <w:r>
        <w:t xml:space="preserve"> </w:t>
      </w:r>
      <w:r>
        <w:fldChar w:fldCharType="begin"/>
      </w:r>
      <w: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fldChar w:fldCharType="separate"/>
      </w:r>
      <w:r w:rsidRPr="00A85BE8">
        <w:rPr>
          <w:rFonts w:cs="Times New Roman"/>
          <w:szCs w:val="24"/>
        </w:rPr>
        <w:t xml:space="preserve">David E. Aune, </w:t>
      </w:r>
      <w:r w:rsidRPr="00A85BE8">
        <w:rPr>
          <w:rFonts w:cs="Times New Roman"/>
          <w:i/>
          <w:iCs/>
          <w:szCs w:val="24"/>
        </w:rPr>
        <w:t>Revelation</w:t>
      </w:r>
      <w:r w:rsidRPr="00A85BE8">
        <w:rPr>
          <w:rFonts w:cs="Times New Roman"/>
          <w:szCs w:val="24"/>
        </w:rPr>
        <w:t xml:space="preserve"> (3 </w:t>
      </w:r>
      <w:proofErr w:type="gramStart"/>
      <w:r w:rsidRPr="00A85BE8">
        <w:rPr>
          <w:rFonts w:cs="Times New Roman"/>
          <w:szCs w:val="24"/>
        </w:rPr>
        <w:t>vols.;</w:t>
      </w:r>
      <w:proofErr w:type="gramEnd"/>
      <w:r w:rsidRPr="00A85BE8">
        <w:rPr>
          <w:rFonts w:cs="Times New Roman"/>
          <w:szCs w:val="24"/>
        </w:rPr>
        <w:t xml:space="preserve"> WBC 52A-C; Nashville: Thomas Nelson, 1997).</w:t>
      </w:r>
      <w:r>
        <w:fldChar w:fldCharType="end"/>
      </w:r>
    </w:p>
  </w:footnote>
  <w:footnote w:id="14">
    <w:p w:rsidR="00F748B7" w:rsidRDefault="00F748B7" w:rsidP="00A85BE8">
      <w:pPr>
        <w:pStyle w:val="FootnoteText"/>
      </w:pPr>
      <w:r>
        <w:rPr>
          <w:rStyle w:val="FootnoteReference"/>
        </w:rPr>
        <w:footnoteRef/>
      </w:r>
      <w:r>
        <w:t xml:space="preserve"> </w:t>
      </w:r>
      <w:r>
        <w:fldChar w:fldCharType="begin"/>
      </w:r>
      <w: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fldChar w:fldCharType="separate"/>
      </w:r>
      <w:r w:rsidRPr="00A85BE8">
        <w:rPr>
          <w:rFonts w:cs="Times New Roman"/>
          <w:szCs w:val="24"/>
        </w:rPr>
        <w:t xml:space="preserve">Gregory K. Beale, </w:t>
      </w:r>
      <w:proofErr w:type="gramStart"/>
      <w:r w:rsidRPr="00A85BE8">
        <w:rPr>
          <w:rFonts w:cs="Times New Roman"/>
          <w:i/>
          <w:iCs/>
          <w:szCs w:val="24"/>
        </w:rPr>
        <w:t>The</w:t>
      </w:r>
      <w:proofErr w:type="gramEnd"/>
      <w:r w:rsidRPr="00A85BE8">
        <w:rPr>
          <w:rFonts w:cs="Times New Roman"/>
          <w:i/>
          <w:iCs/>
          <w:szCs w:val="24"/>
        </w:rPr>
        <w:t xml:space="preserve"> Book of Revelation: A Commentary on the Greek Text</w:t>
      </w:r>
      <w:r w:rsidRPr="00A85BE8">
        <w:rPr>
          <w:rFonts w:cs="Times New Roman"/>
          <w:szCs w:val="24"/>
        </w:rPr>
        <w:t xml:space="preserve"> (NIGTC; Grand Rapids, Mich.: Eerdmans, 1999).</w:t>
      </w:r>
      <w:r>
        <w:fldChar w:fldCharType="end"/>
      </w:r>
    </w:p>
  </w:footnote>
  <w:footnote w:id="15">
    <w:p w:rsidR="00F748B7" w:rsidRDefault="00F748B7">
      <w:pPr>
        <w:pStyle w:val="FootnoteText"/>
      </w:pPr>
      <w:r>
        <w:rPr>
          <w:rStyle w:val="FootnoteReference"/>
        </w:rPr>
        <w:footnoteRef/>
      </w:r>
      <w:r>
        <w:t xml:space="preserve"> </w:t>
      </w:r>
      <w:r>
        <w:fldChar w:fldCharType="begin"/>
      </w:r>
      <w: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fldChar w:fldCharType="separate"/>
      </w:r>
      <w:r w:rsidRPr="00A85BE8">
        <w:rPr>
          <w:rFonts w:cs="Times New Roman"/>
          <w:szCs w:val="24"/>
        </w:rPr>
        <w:t xml:space="preserve">Craig R. Koester, </w:t>
      </w:r>
      <w:r w:rsidRPr="00A85BE8">
        <w:rPr>
          <w:rFonts w:cs="Times New Roman"/>
          <w:i/>
          <w:iCs/>
          <w:szCs w:val="24"/>
        </w:rPr>
        <w:t>Revelation: A New Translation with Introduction and Commentary</w:t>
      </w:r>
      <w:r w:rsidRPr="00A85BE8">
        <w:rPr>
          <w:rFonts w:cs="Times New Roman"/>
          <w:szCs w:val="24"/>
        </w:rPr>
        <w:t xml:space="preserve"> (New Haven: Yale University Press, 2014).</w:t>
      </w:r>
      <w:r>
        <w:fldChar w:fldCharType="end"/>
      </w:r>
    </w:p>
  </w:footnote>
  <w:footnote w:id="16">
    <w:p w:rsidR="00EB1D1E" w:rsidRDefault="00EB1D1E" w:rsidP="00EB1D1E">
      <w:pPr>
        <w:pStyle w:val="FootnoteText"/>
      </w:pPr>
      <w:r>
        <w:rPr>
          <w:rStyle w:val="FootnoteReference"/>
        </w:rPr>
        <w:footnoteRef/>
      </w:r>
      <w: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7">
    <w:p w:rsidR="00F748B7" w:rsidRDefault="00F748B7" w:rsidP="00286375">
      <w:pPr>
        <w:pStyle w:val="FootnoteText"/>
      </w:pPr>
      <w:r>
        <w:rPr>
          <w:rStyle w:val="FootnoteReference"/>
        </w:rPr>
        <w:footnoteRef/>
      </w:r>
      <w:r>
        <w:t xml:space="preserve"> NB: This will be clearer when all of 18 </w:t>
      </w:r>
      <w:proofErr w:type="gramStart"/>
      <w:r>
        <w:t>is</w:t>
      </w:r>
      <w:proofErr w:type="gramEnd"/>
      <w:r>
        <w:t xml:space="preserve"> encoded. </w:t>
      </w:r>
      <w:r w:rsidR="00286375">
        <w:t xml:space="preserve">Given my focus, I focused on 18:1-3 for the coding efforts and will continue with the rest of the chapters in the next two weeks. </w:t>
      </w:r>
    </w:p>
  </w:footnote>
  <w:footnote w:id="18">
    <w:p w:rsidR="00F748B7" w:rsidRDefault="00F748B7" w:rsidP="00560ADB">
      <w:pPr>
        <w:pStyle w:val="FootnoteText"/>
      </w:pPr>
      <w:r>
        <w:rPr>
          <w:rStyle w:val="FootnoteReference"/>
        </w:rPr>
        <w:footnoteRef/>
      </w:r>
      <w:r>
        <w:t xml:space="preserve"> This is a speculative observation made after reading Jeff’s paper and may be coincidence rather than anything John intended.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B0076"/>
    <w:rsid w:val="000D1547"/>
    <w:rsid w:val="000E4051"/>
    <w:rsid w:val="000E4997"/>
    <w:rsid w:val="000E4FC8"/>
    <w:rsid w:val="000F0DBF"/>
    <w:rsid w:val="000F1D39"/>
    <w:rsid w:val="00113C6E"/>
    <w:rsid w:val="00115797"/>
    <w:rsid w:val="00125EC7"/>
    <w:rsid w:val="00142593"/>
    <w:rsid w:val="00146AD5"/>
    <w:rsid w:val="001647C1"/>
    <w:rsid w:val="00171542"/>
    <w:rsid w:val="00195621"/>
    <w:rsid w:val="00195BBF"/>
    <w:rsid w:val="001A6361"/>
    <w:rsid w:val="001A6671"/>
    <w:rsid w:val="001B6914"/>
    <w:rsid w:val="001C07C6"/>
    <w:rsid w:val="001C66CF"/>
    <w:rsid w:val="001E03FF"/>
    <w:rsid w:val="001E13AF"/>
    <w:rsid w:val="001E4683"/>
    <w:rsid w:val="001E6253"/>
    <w:rsid w:val="002010B5"/>
    <w:rsid w:val="002115E6"/>
    <w:rsid w:val="0022008B"/>
    <w:rsid w:val="00263457"/>
    <w:rsid w:val="00267BF5"/>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6726"/>
    <w:rsid w:val="00331154"/>
    <w:rsid w:val="003330EC"/>
    <w:rsid w:val="00334698"/>
    <w:rsid w:val="00347A68"/>
    <w:rsid w:val="00350EC3"/>
    <w:rsid w:val="003565F9"/>
    <w:rsid w:val="00374131"/>
    <w:rsid w:val="003767F5"/>
    <w:rsid w:val="00387C3E"/>
    <w:rsid w:val="00395CFF"/>
    <w:rsid w:val="003C1664"/>
    <w:rsid w:val="003D2F65"/>
    <w:rsid w:val="003D762F"/>
    <w:rsid w:val="003E4B80"/>
    <w:rsid w:val="003F5928"/>
    <w:rsid w:val="00405142"/>
    <w:rsid w:val="00417C0C"/>
    <w:rsid w:val="00426F2F"/>
    <w:rsid w:val="0043112F"/>
    <w:rsid w:val="0043751A"/>
    <w:rsid w:val="0044058F"/>
    <w:rsid w:val="00443E14"/>
    <w:rsid w:val="00444727"/>
    <w:rsid w:val="004A0667"/>
    <w:rsid w:val="004A230D"/>
    <w:rsid w:val="004B09B4"/>
    <w:rsid w:val="004B0BAD"/>
    <w:rsid w:val="004B5809"/>
    <w:rsid w:val="004C6E77"/>
    <w:rsid w:val="004E3ABC"/>
    <w:rsid w:val="004F2677"/>
    <w:rsid w:val="00511885"/>
    <w:rsid w:val="00560ADB"/>
    <w:rsid w:val="00571C51"/>
    <w:rsid w:val="00583C09"/>
    <w:rsid w:val="005A3CD1"/>
    <w:rsid w:val="005A3DD0"/>
    <w:rsid w:val="005B785D"/>
    <w:rsid w:val="005D7130"/>
    <w:rsid w:val="005E5B41"/>
    <w:rsid w:val="005F389D"/>
    <w:rsid w:val="00611876"/>
    <w:rsid w:val="006128BC"/>
    <w:rsid w:val="00622A66"/>
    <w:rsid w:val="00631028"/>
    <w:rsid w:val="00640F02"/>
    <w:rsid w:val="00641938"/>
    <w:rsid w:val="00644B9A"/>
    <w:rsid w:val="00666B2D"/>
    <w:rsid w:val="006706DE"/>
    <w:rsid w:val="00680832"/>
    <w:rsid w:val="00684C9D"/>
    <w:rsid w:val="00685822"/>
    <w:rsid w:val="00685D2B"/>
    <w:rsid w:val="006C256B"/>
    <w:rsid w:val="006C4D21"/>
    <w:rsid w:val="006C6650"/>
    <w:rsid w:val="006C7FA2"/>
    <w:rsid w:val="006F5F44"/>
    <w:rsid w:val="00712E7F"/>
    <w:rsid w:val="00713C2C"/>
    <w:rsid w:val="00730E5C"/>
    <w:rsid w:val="007346AE"/>
    <w:rsid w:val="007456BC"/>
    <w:rsid w:val="00763CF0"/>
    <w:rsid w:val="00765535"/>
    <w:rsid w:val="007824C4"/>
    <w:rsid w:val="007972FF"/>
    <w:rsid w:val="007A6D9B"/>
    <w:rsid w:val="007A77C3"/>
    <w:rsid w:val="007C164D"/>
    <w:rsid w:val="007E1BEB"/>
    <w:rsid w:val="007F63ED"/>
    <w:rsid w:val="00801749"/>
    <w:rsid w:val="0080448B"/>
    <w:rsid w:val="00807154"/>
    <w:rsid w:val="00811EC4"/>
    <w:rsid w:val="00821846"/>
    <w:rsid w:val="008328EE"/>
    <w:rsid w:val="00853D83"/>
    <w:rsid w:val="00854689"/>
    <w:rsid w:val="00870ED0"/>
    <w:rsid w:val="008711CE"/>
    <w:rsid w:val="008726C5"/>
    <w:rsid w:val="00886CCA"/>
    <w:rsid w:val="00890084"/>
    <w:rsid w:val="008942F6"/>
    <w:rsid w:val="008B4787"/>
    <w:rsid w:val="008B5CB3"/>
    <w:rsid w:val="008C6AAE"/>
    <w:rsid w:val="008D2C85"/>
    <w:rsid w:val="008D3498"/>
    <w:rsid w:val="008E7A3A"/>
    <w:rsid w:val="008F0AE6"/>
    <w:rsid w:val="008F2291"/>
    <w:rsid w:val="00910FF3"/>
    <w:rsid w:val="00913009"/>
    <w:rsid w:val="0091390B"/>
    <w:rsid w:val="00916EB7"/>
    <w:rsid w:val="009240BB"/>
    <w:rsid w:val="00926C03"/>
    <w:rsid w:val="0094030E"/>
    <w:rsid w:val="0094364F"/>
    <w:rsid w:val="009443DB"/>
    <w:rsid w:val="00954F1F"/>
    <w:rsid w:val="00961D64"/>
    <w:rsid w:val="00975A75"/>
    <w:rsid w:val="009844D4"/>
    <w:rsid w:val="009B6B02"/>
    <w:rsid w:val="009C0DEF"/>
    <w:rsid w:val="009D0C4F"/>
    <w:rsid w:val="009D38B0"/>
    <w:rsid w:val="009F0B84"/>
    <w:rsid w:val="00A00D12"/>
    <w:rsid w:val="00A0114B"/>
    <w:rsid w:val="00A02CD3"/>
    <w:rsid w:val="00A26DE5"/>
    <w:rsid w:val="00A30FBD"/>
    <w:rsid w:val="00A33194"/>
    <w:rsid w:val="00A531DE"/>
    <w:rsid w:val="00A81C54"/>
    <w:rsid w:val="00A85BE8"/>
    <w:rsid w:val="00A8611D"/>
    <w:rsid w:val="00A90CCB"/>
    <w:rsid w:val="00A9173A"/>
    <w:rsid w:val="00AB1BB2"/>
    <w:rsid w:val="00AB2D41"/>
    <w:rsid w:val="00AE0F6B"/>
    <w:rsid w:val="00B0117E"/>
    <w:rsid w:val="00B35A0E"/>
    <w:rsid w:val="00B461B8"/>
    <w:rsid w:val="00B8134E"/>
    <w:rsid w:val="00B855B2"/>
    <w:rsid w:val="00B86D4C"/>
    <w:rsid w:val="00B903C1"/>
    <w:rsid w:val="00BB1597"/>
    <w:rsid w:val="00BD011F"/>
    <w:rsid w:val="00BD4295"/>
    <w:rsid w:val="00BE1E3A"/>
    <w:rsid w:val="00BE4DD1"/>
    <w:rsid w:val="00BF34CB"/>
    <w:rsid w:val="00C052F8"/>
    <w:rsid w:val="00C06440"/>
    <w:rsid w:val="00C06A40"/>
    <w:rsid w:val="00C13F6C"/>
    <w:rsid w:val="00C27C71"/>
    <w:rsid w:val="00C3111D"/>
    <w:rsid w:val="00C5378B"/>
    <w:rsid w:val="00C7771A"/>
    <w:rsid w:val="00CA14AE"/>
    <w:rsid w:val="00CB261F"/>
    <w:rsid w:val="00CC5FA6"/>
    <w:rsid w:val="00CD7FE4"/>
    <w:rsid w:val="00CE45EC"/>
    <w:rsid w:val="00CE55A8"/>
    <w:rsid w:val="00D071A8"/>
    <w:rsid w:val="00D156B3"/>
    <w:rsid w:val="00D15BD1"/>
    <w:rsid w:val="00D2623C"/>
    <w:rsid w:val="00D37EC7"/>
    <w:rsid w:val="00D55AB6"/>
    <w:rsid w:val="00D67F6D"/>
    <w:rsid w:val="00D7301C"/>
    <w:rsid w:val="00D96C4B"/>
    <w:rsid w:val="00DA105C"/>
    <w:rsid w:val="00DB18E4"/>
    <w:rsid w:val="00DC1896"/>
    <w:rsid w:val="00DC6395"/>
    <w:rsid w:val="00DD02EA"/>
    <w:rsid w:val="00DE48BE"/>
    <w:rsid w:val="00DF2EE6"/>
    <w:rsid w:val="00E121FC"/>
    <w:rsid w:val="00E16B7B"/>
    <w:rsid w:val="00E30461"/>
    <w:rsid w:val="00E50ED5"/>
    <w:rsid w:val="00E5641E"/>
    <w:rsid w:val="00E711B9"/>
    <w:rsid w:val="00E72FA8"/>
    <w:rsid w:val="00E842F9"/>
    <w:rsid w:val="00E84C0F"/>
    <w:rsid w:val="00E97A9A"/>
    <w:rsid w:val="00EB1D1E"/>
    <w:rsid w:val="00EB5E66"/>
    <w:rsid w:val="00EC69AC"/>
    <w:rsid w:val="00EE1334"/>
    <w:rsid w:val="00EE433E"/>
    <w:rsid w:val="00EF5DDE"/>
    <w:rsid w:val="00F03705"/>
    <w:rsid w:val="00F106A7"/>
    <w:rsid w:val="00F13161"/>
    <w:rsid w:val="00F135D9"/>
    <w:rsid w:val="00F13A12"/>
    <w:rsid w:val="00F15D6E"/>
    <w:rsid w:val="00F21989"/>
    <w:rsid w:val="00F274CA"/>
    <w:rsid w:val="00F2788D"/>
    <w:rsid w:val="00F3002C"/>
    <w:rsid w:val="00F36B09"/>
    <w:rsid w:val="00F46E2B"/>
    <w:rsid w:val="00F748B7"/>
    <w:rsid w:val="00F829EB"/>
    <w:rsid w:val="00F92D41"/>
    <w:rsid w:val="00F9644F"/>
    <w:rsid w:val="00FA4AE8"/>
    <w:rsid w:val="00FA52A5"/>
    <w:rsid w:val="00FC569E"/>
    <w:rsid w:val="00FD1B74"/>
    <w:rsid w:val="00FD285A"/>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9AE4B-4682-4D3B-8EF4-F0233329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2</cp:revision>
  <dcterms:created xsi:type="dcterms:W3CDTF">2014-11-11T18:33:00Z</dcterms:created>
  <dcterms:modified xsi:type="dcterms:W3CDTF">2014-11-11T18:33:00Z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id="OINe4Olk"/&gt;&lt;style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