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SBL Digital Humanities in Biblical, Early Jewish,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2D4CFF" w:rsidRDefault="00F13A12" w:rsidP="003E4B80">
      <w:pPr>
        <w:rPr>
          <w:i/>
          <w:iCs/>
        </w:rPr>
      </w:pPr>
      <w:r>
        <w:rPr>
          <w:i/>
          <w:iCs/>
        </w:rPr>
        <w:tab/>
        <w:t>To facilitate your reading of this paper, you may want to follow along with the “slides</w:t>
      </w:r>
      <w:r w:rsidR="008B4787">
        <w:rPr>
          <w:i/>
          <w:iCs/>
        </w:rPr>
        <w:t>.</w:t>
      </w:r>
      <w:r>
        <w:rPr>
          <w:i/>
          <w:iCs/>
        </w:rPr>
        <w:t xml:space="preserve">” </w:t>
      </w:r>
      <w:r w:rsidR="008B4787">
        <w:rPr>
          <w:i/>
          <w:iCs/>
        </w:rPr>
        <w:t xml:space="preserve">To get material disseminated more quickly, the powerpoint will take your through the first few pages before the URL is needed (these slides will be posted in the html eventually). </w:t>
      </w:r>
      <w:r>
        <w:rPr>
          <w:i/>
          <w:iCs/>
        </w:rPr>
        <w:t xml:space="preserve">Please visit </w:t>
      </w:r>
      <w:hyperlink r:id="rId9" w:history="1">
        <w:r w:rsidRPr="007920EE">
          <w:rPr>
            <w:rStyle w:val="Hyperlink"/>
            <w:i/>
            <w:iCs/>
          </w:rPr>
          <w:t>http://tinyurl.com/ApocalypseAndEmpire</w:t>
        </w:r>
      </w:hyperlink>
      <w:r>
        <w:rPr>
          <w:i/>
          <w:iCs/>
        </w:rPr>
        <w:t xml:space="preserve"> to start.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3E4B80">
      <w:r>
        <w:t>Good afternoon: Given the nature of my paper, I would encourage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1B6914">
      <w:pPr>
        <w:ind w:firstLine="720"/>
      </w:pPr>
      <w:r>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w:t>
      </w:r>
      <w:r w:rsidR="00712E7F">
        <w:lastRenderedPageBreak/>
        <w:t>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John’s </w:t>
      </w:r>
      <w:r w:rsidR="00712E7F">
        <w:t>use</w:t>
      </w:r>
      <w:r>
        <w:t xml:space="preserve"> of prophetic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physical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Since none of the prophets left behind a handbook explaining how they would reference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684C9D">
        <w:t xml:space="preserve">Joel 3:16 repeats the same phrase from Amos: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either through extended verbal parallels (as in Jeremiah 29 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r w:rsidR="00043A08" w:rsidRPr="00444727">
        <w:rPr>
          <w:i/>
          <w:iCs/>
        </w:rPr>
        <w:t>haggolah</w:t>
      </w:r>
      <w:r w:rsidR="00043A08">
        <w:t xml:space="preserve"> (the exiles) and </w:t>
      </w:r>
      <w:r w:rsidR="00043A08" w:rsidRPr="00444727">
        <w:rPr>
          <w:i/>
          <w:iCs/>
        </w:rPr>
        <w:t>wegiylu</w:t>
      </w:r>
      <w:r w:rsidR="00043A08">
        <w:t xml:space="preserve"> </w:t>
      </w:r>
      <w:r w:rsidR="00043A08">
        <w:lastRenderedPageBreak/>
        <w:t xml:space="preserve">(rejoice), though the secondary interplay of building houses and dwelling in them remains.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3D2F65">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similar themes and motifs all suggest intentionality on the author’s part; allusions are a sort of shibboleth to sort the sophisticated reader from the naïve.</w:t>
      </w:r>
      <w:r w:rsidR="005A3DD0">
        <w:rPr>
          <w:rStyle w:val="FootnoteReference"/>
        </w:rPr>
        <w:footnoteReference w:id="5"/>
      </w:r>
      <w:r w:rsidR="005A3DD0">
        <w:t xml:space="preserve"> </w:t>
      </w:r>
      <w:r w:rsidR="00886CCA">
        <w:t xml:space="preserve">One </w:t>
      </w:r>
      <w:r w:rsidR="008328EE">
        <w:t>concern</w:t>
      </w:r>
      <w:r w:rsidR="00886CCA">
        <w:t xml:space="preserve"> is literary </w:t>
      </w:r>
      <w:r w:rsidR="00291493">
        <w:t>dependency</w:t>
      </w:r>
      <w:r w:rsidR="0043751A">
        <w:t xml:space="preserve">: who is borrowing from whom? </w:t>
      </w:r>
      <w:r w:rsidR="00C13F6C">
        <w:t xml:space="preserve">Was Deutero-Isaiah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dependency is obviously less crucial in Revelation, but we lack the markers of citation familiar </w:t>
      </w:r>
      <w:r w:rsidR="00C3111D">
        <w:t xml:space="preserve">to us from John’s contemporaries;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F759A0">
      <w:pPr>
        <w:ind w:firstLine="720"/>
      </w:pPr>
      <w:r>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w:t>
      </w:r>
      <w:r w:rsidR="00C13F6C">
        <w:lastRenderedPageBreak/>
        <w:t>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9F0B84">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ever-flowing stream</w:t>
      </w:r>
      <w:r w:rsidR="005E5B41">
        <w:t xml:space="preserve"> flooding the reader.</w:t>
      </w:r>
      <w:r w:rsidR="0006190B">
        <w:t xml:space="preserve"> </w:t>
      </w:r>
    </w:p>
    <w:p w:rsidR="003767F5" w:rsidRDefault="00961D64" w:rsidP="0006190B">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divergent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r w:rsidR="003330EC">
        <w:t>B</w:t>
      </w:r>
      <w:r w:rsidR="0006190B">
        <w:t>roadly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3E4B80">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611876">
        <w:t>The pdf edition</w:t>
      </w:r>
      <w:r w:rsidR="006128BC">
        <w:t xml:space="preserve"> of the SBL Greek New Testament and </w:t>
      </w:r>
      <w:r w:rsidR="006128BC">
        <w:lastRenderedPageBreak/>
        <w:t>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Nestle’s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426F2F">
      <w:pPr>
        <w:pStyle w:val="ListParagraph"/>
        <w:ind w:left="0" w:firstLine="720"/>
      </w:pPr>
      <w:r>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w:t>
      </w:r>
      <w:r w:rsidR="00304F3E">
        <w:lastRenderedPageBreak/>
        <w:t xml:space="preserve">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elective nature of case studies. </w:t>
      </w:r>
      <w:r w:rsidR="001C07C6">
        <w:t>Nevertheless, it is instructive to see how thoroughly John described</w:t>
      </w:r>
      <w:r w:rsidR="00E72FA8">
        <w:t xml:space="preserve"> the whore</w:t>
      </w:r>
      <w:r w:rsidR="001C07C6">
        <w:t>-</w:t>
      </w:r>
      <w:r w:rsidR="00E72FA8">
        <w:t>cum-</w:t>
      </w:r>
      <w:r w:rsidR="001C07C6">
        <w:t xml:space="preserve">city of Rome with </w:t>
      </w:r>
      <w:r w:rsidR="00DE48BE">
        <w:t>evocative</w:t>
      </w:r>
      <w:r w:rsidR="001C07C6">
        <w:t xml:space="preserve"> language. </w:t>
      </w:r>
    </w:p>
    <w:p w:rsidR="00F36B09" w:rsidRDefault="00854689" w:rsidP="00426F2F">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A30FBD">
        <w:t xml:space="preserve">The use of Babylon as the ciphered name for Rome has long been understood as a </w:t>
      </w:r>
      <w:r w:rsidR="001102BA">
        <w:t>means of connection the Flavian</w:t>
      </w:r>
      <w:r w:rsidR="00A30FBD">
        <w:t>s</w:t>
      </w:r>
      <w:r w:rsidR="001102BA">
        <w:t>’</w:t>
      </w:r>
      <w:r w:rsidR="00A30FBD">
        <w:t xml:space="preserve"> destruction of the Second Temple with Nebuchadnezzar’s destruction of the First. </w:t>
      </w:r>
      <w:r w:rsidR="00DE48BE">
        <w:t>The bowl of plagues recalls the exodus narrative and the conquest of Egypt</w:t>
      </w:r>
      <w:r w:rsidR="00B46A31">
        <w:t>, recounted both in the Psalms and in Exodus 7-12</w:t>
      </w:r>
      <w:r w:rsidR="00DE48BE">
        <w:t>.</w:t>
      </w:r>
      <w:r w:rsidR="0050197D">
        <w:rPr>
          <w:rStyle w:val="FootnoteReference"/>
        </w:rPr>
        <w:footnoteReference w:id="16"/>
      </w:r>
      <w:r w:rsidR="00DE48BE">
        <w:t xml:space="preserve"> 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Tyre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067DAC">
        <w:t>In verse six we 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8726C5">
        <w:t>Similarly, the depiction of the whore riding the crimson beast recalls t</w:t>
      </w:r>
      <w:r w:rsidR="00A30FBD">
        <w:t>he two beasts of Revelat</w:t>
      </w:r>
      <w:r w:rsidR="002010B5">
        <w:t xml:space="preserve">ion 13 </w:t>
      </w:r>
      <w:r w:rsidR="00A30FBD">
        <w:t xml:space="preserve">and of </w:t>
      </w:r>
      <w:r w:rsidR="002010B5">
        <w:t xml:space="preserve">Antiochus Epiphanes in </w:t>
      </w:r>
      <w:r w:rsidR="00A30FBD">
        <w:t xml:space="preserve">Daniel 7. </w:t>
      </w:r>
      <w:r w:rsidR="00CB261F">
        <w:t xml:space="preserve">By </w:t>
      </w:r>
      <w:r w:rsidR="00FD1B74">
        <w:t xml:space="preserve">combining these </w:t>
      </w:r>
      <w:r w:rsidR="00DE48BE">
        <w:t>allusions</w:t>
      </w:r>
      <w:r w:rsidR="001E13AF">
        <w:t xml:space="preserve"> together, </w:t>
      </w:r>
      <w:r w:rsidR="00DE48BE">
        <w:t xml:space="preserve">Egypt, Babylon, Tyre, Ninevah, Jezebel, </w:t>
      </w:r>
      <w:r w:rsidR="002010B5">
        <w:t xml:space="preserve">and the Seleucids, </w:t>
      </w:r>
      <w:r w:rsidR="001E13AF">
        <w:t xml:space="preserve">John 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lastRenderedPageBreak/>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EB1D1E" w:rsidRPr="00A81C54" w:rsidRDefault="00EB1D1E" w:rsidP="00115797">
      <w:pPr>
        <w:ind w:firstLine="720"/>
      </w:pPr>
      <w:r>
        <w:t xml:space="preserve">Turning to Revelation 18:1-3, we find two distinctive features of Revelation’s intertextuality. The first concerns the text form used by John in the quotation of 18:2 – </w:t>
      </w:r>
      <w:r w:rsidRPr="00EB1D1E">
        <w:rPr>
          <w:i/>
          <w:iCs/>
        </w:rPr>
        <w:t>epesen, epesen Babul</w:t>
      </w:r>
      <w:r w:rsidRPr="00EB1D1E">
        <w:rPr>
          <w:rFonts w:cs="Times New Roman"/>
          <w:i/>
          <w:iCs/>
        </w:rPr>
        <w:t>ō</w:t>
      </w:r>
      <w:r w:rsidRPr="00EB1D1E">
        <w:rPr>
          <w:i/>
          <w:iCs/>
        </w:rPr>
        <w:t>n</w:t>
      </w:r>
      <w:r>
        <w:t xml:space="preserve">. The double proclamation of Babylon’s downfall quotes the Masoretic Text of Isaiah 21:9, rather than the LXX – </w:t>
      </w:r>
      <w:r w:rsidRPr="00EB1D1E">
        <w:rPr>
          <w:i/>
          <w:iCs/>
        </w:rPr>
        <w:t xml:space="preserve">naflah, naflah bavel.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F21989">
      <w:pPr>
        <w:ind w:firstLine="720"/>
      </w:pPr>
      <w:r w:rsidRPr="00331154">
        <w:rPr>
          <w:highlight w:val="yellow"/>
        </w:rPr>
        <w:t xml:space="preserve">The second intertextual feature is the </w:t>
      </w:r>
      <w:r w:rsidR="00D55AB6" w:rsidRPr="00331154">
        <w:rPr>
          <w:highlight w:val="yellow"/>
        </w:rPr>
        <w:t xml:space="preserve">so-called </w:t>
      </w:r>
      <w:r w:rsidRPr="00331154">
        <w:rPr>
          <w:highlight w:val="yellow"/>
        </w:rPr>
        <w:t xml:space="preserve">“double utilization” of a single Scriptural image for two purposes. </w:t>
      </w:r>
      <w:r w:rsidR="00A26DE5" w:rsidRPr="00331154">
        <w:rPr>
          <w:highlight w:val="yellow"/>
        </w:rPr>
        <w:t xml:space="preserve">The cup of wine, again a reference to Jeremiah, served as the cup of the Great Whore’s lustful iniquity in 17:2. In 18:3, however, the wine of the wrath returns again, though now the cup is God’s cup of wrath which </w:t>
      </w:r>
      <w:r w:rsidR="00713C2C" w:rsidRPr="00331154">
        <w:rPr>
          <w:highlight w:val="yellow"/>
        </w:rPr>
        <w:t>causes the nations to fall.</w:t>
      </w:r>
      <w:r w:rsidR="00713C2C">
        <w:t xml:space="preserve"> </w:t>
      </w:r>
    </w:p>
    <w:p w:rsidR="00821846" w:rsidRDefault="002D2BFF" w:rsidP="00F829EB">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If properly coded, the text can be manipulated to display only those references to the particular work. Here, for </w:t>
      </w:r>
      <w:r w:rsidR="00F274CA">
        <w:t xml:space="preserve">example, we see </w:t>
      </w:r>
      <w:r w:rsidR="00F274CA">
        <w:lastRenderedPageBreak/>
        <w:t>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p>
    <w:p w:rsidR="00331154" w:rsidRDefault="00821846" w:rsidP="00331154">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the major vari</w:t>
      </w:r>
      <w:r w:rsidR="005A3CD1">
        <w:t xml:space="preserve">ants and their textual support in the side window. </w:t>
      </w:r>
      <w:r w:rsidR="00331154">
        <w:t>However, t</w:t>
      </w:r>
      <w:r w:rsidR="00A02CD3">
        <w:t>he variations in both 18</w:t>
      </w:r>
      <w:r w:rsidR="00331154">
        <w:t xml:space="preserve">:2 and 3 regard intertexuality and merit some discussion. </w:t>
      </w:r>
    </w:p>
    <w:p w:rsidR="00113C6E" w:rsidRPr="00146AD5" w:rsidRDefault="00113C6E" w:rsidP="00330B06">
      <w:pPr>
        <w:ind w:firstLine="720"/>
      </w:pPr>
      <w:r>
        <w:t>In 18:2, we find that the third class of animals that haunt Babylon, the unclean beasts, have been dropped</w:t>
      </w:r>
      <w:r w:rsidR="00330B06">
        <w:t xml:space="preserve"> in some manuscripts</w:t>
      </w:r>
      <w:r>
        <w:t xml:space="preserve">.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that it better reflects the theme </w:t>
      </w:r>
      <w:r w:rsidR="00330B06">
        <w:t>of</w:t>
      </w:r>
      <w:r w:rsidR="00F46E2B">
        <w:t xml:space="preserve">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r w:rsidR="00146AD5" w:rsidRPr="00146AD5">
        <w:rPr>
          <w:i/>
          <w:iCs/>
        </w:rPr>
        <w:t>daimon</w:t>
      </w:r>
      <w:r w:rsidR="00146AD5">
        <w:t xml:space="preserve"> and </w:t>
      </w:r>
      <w:r w:rsidR="00146AD5">
        <w:rPr>
          <w:i/>
          <w:iCs/>
        </w:rPr>
        <w:t>theria</w:t>
      </w:r>
      <w:r w:rsidR="00146AD5">
        <w:t xml:space="preserve">. </w:t>
      </w:r>
    </w:p>
    <w:p w:rsidR="00F46E2B" w:rsidRDefault="00F46E2B" w:rsidP="003E4B80">
      <w:pPr>
        <w:ind w:firstLine="720"/>
      </w:pPr>
      <w:r>
        <w:t xml:space="preserve">The variation on 18:3 presents another interesting </w:t>
      </w:r>
      <w:r w:rsidR="004C6E77">
        <w:t xml:space="preserve">case regarding the verb associated with </w:t>
      </w:r>
      <w:r w:rsidR="004C6E77">
        <w:rPr>
          <w:i/>
          <w:iCs/>
        </w:rPr>
        <w:t>ta ethne</w:t>
      </w:r>
      <w:r w:rsidR="004C6E77">
        <w:t xml:space="preserve"> and the text-form John is using. If </w:t>
      </w:r>
      <w:r w:rsidR="004C6E77" w:rsidRPr="00BF34CB">
        <w:rPr>
          <w:i/>
          <w:iCs/>
        </w:rPr>
        <w:t>peptokan</w:t>
      </w:r>
      <w:r w:rsidR="004C6E77">
        <w:t xml:space="preserve"> is accepted, John would seem to be allud</w:t>
      </w:r>
      <w:r w:rsidR="00BE1E3A">
        <w:t>ing to Jeremiah 51:7, translating</w:t>
      </w:r>
      <w:r w:rsidR="004C6E77">
        <w:t xml:space="preserve"> </w:t>
      </w:r>
      <w:r w:rsidR="000E4FC8">
        <w:t>the hiphi</w:t>
      </w:r>
      <w:r w:rsidR="004C6E77">
        <w:t xml:space="preserve">l of </w:t>
      </w:r>
      <w:r w:rsidR="004C6E77">
        <w:rPr>
          <w:i/>
          <w:iCs/>
        </w:rPr>
        <w:t>shakar</w:t>
      </w:r>
      <w:r w:rsidR="004C6E77">
        <w:t xml:space="preserve"> with a perfect active indicative of the verb </w:t>
      </w:r>
      <w:r w:rsidR="004C6E77" w:rsidRPr="004C6E77">
        <w:rPr>
          <w:i/>
          <w:iCs/>
        </w:rPr>
        <w:t>pino</w:t>
      </w:r>
      <w:r w:rsidR="004C6E77">
        <w:t xml:space="preserve">, since the Septuagint has a form of </w:t>
      </w:r>
      <w:r w:rsidR="004C6E77">
        <w:rPr>
          <w:i/>
          <w:iCs/>
        </w:rPr>
        <w:t>methusko</w:t>
      </w:r>
      <w:r w:rsidR="004C6E77">
        <w:t xml:space="preserve">. </w:t>
      </w:r>
    </w:p>
    <w:p w:rsidR="0005221B" w:rsidRPr="004C6E77" w:rsidRDefault="002D69F9" w:rsidP="00DD4BAA">
      <w:pPr>
        <w:ind w:firstLine="720"/>
      </w:pPr>
      <w:r>
        <w:t xml:space="preserve">The aural and visual similarities which may have resulted in this manuscript variation may </w:t>
      </w:r>
      <w:r w:rsidR="00DD4BAA">
        <w:t>be intentional</w:t>
      </w:r>
      <w:r>
        <w:t xml:space="preserve">. John may also be engaging in word play here similar to Deutero-Isaiah’s </w:t>
      </w:r>
      <w:r w:rsidRPr="00890084">
        <w:rPr>
          <w:i/>
          <w:iCs/>
        </w:rPr>
        <w:lastRenderedPageBreak/>
        <w:t>haggolah</w:t>
      </w:r>
      <w:r>
        <w:t xml:space="preserve"> and </w:t>
      </w:r>
      <w:r w:rsidRPr="00890084">
        <w:rPr>
          <w:i/>
          <w:iCs/>
          <w:u w:val="single"/>
        </w:rPr>
        <w:t>wegiylu</w:t>
      </w:r>
      <w:r>
        <w:t xml:space="preserve">. Many commentators have noted that the Septuagint of Isaiah uses </w:t>
      </w:r>
      <w:r w:rsidRPr="00C06440">
        <w:rPr>
          <w:i/>
          <w:iCs/>
        </w:rPr>
        <w:t>emporion</w:t>
      </w:r>
      <w:r>
        <w:rPr>
          <w:b/>
          <w:bCs/>
        </w:rPr>
        <w:t xml:space="preserve"> </w:t>
      </w:r>
      <w:r>
        <w:t xml:space="preserve">for the Hebrew </w:t>
      </w:r>
      <w:r w:rsidRPr="00C06440">
        <w:rPr>
          <w:i/>
          <w:iCs/>
        </w:rPr>
        <w:t>etnan</w:t>
      </w:r>
      <w:r>
        <w:t xml:space="preserve">, the wages of a prostitute. The kings of the earth committed fornication – </w:t>
      </w:r>
      <w:r w:rsidRPr="002D69F9">
        <w:rPr>
          <w:i/>
          <w:iCs/>
        </w:rPr>
        <w:t>eporneusan</w:t>
      </w:r>
      <w:r>
        <w:rPr>
          <w:i/>
          <w:iCs/>
        </w:rPr>
        <w:t xml:space="preserve"> </w:t>
      </w:r>
      <w:r>
        <w:t>– with the whore.</w:t>
      </w:r>
      <w:r w:rsidR="00D37EC7">
        <w:t xml:space="preserve"> </w:t>
      </w:r>
      <w:r>
        <w:t xml:space="preserve">John may have also used a form of </w:t>
      </w:r>
      <w:r>
        <w:rPr>
          <w:i/>
          <w:iCs/>
        </w:rPr>
        <w:t>pino</w:t>
      </w:r>
      <w:r>
        <w:t xml:space="preserve"> instead of </w:t>
      </w:r>
      <w:r w:rsidRPr="00C06440">
        <w:rPr>
          <w:i/>
          <w:iCs/>
        </w:rPr>
        <w:t>methusko</w:t>
      </w:r>
      <w:r>
        <w:rPr>
          <w:b/>
          <w:bCs/>
        </w:rPr>
        <w:t xml:space="preserve"> </w:t>
      </w:r>
      <w:r>
        <w:t xml:space="preserve">for the aural similarities between </w:t>
      </w:r>
      <w:r>
        <w:rPr>
          <w:i/>
          <w:iCs/>
        </w:rPr>
        <w:t xml:space="preserve">pepokan </w:t>
      </w:r>
      <w:r>
        <w:t xml:space="preserve">and </w:t>
      </w:r>
      <w:r>
        <w:rPr>
          <w:i/>
          <w:iCs/>
        </w:rPr>
        <w:t>peptokan</w:t>
      </w:r>
      <w:r>
        <w:t>.</w:t>
      </w:r>
      <w:r w:rsidR="000E4051">
        <w:rPr>
          <w:rStyle w:val="FootnoteReference"/>
        </w:rPr>
        <w:footnoteReference w:id="19"/>
      </w:r>
      <w:r>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Thus Alexandrinus and Ephrae</w:t>
      </w:r>
      <w:r w:rsidR="00DD4BAA">
        <w:t>mi Rescriptus</w:t>
      </w:r>
      <w:r w:rsidR="00BF2E71">
        <w:t xml:space="preserve"> preserve “the nations have fallen because of the lust of the Whore.</w:t>
      </w:r>
      <w:r w:rsidR="00DD4BAA">
        <w:t>”</w:t>
      </w:r>
      <w:r w:rsidR="00BF2E71">
        <w:t xml:space="preserve"> </w:t>
      </w:r>
    </w:p>
    <w:p w:rsidR="007226C6" w:rsidRDefault="007226C6" w:rsidP="00385A7C">
      <w:r>
        <w:tab/>
      </w:r>
      <w:r w:rsidR="00B11D8F">
        <w:t xml:space="preserve"> Having explored Revelation’s proclamation of Babylon’s demise through a recollection of </w:t>
      </w:r>
      <w:r w:rsidR="00C17610">
        <w:t>the Lord’s</w:t>
      </w:r>
      <w:r w:rsidR="00B11D8F">
        <w:t xml:space="preserve"> judgment against the great empires, let us consider the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Trito-Isaiah. The bejeweled and </w:t>
      </w:r>
      <w:r w:rsidR="00347461">
        <w:t>richly-</w:t>
      </w:r>
      <w:r w:rsidR="00B11D8F">
        <w:t xml:space="preserve">adorned city reverses the decadence </w:t>
      </w:r>
      <w:r w:rsidR="00C17610">
        <w:t>of the Whorish city and</w:t>
      </w:r>
      <w:r w:rsidR="00B11D8F">
        <w:t xml:space="preserve"> </w:t>
      </w:r>
      <w:r w:rsidR="00C17610">
        <w:t xml:space="preserve">ascribes the glory and majesty due to God that Rome </w:t>
      </w:r>
      <w:r w:rsidR="005C5470">
        <w:t xml:space="preserve">had </w:t>
      </w:r>
      <w:r w:rsidR="00C17610">
        <w:t>usurped.</w:t>
      </w:r>
      <w:r w:rsidR="00410E66">
        <w:t xml:space="preserve"> </w:t>
      </w:r>
    </w:p>
    <w:p w:rsidR="00F13161" w:rsidRDefault="006B014D" w:rsidP="00410E66">
      <w:r>
        <w:tab/>
        <w:t xml:space="preserve">Jerusalem’s power is demonstrated not only in these images of wealth, but in the reapplication of </w:t>
      </w:r>
      <w:r w:rsidR="005C5470">
        <w:t xml:space="preserve">imperial imagery </w:t>
      </w:r>
      <w:r w:rsidR="005C5470">
        <w:t>found in</w:t>
      </w:r>
      <w:r w:rsidR="00327F52">
        <w:t xml:space="preserve"> Isaiah 60</w:t>
      </w:r>
      <w:r w:rsidR="005C5470">
        <w:t>.</w:t>
      </w:r>
      <w:r w:rsidR="00B109C4">
        <w:rPr>
          <w:rStyle w:val="FootnoteReference"/>
        </w:rPr>
        <w:footnoteReference w:id="21"/>
      </w:r>
      <w:r w:rsidR="005C5470">
        <w:t xml:space="preserve"> </w:t>
      </w:r>
      <w:r w:rsidR="005C5470">
        <w:t>In the 5</w:t>
      </w:r>
      <w:r w:rsidR="005C5470" w:rsidRPr="005C5470">
        <w:rPr>
          <w:vertAlign w:val="superscript"/>
        </w:rPr>
        <w:t>th</w:t>
      </w:r>
      <w:r w:rsidR="005C5470">
        <w:t xml:space="preserve"> century, Trito-</w:t>
      </w:r>
      <w:r w:rsidR="00327F52">
        <w:t>Isaiah</w:t>
      </w:r>
      <w:r w:rsidR="005C5470">
        <w:t xml:space="preserve"> </w:t>
      </w:r>
      <w:r w:rsidR="00327F52">
        <w:t xml:space="preserve">envisioned a restored Jerusalem. The nations would bring tribute to Zion gold and silver instead of bronze </w:t>
      </w:r>
      <w:r w:rsidR="00327F52">
        <w:lastRenderedPageBreak/>
        <w:t>an</w:t>
      </w:r>
      <w:r w:rsidR="00B109C4">
        <w:t xml:space="preserve">d iron, and kings their wealth. </w:t>
      </w:r>
      <w:r w:rsidR="00327F52">
        <w:t>The image of t</w:t>
      </w:r>
      <w:r w:rsidR="005C5470">
        <w:t xml:space="preserve">ributary </w:t>
      </w:r>
      <w:r w:rsidR="005C5470">
        <w:t>p</w:t>
      </w:r>
      <w:r w:rsidR="005C5470">
        <w:t xml:space="preserve">eoples </w:t>
      </w:r>
      <w:r w:rsidR="00327F52">
        <w:t xml:space="preserve">streaming </w:t>
      </w:r>
      <w:r w:rsidR="005C5470">
        <w:t>to the metropolis connote</w:t>
      </w:r>
      <w:r w:rsidR="00327F52">
        <w:t>s</w:t>
      </w:r>
      <w:r w:rsidR="005C5470">
        <w:t xml:space="preserve"> Babylonian imperial propaganda</w:t>
      </w:r>
      <w:r w:rsidR="00327F52">
        <w:t>, but b</w:t>
      </w:r>
      <w:r w:rsidR="005C5470">
        <w:t>y naming Jerusalem, rather than Babylon, the epicenter of tributary gifts</w:t>
      </w:r>
      <w:r w:rsidR="00327F52">
        <w:t>,</w:t>
      </w:r>
      <w:r w:rsidR="005C5470">
        <w:t xml:space="preserve"> Zion becomes the Lord’s metropole.</w:t>
      </w:r>
      <w:r w:rsidR="005C5470">
        <w:rPr>
          <w:rStyle w:val="FootnoteReference"/>
        </w:rPr>
        <w:footnoteReference w:id="22"/>
      </w:r>
      <w:r w:rsidR="005C5470">
        <w:t xml:space="preserve"> </w:t>
      </w:r>
      <w:r w:rsidR="006B2762">
        <w:t>Revelation’s appeal to Isaiah’s prophecy claims the terrestrial imperial from Rome and relocates it in the heavens.</w:t>
      </w:r>
      <w:r w:rsidR="00410E66">
        <w:t xml:space="preserve"> The culminating visions of the New Jerusalem thus fulfill the proclamation of glory, laud, and honor due to God and the Lamb: “The Empire of this World is now the Empire of our God and of his Christ. And he shall reign forever and ever.”</w:t>
      </w:r>
    </w:p>
    <w:p w:rsidR="00983DBC" w:rsidRDefault="00FC6DF3" w:rsidP="00134138">
      <w:pPr>
        <w:ind w:firstLine="720"/>
      </w:pPr>
      <w:r>
        <w:t>Amid</w:t>
      </w:r>
      <w:r w:rsidR="00983DBC">
        <w:t xml:space="preserve"> </w:t>
      </w:r>
      <w:r w:rsidR="00421829">
        <w:t xml:space="preserve">visual </w:t>
      </w:r>
      <w:r w:rsidR="00983DBC">
        <w:t xml:space="preserve">density of </w:t>
      </w:r>
      <w:r w:rsidR="00421829">
        <w:t>red due to</w:t>
      </w:r>
      <w:r w:rsidR="00983DBC">
        <w:t xml:space="preserve"> allusions to Isaiah</w:t>
      </w:r>
      <w:r>
        <w:t>, the negative space at the end of verse 23 encourages us to pause. L</w:t>
      </w:r>
      <w:r w:rsidR="00983DBC">
        <w:t xml:space="preserve">ike the notes </w:t>
      </w:r>
      <w:r w:rsidR="0048359C">
        <w:t xml:space="preserve">not played </w:t>
      </w:r>
      <w:r w:rsidR="00983DBC">
        <w:t xml:space="preserve">in a Jazz riff, </w:t>
      </w:r>
      <w:r>
        <w:t>the</w:t>
      </w:r>
      <w:r w:rsidR="00983DBC">
        <w:t xml:space="preserve"> distinctly Christological characteristic of </w:t>
      </w:r>
      <w:r w:rsidR="00134138">
        <w:t>restoration of Je</w:t>
      </w:r>
      <w:r w:rsidR="00410E66">
        <w:t>rusalem</w:t>
      </w:r>
      <w:r>
        <w:t xml:space="preserve"> is highlighted by </w:t>
      </w:r>
      <w:r w:rsidR="00097650">
        <w:t>its isolation</w:t>
      </w:r>
      <w:r w:rsidR="00983DBC">
        <w:t xml:space="preserve">. </w:t>
      </w:r>
      <w:r w:rsidR="00134138">
        <w:t xml:space="preserve">Though John proclaims the restoration of Jerusalem like Isaiah and Ezekiel before him, God’s victory over Babylon ultimately comes through the Lamb Who Stands As Slaughtered. Though John’s intertexuality led him to draw upon the prophets who proceeded him, he is a Christian prophet. </w:t>
      </w:r>
    </w:p>
    <w:p w:rsidR="006C7FA2" w:rsidRDefault="00410E66" w:rsidP="00AA4CD6">
      <w:r>
        <w:tab/>
      </w:r>
      <w:r w:rsidR="003D762F">
        <w:t>As a conclusion, consider Rev 22:6-7.</w:t>
      </w:r>
      <w:r w:rsidR="00F13161">
        <w:t xml:space="preserve"> John’s account of his vision </w:t>
      </w:r>
      <w:r w:rsidR="00134138">
        <w:t>closes</w:t>
      </w:r>
      <w:r w:rsidR="00F13161">
        <w:t xml:space="preserve"> by reasserting the validity and tru</w:t>
      </w:r>
      <w:r w:rsidR="00134138">
        <w:t>th of his prophetic book: “These words are faithful and true. The Lord, the God of the spirits of the prophets sent his angel to show to his servants the things which are necessary to happen.” Th</w:t>
      </w:r>
      <w:r w:rsidR="00AA4CD6">
        <w:t>e</w:t>
      </w:r>
      <w:r w:rsidR="00134138">
        <w:t xml:space="preserve"> phrase,</w:t>
      </w:r>
      <w:r w:rsidR="00F13161">
        <w:t xml:space="preserve"> </w:t>
      </w:r>
      <w:r w:rsidR="00AA4CD6">
        <w:t xml:space="preserve">“the things which are necessary to happen,” an allusion to Daniel 2, is </w:t>
      </w:r>
      <w:r w:rsidR="00F13161">
        <w:t>used in both Revelation’s introduction and here at the conclusion of the vision</w:t>
      </w:r>
      <w:r w:rsidR="00AA4CD6">
        <w:t xml:space="preserve"> to announce the imminence and the certainty of John’s vision. </w:t>
      </w:r>
    </w:p>
    <w:p w:rsidR="00D96C4B" w:rsidRDefault="006C7FA2" w:rsidP="006665D9">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 xml:space="preserve">Babylon, Egypt, Tyre, and Nineveh, </w:t>
      </w:r>
      <w:r>
        <w:lastRenderedPageBreak/>
        <w:t>Rome</w:t>
      </w:r>
      <w:r w:rsidR="007026DE">
        <w:t>’s Empire</w:t>
      </w:r>
      <w:r>
        <w:t xml:space="preserve"> will fall</w:t>
      </w:r>
      <w:r w:rsidR="007026DE">
        <w:t xml:space="preserve"> as well</w:t>
      </w:r>
      <w:r>
        <w:t xml:space="preserve">. </w:t>
      </w:r>
      <w:r w:rsidR="003237E8">
        <w:t xml:space="preserve">The Empire of God has replaced it, and the kings and nations which Babylon once ruled over now stream to </w:t>
      </w:r>
      <w:r w:rsidR="00AA4CD6">
        <w:t>the Lord’s new imperial</w:t>
      </w:r>
      <w:r w:rsidR="003237E8">
        <w:t xml:space="preserve"> city. </w:t>
      </w:r>
      <w:r>
        <w:t xml:space="preserve">Digital editions allow us to read like John asks us to read, recognizing, analyzing, and assimilating Revelation’s intertextuality and keeping the prophetic words. </w:t>
      </w:r>
    </w:p>
    <w:sectPr w:rsidR="00D96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6DB" w:rsidRDefault="002766DB" w:rsidP="002C7240">
      <w:pPr>
        <w:spacing w:line="240" w:lineRule="auto"/>
      </w:pPr>
      <w:r>
        <w:separator/>
      </w:r>
    </w:p>
  </w:endnote>
  <w:endnote w:type="continuationSeparator" w:id="0">
    <w:p w:rsidR="002766DB" w:rsidRDefault="002766DB"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6DB" w:rsidRDefault="002766DB" w:rsidP="002C7240">
      <w:pPr>
        <w:spacing w:line="240" w:lineRule="auto"/>
      </w:pPr>
      <w:r>
        <w:separator/>
      </w:r>
    </w:p>
  </w:footnote>
  <w:footnote w:type="continuationSeparator" w:id="0">
    <w:p w:rsidR="002766DB" w:rsidRDefault="002766DB" w:rsidP="002C7240">
      <w:pPr>
        <w:spacing w:line="240" w:lineRule="auto"/>
      </w:pPr>
      <w:r>
        <w:continuationSeparator/>
      </w:r>
    </w:p>
  </w:footnote>
  <w:footnote w:id="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2">
    <w:p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3">
    <w:p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4">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5">
    <w:p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6">
    <w:p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7">
    <w:p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8">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9">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0">
    <w:p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rsidRPr="00B10511">
        <w:rPr>
          <w:rFonts w:cs="Times New Roman"/>
        </w:rPr>
        <w:fldChar w:fldCharType="separate"/>
      </w:r>
      <w:r w:rsidRPr="00B10511">
        <w:rPr>
          <w:rFonts w:cs="Times New Roman"/>
          <w:szCs w:val="24"/>
        </w:rPr>
        <w:t xml:space="preserve">Henry B. Swete, </w:t>
      </w:r>
      <w:r w:rsidRPr="00B10511">
        <w:rPr>
          <w:rFonts w:cs="Times New Roman"/>
          <w:i/>
          <w:iCs/>
          <w:szCs w:val="24"/>
        </w:rPr>
        <w:t>The Apocalypse of St. John</w:t>
      </w:r>
      <w:r w:rsidRPr="00B10511">
        <w:rPr>
          <w:rFonts w:cs="Times New Roman"/>
          <w:szCs w:val="24"/>
        </w:rPr>
        <w:t xml:space="preserve"> (3rd ed.; London ; New York: Macmillan, 1909).</w:t>
      </w:r>
      <w:r w:rsidRPr="00B10511">
        <w:rPr>
          <w:rFonts w:cs="Times New Roman"/>
        </w:rPr>
        <w:fldChar w:fldCharType="end"/>
      </w:r>
    </w:p>
  </w:footnote>
  <w:footnote w:id="12">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rsidRPr="00B10511">
        <w:rPr>
          <w:rFonts w:cs="Times New Roman"/>
        </w:rPr>
        <w:fldChar w:fldCharType="separate"/>
      </w:r>
      <w:r w:rsidRPr="00B10511">
        <w:rPr>
          <w:rFonts w:cs="Times New Roman"/>
          <w:szCs w:val="24"/>
        </w:rPr>
        <w:t xml:space="preserve">R. H Charles, </w:t>
      </w:r>
      <w:r w:rsidRPr="00B10511">
        <w:rPr>
          <w:rFonts w:cs="Times New Roman"/>
          <w:i/>
          <w:iCs/>
          <w:szCs w:val="24"/>
        </w:rPr>
        <w:t>A Critical and Exegetical Commentary on the Revelation of St. John</w:t>
      </w:r>
      <w:r w:rsidRPr="00B10511">
        <w:rPr>
          <w:rFonts w:cs="Times New Roman"/>
          <w:szCs w:val="24"/>
        </w:rPr>
        <w:t xml:space="preserve"> (2 vols.; ICC 44; Edinburgh: T. &amp; T. Clark, 1920).</w:t>
      </w:r>
      <w:r w:rsidRPr="00B10511">
        <w:rPr>
          <w:rFonts w:cs="Times New Roman"/>
        </w:rPr>
        <w:fldChar w:fldCharType="end"/>
      </w:r>
    </w:p>
  </w:footnote>
  <w:footnote w:id="13">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rsidRPr="00B10511">
        <w:rPr>
          <w:rFonts w:cs="Times New Roman"/>
        </w:rPr>
        <w:fldChar w:fldCharType="separate"/>
      </w:r>
      <w:r w:rsidRPr="00B10511">
        <w:rPr>
          <w:rFonts w:cs="Times New Roman"/>
          <w:szCs w:val="24"/>
        </w:rPr>
        <w:t xml:space="preserve">David E. Aune, </w:t>
      </w:r>
      <w:r w:rsidRPr="00B10511">
        <w:rPr>
          <w:rFonts w:cs="Times New Roman"/>
          <w:i/>
          <w:iCs/>
          <w:szCs w:val="24"/>
        </w:rPr>
        <w:t>Revelation</w:t>
      </w:r>
      <w:r w:rsidRPr="00B10511">
        <w:rPr>
          <w:rFonts w:cs="Times New Roman"/>
          <w:szCs w:val="24"/>
        </w:rPr>
        <w:t xml:space="preserve"> (3 vols.; WBC 52A-C; Nashville: Thomas Nelson, 1997).</w:t>
      </w:r>
      <w:r w:rsidRPr="00B10511">
        <w:rPr>
          <w:rFonts w:cs="Times New Roman"/>
        </w:rPr>
        <w:fldChar w:fldCharType="end"/>
      </w:r>
    </w:p>
  </w:footnote>
  <w:footnote w:id="14">
    <w:p w:rsidR="00F748B7" w:rsidRPr="00B10511" w:rsidRDefault="00F748B7" w:rsidP="00A85BE8">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w:t>
      </w:r>
      <w:r w:rsidRPr="00B10511">
        <w:rPr>
          <w:rFonts w:cs="Times New Roman"/>
          <w:i/>
          <w:iCs/>
          <w:szCs w:val="24"/>
        </w:rPr>
        <w:t>The Book of Revelation: A Commentary on the Greek Text</w:t>
      </w:r>
      <w:r w:rsidRPr="00B10511">
        <w:rPr>
          <w:rFonts w:cs="Times New Roman"/>
          <w:szCs w:val="24"/>
        </w:rPr>
        <w:t xml:space="preserve"> (NIGTC; Grand Rapids, Mich.: Eerdmans, 1999).</w:t>
      </w:r>
      <w:r w:rsidRPr="00B10511">
        <w:rPr>
          <w:rFonts w:cs="Times New Roman"/>
        </w:rPr>
        <w:fldChar w:fldCharType="end"/>
      </w:r>
    </w:p>
  </w:footnote>
  <w:footnote w:id="15">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Pr="00B10511">
        <w:rPr>
          <w:rFonts w:cs="Times New Roman"/>
          <w:szCs w:val="24"/>
        </w:rPr>
        <w:t xml:space="preserve">Craig R. Koester, </w:t>
      </w:r>
      <w:r w:rsidRPr="00B10511">
        <w:rPr>
          <w:rFonts w:cs="Times New Roman"/>
          <w:i/>
          <w:iCs/>
          <w:szCs w:val="24"/>
        </w:rPr>
        <w:t>Revelation: A New Translation with Introduction and Commentary</w:t>
      </w:r>
      <w:r w:rsidRPr="00B10511">
        <w:rPr>
          <w:rFonts w:cs="Times New Roman"/>
          <w:szCs w:val="24"/>
        </w:rPr>
        <w:t xml:space="preserve"> (New Haven: Yale University Press, 2014).</w:t>
      </w:r>
      <w:r w:rsidRPr="00B10511">
        <w:rPr>
          <w:rFonts w:cs="Times New Roman"/>
        </w:rPr>
        <w:fldChar w:fldCharType="end"/>
      </w:r>
    </w:p>
  </w:footnote>
  <w:footnote w:id="16">
    <w:p w:rsidR="0050197D" w:rsidRPr="00B10511" w:rsidRDefault="0050197D">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 xml:space="preserve">Given my focus, I focused on 18:1-3 for the coding efforts and will continue with the rest of the chapters in the next two weeks. </w:t>
      </w:r>
    </w:p>
  </w:footnote>
  <w:footnote w:id="19">
    <w:p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(both in Isaiah  65 and in the </w:t>
      </w:r>
      <w:r w:rsidR="00DD4BAA" w:rsidRPr="00B10511">
        <w:rPr>
          <w:rFonts w:cs="Times New Roman"/>
          <w:i/>
          <w:iCs/>
        </w:rPr>
        <w:t>pesharim</w:t>
      </w:r>
      <w:r w:rsidR="00DD4BAA" w:rsidRPr="00B10511">
        <w:rPr>
          <w:rFonts w:cs="Times New Roman"/>
        </w:rPr>
        <w:t xml:space="preserve">). </w:t>
      </w:r>
    </w:p>
  </w:footnote>
  <w:footnote w:id="20">
    <w:p w:rsidR="00385A7C" w:rsidRPr="00B10511" w:rsidRDefault="00385A7C" w:rsidP="00B1201A">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bookmarkStart w:id="0" w:name="_GoBack"/>
      <w:bookmarkEnd w:id="0"/>
    </w:p>
  </w:footnote>
  <w:footnote w:id="21">
    <w:p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22">
    <w:p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E4051"/>
    <w:rsid w:val="000E4997"/>
    <w:rsid w:val="000E4FC8"/>
    <w:rsid w:val="000F0DBF"/>
    <w:rsid w:val="000F1D39"/>
    <w:rsid w:val="0010210A"/>
    <w:rsid w:val="001102BA"/>
    <w:rsid w:val="00113C6E"/>
    <w:rsid w:val="00115797"/>
    <w:rsid w:val="00125EC7"/>
    <w:rsid w:val="00134138"/>
    <w:rsid w:val="00142593"/>
    <w:rsid w:val="00146AD5"/>
    <w:rsid w:val="001647C1"/>
    <w:rsid w:val="00171542"/>
    <w:rsid w:val="00195621"/>
    <w:rsid w:val="00195BBF"/>
    <w:rsid w:val="001A0BAA"/>
    <w:rsid w:val="001A6361"/>
    <w:rsid w:val="001A6671"/>
    <w:rsid w:val="001B6914"/>
    <w:rsid w:val="001C07C6"/>
    <w:rsid w:val="001C66CF"/>
    <w:rsid w:val="001E03FF"/>
    <w:rsid w:val="001E13AF"/>
    <w:rsid w:val="001E4683"/>
    <w:rsid w:val="001E6253"/>
    <w:rsid w:val="002010B5"/>
    <w:rsid w:val="002115E6"/>
    <w:rsid w:val="0022008B"/>
    <w:rsid w:val="00263457"/>
    <w:rsid w:val="00267BF5"/>
    <w:rsid w:val="00274C15"/>
    <w:rsid w:val="002766DB"/>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74131"/>
    <w:rsid w:val="003767F5"/>
    <w:rsid w:val="00385A7C"/>
    <w:rsid w:val="00387C3E"/>
    <w:rsid w:val="00395CFF"/>
    <w:rsid w:val="003C1664"/>
    <w:rsid w:val="003C5719"/>
    <w:rsid w:val="003D2F65"/>
    <w:rsid w:val="003D762F"/>
    <w:rsid w:val="003E4B80"/>
    <w:rsid w:val="003F5928"/>
    <w:rsid w:val="00405142"/>
    <w:rsid w:val="00410E66"/>
    <w:rsid w:val="00417C0C"/>
    <w:rsid w:val="00421829"/>
    <w:rsid w:val="00426F2F"/>
    <w:rsid w:val="0043112F"/>
    <w:rsid w:val="0043751A"/>
    <w:rsid w:val="0044058F"/>
    <w:rsid w:val="00443E14"/>
    <w:rsid w:val="00444727"/>
    <w:rsid w:val="0045362B"/>
    <w:rsid w:val="0048359C"/>
    <w:rsid w:val="004A0667"/>
    <w:rsid w:val="004A230D"/>
    <w:rsid w:val="004B09B4"/>
    <w:rsid w:val="004B0BAD"/>
    <w:rsid w:val="004B5809"/>
    <w:rsid w:val="004C6E77"/>
    <w:rsid w:val="004E3ABC"/>
    <w:rsid w:val="004F2677"/>
    <w:rsid w:val="0050197D"/>
    <w:rsid w:val="00511885"/>
    <w:rsid w:val="00560ADB"/>
    <w:rsid w:val="00571C51"/>
    <w:rsid w:val="00583C09"/>
    <w:rsid w:val="005A3CD1"/>
    <w:rsid w:val="005A3DD0"/>
    <w:rsid w:val="005B785D"/>
    <w:rsid w:val="005C5470"/>
    <w:rsid w:val="005D7130"/>
    <w:rsid w:val="005E5B41"/>
    <w:rsid w:val="005F389D"/>
    <w:rsid w:val="00611876"/>
    <w:rsid w:val="006128BC"/>
    <w:rsid w:val="00622A66"/>
    <w:rsid w:val="00631028"/>
    <w:rsid w:val="00640F02"/>
    <w:rsid w:val="00641938"/>
    <w:rsid w:val="00644B9A"/>
    <w:rsid w:val="006665D9"/>
    <w:rsid w:val="00666B2D"/>
    <w:rsid w:val="006706DE"/>
    <w:rsid w:val="00680832"/>
    <w:rsid w:val="00684C9D"/>
    <w:rsid w:val="00685822"/>
    <w:rsid w:val="00685D2B"/>
    <w:rsid w:val="006B014D"/>
    <w:rsid w:val="006B2762"/>
    <w:rsid w:val="006C256B"/>
    <w:rsid w:val="006C4D21"/>
    <w:rsid w:val="006C6650"/>
    <w:rsid w:val="006C7FA2"/>
    <w:rsid w:val="006F5F44"/>
    <w:rsid w:val="007026DE"/>
    <w:rsid w:val="00712E7F"/>
    <w:rsid w:val="00713C2C"/>
    <w:rsid w:val="007226C6"/>
    <w:rsid w:val="00730E5C"/>
    <w:rsid w:val="007346AE"/>
    <w:rsid w:val="007456BC"/>
    <w:rsid w:val="00763CF0"/>
    <w:rsid w:val="00765535"/>
    <w:rsid w:val="007824C4"/>
    <w:rsid w:val="007972FF"/>
    <w:rsid w:val="007A6D9B"/>
    <w:rsid w:val="007A77C3"/>
    <w:rsid w:val="007C164D"/>
    <w:rsid w:val="007E1BEB"/>
    <w:rsid w:val="007F63ED"/>
    <w:rsid w:val="00801749"/>
    <w:rsid w:val="0080448B"/>
    <w:rsid w:val="00807154"/>
    <w:rsid w:val="00811EC4"/>
    <w:rsid w:val="00821846"/>
    <w:rsid w:val="008328EE"/>
    <w:rsid w:val="00853D83"/>
    <w:rsid w:val="0085447B"/>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910FF3"/>
    <w:rsid w:val="00913009"/>
    <w:rsid w:val="0091390B"/>
    <w:rsid w:val="009240BB"/>
    <w:rsid w:val="00926C03"/>
    <w:rsid w:val="0094030E"/>
    <w:rsid w:val="0094364F"/>
    <w:rsid w:val="009443DB"/>
    <w:rsid w:val="00954F1F"/>
    <w:rsid w:val="00961D64"/>
    <w:rsid w:val="00975A75"/>
    <w:rsid w:val="00983DBC"/>
    <w:rsid w:val="009844D4"/>
    <w:rsid w:val="009B6B02"/>
    <w:rsid w:val="009C0DEF"/>
    <w:rsid w:val="009D0C4F"/>
    <w:rsid w:val="009D38B0"/>
    <w:rsid w:val="009F0B84"/>
    <w:rsid w:val="00A00D12"/>
    <w:rsid w:val="00A0114B"/>
    <w:rsid w:val="00A02CD3"/>
    <w:rsid w:val="00A26DE5"/>
    <w:rsid w:val="00A30FBD"/>
    <w:rsid w:val="00A33194"/>
    <w:rsid w:val="00A531DE"/>
    <w:rsid w:val="00A81C54"/>
    <w:rsid w:val="00A85BE8"/>
    <w:rsid w:val="00A8611D"/>
    <w:rsid w:val="00A90CCB"/>
    <w:rsid w:val="00A9173A"/>
    <w:rsid w:val="00AA4CD6"/>
    <w:rsid w:val="00AB1BB2"/>
    <w:rsid w:val="00AB2D41"/>
    <w:rsid w:val="00AE0F6B"/>
    <w:rsid w:val="00B0117E"/>
    <w:rsid w:val="00B10511"/>
    <w:rsid w:val="00B109C4"/>
    <w:rsid w:val="00B11D8F"/>
    <w:rsid w:val="00B1201A"/>
    <w:rsid w:val="00B35A0E"/>
    <w:rsid w:val="00B461B8"/>
    <w:rsid w:val="00B46A31"/>
    <w:rsid w:val="00B6457E"/>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7771A"/>
    <w:rsid w:val="00CA14AE"/>
    <w:rsid w:val="00CB261F"/>
    <w:rsid w:val="00CC5FA6"/>
    <w:rsid w:val="00CC714C"/>
    <w:rsid w:val="00CD7FE4"/>
    <w:rsid w:val="00CE45EC"/>
    <w:rsid w:val="00CE55A8"/>
    <w:rsid w:val="00D071A8"/>
    <w:rsid w:val="00D156B3"/>
    <w:rsid w:val="00D15BD1"/>
    <w:rsid w:val="00D2623C"/>
    <w:rsid w:val="00D37EC7"/>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093E"/>
    <w:rsid w:val="00FC569E"/>
    <w:rsid w:val="00FC6DF3"/>
    <w:rsid w:val="00FD1B74"/>
    <w:rsid w:val="00FD285A"/>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1EC5-A2B8-4831-8532-D158A587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12</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29</cp:revision>
  <dcterms:created xsi:type="dcterms:W3CDTF">2014-11-11T18:33:00Z</dcterms:created>
  <dcterms:modified xsi:type="dcterms:W3CDTF">2014-11-12T00:50:00Z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