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Sales Scripts and Objection Handling</w:t>
      </w:r>
    </w:p>
    <w:p>
      <w:pPr>
        <w:jc w:val="center"/>
      </w:pPr>
      <w:r>
        <w:rPr>
          <w:i/>
          <w:color w:val="16213E"/>
          <w:sz w:val="26"/>
        </w:rPr>
        <w:t>Talk tracks for lender outreach, networking, calls, and objections.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Elevator Pitch</w:t>
      </w:r>
    </w:p>
    <w:p>
      <w:pPr>
        <w:ind w:left="360"/>
      </w:pPr>
      <w:r>
        <w:rPr>
          <w:i/>
        </w:rPr>
        <w:t>We help loan officers keep credit-challenged borrowers in the pipeline by giving those borrowers a structured mortgage-readiness plan, education, and milestone updates with consent. We are not asking for referral fees. We are offering a professional support lane for clients who are not ready today but may be ready with the right plan.</w:t>
      </w:r>
    </w:p>
    <w:p>
      <w:pPr>
        <w:pStyle w:val="Heading1"/>
      </w:pPr>
      <w:r>
        <w:t>Cold Call Script</w:t>
      </w:r>
    </w:p>
    <w:p>
      <w:r>
        <w:t>Hi, this is [Name] with Lending Readiness Partners. We work with loan officers who have borrowers that are close but not quite mortgage-ready because of credit issues. We help those borrowers understand the credit obstacles, create a readiness roadmap, and return to the lender when they are better prepared. Would it make sense to send you a one-page overview?</w:t>
      </w:r>
    </w:p>
    <w:p>
      <w:pPr>
        <w:pStyle w:val="Heading1"/>
      </w:pPr>
      <w:r>
        <w:t>Voicemail Script</w:t>
      </w:r>
    </w:p>
    <w:p>
      <w:r>
        <w:t>Hi [Name], this is [Name] with Lending Readiness Partners. We help mortgage professionals keep declined or borderline borrowers engaged through a credit-readiness process. I will send a quick overview by email. My number is [Phone].</w:t>
      </w:r>
    </w:p>
    <w:p>
      <w:pPr>
        <w:pStyle w:val="Heading1"/>
      </w:pPr>
      <w:r>
        <w:t>Networking Script</w:t>
      </w:r>
    </w:p>
    <w:p>
      <w:r>
        <w:t>We support loan officers and Realtors when a buyer is not ready today. Instead of losing that buyer, we give them a structured credit-readiness plan and keep them moving toward homeownership.</w:t>
      </w:r>
    </w:p>
    <w:p>
      <w:pPr>
        <w:pStyle w:val="Heading1"/>
      </w:pPr>
      <w:r>
        <w:t>Objection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Objection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Can you guarantee results?</w:t>
            </w:r>
          </w:p>
        </w:tc>
        <w:tc>
          <w:tcPr>
            <w:tcW w:type="dxa" w:w="5112"/>
          </w:tcPr>
          <w:p>
            <w:r>
              <w:t>No. We do not guarantee scores, deletions, or approvals. We provide documented analysis, education, and strategy.</w:t>
            </w:r>
          </w:p>
        </w:tc>
      </w:tr>
      <w:tr>
        <w:tc>
          <w:tcPr>
            <w:tcW w:type="dxa" w:w="5112"/>
          </w:tcPr>
          <w:p>
            <w:r>
              <w:t>How long does it take?</w:t>
            </w:r>
          </w:p>
        </w:tc>
        <w:tc>
          <w:tcPr>
            <w:tcW w:type="dxa" w:w="5112"/>
          </w:tcPr>
          <w:p>
            <w:r>
              <w:t>It depends on the credit profile. Many borrowers need 30, 60, 90, or 180+ days. We give a realistic roadmap after review.</w:t>
            </w:r>
          </w:p>
        </w:tc>
      </w:tr>
      <w:tr>
        <w:tc>
          <w:tcPr>
            <w:tcW w:type="dxa" w:w="5112"/>
          </w:tcPr>
          <w:p>
            <w:r>
              <w:t>Do you pay referral fees?</w:t>
            </w:r>
          </w:p>
        </w:tc>
        <w:tc>
          <w:tcPr>
            <w:tcW w:type="dxa" w:w="5112"/>
          </w:tcPr>
          <w:p>
            <w:r>
              <w:t>No. We avoid referral-fee arrangements and structure partner relationships around education and service quality.</w:t>
            </w:r>
          </w:p>
        </w:tc>
      </w:tr>
      <w:tr>
        <w:tc>
          <w:tcPr>
            <w:tcW w:type="dxa" w:w="5112"/>
          </w:tcPr>
          <w:p>
            <w:r>
              <w:t>Will this delay the loan?</w:t>
            </w:r>
          </w:p>
        </w:tc>
        <w:tc>
          <w:tcPr>
            <w:tcW w:type="dxa" w:w="5112"/>
          </w:tcPr>
          <w:p>
            <w:r>
              <w:t>We are generally most useful when the loan cannot proceed today. We help create the next path instead of letting the borrower disappear.</w:t>
            </w:r>
          </w:p>
        </w:tc>
      </w:tr>
      <w:tr>
        <w:tc>
          <w:tcPr>
            <w:tcW w:type="dxa" w:w="5112"/>
          </w:tcPr>
          <w:p>
            <w:r>
              <w:t>Are you a lender?</w:t>
            </w:r>
          </w:p>
        </w:tc>
        <w:tc>
          <w:tcPr>
            <w:tcW w:type="dxa" w:w="5112"/>
          </w:tcPr>
          <w:p>
            <w:r>
              <w:t>No. We do not originate loans. We support credit readiness and borrower education.</w:t>
            </w:r>
          </w:p>
        </w:tc>
      </w:tr>
    </w:tbl>
    <w:p/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