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8A8A"/>
          <w:sz w:val="26"/>
        </w:rPr>
        <w:t>LENDING READINESS PARTNERS</w:t>
      </w:r>
    </w:p>
    <w:p>
      <w:pPr>
        <w:jc w:val="center"/>
      </w:pPr>
      <w:r>
        <w:rPr>
          <w:rFonts w:ascii="Aptos Display" w:hAnsi="Aptos Display"/>
          <w:b/>
          <w:color w:val="16324F"/>
          <w:sz w:val="54"/>
        </w:rPr>
        <w:t>Print Collateral Copy Deck</w:t>
      </w:r>
    </w:p>
    <w:p>
      <w:pPr>
        <w:jc w:val="center"/>
      </w:pPr>
      <w:r>
        <w:rPr>
          <w:i/>
          <w:color w:val="6B7785"/>
          <w:sz w:val="22"/>
        </w:rPr>
        <w:t>Flyers, rack cards, postcards, referral pads and folder inserts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AF1F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9A"/>
              </w:rPr>
              <w:t>Helping More Borrowers Become Lending Ready.</w:t>
            </w:r>
          </w:p>
        </w:tc>
      </w:tr>
    </w:tbl>
    <w:p/>
    <w:p>
      <w:pPr>
        <w:pStyle w:val="Heading1"/>
      </w:pPr>
      <w:r>
        <w:t>Folder Cover</w:t>
      </w:r>
    </w:p>
    <w:p>
      <w:pPr>
        <w:pStyle w:val="Heading2"/>
      </w:pPr>
      <w:r>
        <w:t>HELPING MORE BORROWERS BECOME LENDING READY.</w:t>
      </w:r>
    </w:p>
    <w:p>
      <w:r>
        <w:t>A structured credit-readiness pathway for future homeowners and the professionals who serve them.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Folder Inside Left</w:t>
      </w:r>
    </w:p>
    <w:p>
      <w:pPr>
        <w:pStyle w:val="Heading2"/>
      </w:pPr>
      <w:r>
        <w:t>A “not yet” does not have to become a lost relationship.</w:t>
      </w:r>
    </w:p>
    <w:p>
      <w:r>
        <w:t>Use this pocket for the partner overview, referral workflow, quick-reference sheet, and business card.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Partner One-Page Flyer</w:t>
      </w:r>
    </w:p>
    <w:p>
      <w:pPr>
        <w:pStyle w:val="Heading2"/>
      </w:pPr>
      <w:r>
        <w:t>DO NOT LOSE THE BORROWER AFTER “NOT YET.”</w:t>
      </w:r>
    </w:p>
    <w:p>
      <w:r>
        <w:t>Refer credit-challenged applicants into a documented readiness process. We help clients understand barriers, follow prioritized next steps, and reconnect with the referring lender when appropriate.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Borrower Flyer</w:t>
      </w:r>
    </w:p>
    <w:p>
      <w:pPr>
        <w:pStyle w:val="Heading2"/>
      </w:pPr>
      <w:r>
        <w:t>YOUR HOMEOWNERSHIP PLAN CAN START TODAY.</w:t>
      </w:r>
    </w:p>
    <w:p>
      <w:r>
        <w:t>Not ready for mortgage financing yet? Begin with a clear credit review, personalized readiness roadmap, and practical steps you can understand.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Rack Card — Lender</w:t>
      </w:r>
    </w:p>
    <w:p>
      <w:pPr>
        <w:pStyle w:val="Heading2"/>
      </w:pPr>
      <w:r>
        <w:t>TURN FUTURE BORROWERS INTO A FUTURE PIPELINE.</w:t>
      </w:r>
    </w:p>
    <w:p>
      <w:r>
        <w:t>Priority onboarding • Documented action plans • Authorized milestone updates • Responsible lender hand-back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Rack Card — Borrower</w:t>
      </w:r>
    </w:p>
    <w:p>
      <w:pPr>
        <w:pStyle w:val="Heading2"/>
      </w:pPr>
      <w:r>
        <w:t>NOT APPROVED YET? GET A PLAN.</w:t>
      </w:r>
    </w:p>
    <w:p>
      <w:r>
        <w:t>Review your reports. Understand the barriers. Prioritize next steps. Prepare for a future lending conversation.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Postcard</w:t>
      </w:r>
    </w:p>
    <w:p>
      <w:pPr>
        <w:pStyle w:val="Heading2"/>
      </w:pPr>
      <w:r>
        <w:t>A BETTER NEXT STEP FOR BORROWERS WHO NEED TIME.</w:t>
      </w:r>
    </w:p>
    <w:p>
      <w:r>
        <w:t>Mortgage professionals: request the Lending Readiness Partner Kit and learn how our referral workflow supports client retention.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Referral Pad</w:t>
      </w:r>
    </w:p>
    <w:p>
      <w:pPr>
        <w:pStyle w:val="Heading2"/>
      </w:pPr>
      <w:r>
        <w:t>MORTGAGE READINESS REFERRAL</w:t>
      </w:r>
    </w:p>
    <w:p>
      <w:r>
        <w:t>Borrower name: ______  Phone: ______  Email: ______  Preferred contact: ______  Referring professional: ______  Borrower consent obtained: Yes / No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Table Tent</w:t>
      </w:r>
    </w:p>
    <w:p>
      <w:pPr>
        <w:pStyle w:val="Heading2"/>
      </w:pPr>
      <w:r>
        <w:t>ASK US ABOUT MORTGAGE READINESS</w:t>
      </w:r>
    </w:p>
    <w:p>
      <w:r>
        <w:t>Scan to request a credit-readiness review or learn about our professional partner program.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p>
      <w:pPr>
        <w:pStyle w:val="Heading1"/>
      </w:pPr>
      <w:r>
        <w:t>Retractable Banner</w:t>
      </w:r>
    </w:p>
    <w:p>
      <w:pPr>
        <w:pStyle w:val="Heading2"/>
      </w:pPr>
      <w:r>
        <w:t>FROM “NOT YET” TO A CLEAR NEXT STEP</w:t>
      </w:r>
    </w:p>
    <w:p>
      <w:r>
        <w:t>Mortgage readiness planning • Credit education • Partner referral support • Borrower progress milestones</w:t>
      </w:r>
    </w:p>
    <w:p>
      <w:pPr>
        <w:pStyle w:val="ListBullet"/>
        <w:spacing w:after="60"/>
      </w:pPr>
      <w:r>
        <w:t>Primary CTA: [Insert CTA]</w:t>
      </w:r>
    </w:p>
    <w:p>
      <w:pPr>
        <w:pStyle w:val="ListBullet"/>
        <w:spacing w:after="60"/>
      </w:pPr>
      <w:r>
        <w:t>QR destination: [Insert secure URL]</w:t>
      </w:r>
    </w:p>
    <w:p>
      <w:pPr>
        <w:pStyle w:val="ListBullet"/>
        <w:spacing w:after="60"/>
      </w:pPr>
      <w:r>
        <w:t>Required footer: Results vary. No specific score increase, deletion, loan approval, rate, or timeline is guaranteed. Lending decisions are made solely by the lender.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6"/>
      </w:rPr>
      <w:t>Lending Readiness Partners  |  Partner Marketing System  |  Internal template—customize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