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8A8A"/>
          <w:sz w:val="26"/>
        </w:rPr>
        <w:t>LENDING READINESS PARTNERS</w:t>
      </w:r>
    </w:p>
    <w:p>
      <w:pPr>
        <w:jc w:val="center"/>
      </w:pPr>
      <w:r>
        <w:rPr>
          <w:rFonts w:ascii="Aptos Display" w:hAnsi="Aptos Display"/>
          <w:b/>
          <w:color w:val="16324F"/>
          <w:sz w:val="54"/>
        </w:rPr>
        <w:t>Canva Production Guide</w:t>
      </w:r>
    </w:p>
    <w:p>
      <w:pPr>
        <w:jc w:val="center"/>
      </w:pPr>
      <w:r>
        <w:rPr>
          <w:i/>
          <w:color w:val="6B7785"/>
          <w:sz w:val="22"/>
        </w:rPr>
        <w:t>Exact build specifications for the complete marketing kit</w:t>
      </w:r>
    </w:p>
    <w:tbl>
      <w:tblPr>
        <w:tblW w:type="auto" w:w="0"/>
        <w:jc w:val="center"/>
        <w:tblLayout w:type="fixed"/>
        <w:tblLook w:firstColumn="1" w:firstRow="1" w:lastColumn="0" w:lastRow="0" w:noHBand="0" w:noVBand="1" w:val="04A0"/>
      </w:tblPr>
      <w:tblGrid>
        <w:gridCol w:w="9504"/>
      </w:tblGrid>
      <w:tr>
        <w:tc>
          <w:tcPr>
            <w:tcW w:type="dxa" w:w="10080"/>
            <w:shd w:fill="EAF1F6"/>
            <w:tcMar>
              <w:top w:w="140" w:type="dxa"/>
              <w:start w:w="180" w:type="dxa"/>
              <w:bottom w:w="140" w:type="dxa"/>
              <w:end w:w="180" w:type="dxa"/>
            </w:tcMar>
            <w:vAlign w:val="center"/>
          </w:tcPr>
          <w:p>
            <w:pPr>
              <w:jc w:val="center"/>
            </w:pPr>
            <w:r>
              <w:rPr>
                <w:b/>
                <w:color w:val="2F6B9A"/>
              </w:rPr>
              <w:t>Helping More Borrowers Become Lending Ready.</w:t>
            </w:r>
          </w:p>
        </w:tc>
      </w:tr>
    </w:tbl>
    <w:p/>
    <w:tbl>
      <w:tblPr>
        <w:tblW w:type="auto" w:w="0"/>
        <w:jc w:val="center"/>
        <w:tblLayout w:type="fixed"/>
        <w:tblLook w:firstColumn="1" w:firstRow="1" w:lastColumn="0" w:lastRow="0" w:noHBand="0" w:noVBand="1" w:val="04A0"/>
      </w:tblPr>
      <w:tblGrid>
        <w:gridCol w:w="9648"/>
      </w:tblGrid>
      <w:tr>
        <w:tc>
          <w:tcPr>
            <w:tcW w:type="dxa" w:w="10080"/>
            <w:shd w:fill="EAF1F6"/>
            <w:tcMar>
              <w:top w:w="120" w:type="dxa"/>
              <w:start w:w="160" w:type="dxa"/>
              <w:bottom w:w="120" w:type="dxa"/>
              <w:end w:w="160" w:type="dxa"/>
            </w:tcMar>
          </w:tcPr>
          <w:p>
            <w:r>
              <w:rPr>
                <w:b/>
                <w:color w:val="1F8A8A"/>
              </w:rPr>
              <w:t>Brand direction</w:t>
              <w:br/>
            </w:r>
            <w:r>
              <w:rPr>
                <w:sz w:val="20"/>
              </w:rPr>
              <w:t>Modern, lender-grade, calm, credible, and sophisticated. Avoid repair-shop imagery, red warning graphics, fake score meters, luxury-house promises, and exaggerated before/after claims.</w:t>
            </w:r>
          </w:p>
        </w:tc>
      </w:tr>
    </w:tbl>
    <w:p/>
    <w:p>
      <w:pPr>
        <w:pStyle w:val="Heading1"/>
      </w:pPr>
      <w:r>
        <w:t>Brand System</w:t>
      </w:r>
    </w:p>
    <w:p>
      <w:pPr>
        <w:pStyle w:val="ListBullet"/>
        <w:spacing w:after="60"/>
      </w:pPr>
      <w:r>
        <w:t>Primary navy: #16324F</w:t>
      </w:r>
    </w:p>
    <w:p>
      <w:pPr>
        <w:pStyle w:val="ListBullet"/>
        <w:spacing w:after="60"/>
      </w:pPr>
      <w:r>
        <w:t>Secondary blue: #2F6B9A</w:t>
      </w:r>
    </w:p>
    <w:p>
      <w:pPr>
        <w:pStyle w:val="ListBullet"/>
        <w:spacing w:after="60"/>
      </w:pPr>
      <w:r>
        <w:t>Accent teal: #1F8A8A</w:t>
      </w:r>
    </w:p>
    <w:p>
      <w:pPr>
        <w:pStyle w:val="ListBullet"/>
        <w:spacing w:after="60"/>
      </w:pPr>
      <w:r>
        <w:t>Warm accent: #C49A4A</w:t>
      </w:r>
    </w:p>
    <w:p>
      <w:pPr>
        <w:pStyle w:val="ListBullet"/>
        <w:spacing w:after="60"/>
      </w:pPr>
      <w:r>
        <w:t>Light background: #EAF1F6</w:t>
      </w:r>
    </w:p>
    <w:p>
      <w:pPr>
        <w:pStyle w:val="ListBullet"/>
        <w:spacing w:after="60"/>
      </w:pPr>
      <w:r>
        <w:t>Body text: #27323B</w:t>
      </w:r>
    </w:p>
    <w:p>
      <w:pPr>
        <w:pStyle w:val="ListBullet"/>
        <w:spacing w:after="60"/>
      </w:pPr>
      <w:r>
        <w:t>Suggested fonts: League Spartan or Montserrat for headlines; Aptos, Open Sans, or Lato for body text.</w:t>
      </w:r>
    </w:p>
    <w:p>
      <w:pPr>
        <w:pStyle w:val="Heading2"/>
      </w:pPr>
      <w:r>
        <w:t>Presentation folder</w:t>
      </w:r>
    </w:p>
    <w:p>
      <w:r>
        <w:t>Canvas: 9 × 12 in plus printer bleed</w:t>
      </w:r>
    </w:p>
    <w:p>
      <w:r>
        <w:t>Layout: Front: logo, tagline, subtle key/roofline motif. Back: contact block and QR. Inside pockets: brief referral workflow and compliance footer.</w:t>
      </w:r>
    </w:p>
    <w:p>
      <w:pPr>
        <w:pStyle w:val="Heading2"/>
      </w:pPr>
      <w:r>
        <w:t>Trifold brochure</w:t>
      </w:r>
    </w:p>
    <w:p>
      <w:r>
        <w:t>Canvas: US Letter, landscape, tri-fold</w:t>
      </w:r>
    </w:p>
    <w:p>
      <w:r>
        <w:t>Layout: Six panels: cover, problem, program, workflow, partner benefits, CTA/contact.</w:t>
      </w:r>
    </w:p>
    <w:p>
      <w:pPr>
        <w:pStyle w:val="Heading2"/>
      </w:pPr>
      <w:r>
        <w:t>One-page flyer</w:t>
      </w:r>
    </w:p>
    <w:p>
      <w:r>
        <w:t>Canvas: 8.5 × 11 in</w:t>
      </w:r>
    </w:p>
    <w:p>
      <w:r>
        <w:t>Layout: Bold headline in top third, three benefit cards, 5-step workflow, QR CTA.</w:t>
      </w:r>
    </w:p>
    <w:p>
      <w:pPr>
        <w:pStyle w:val="Heading2"/>
      </w:pPr>
      <w:r>
        <w:t>Rack card</w:t>
      </w:r>
    </w:p>
    <w:p>
      <w:r>
        <w:t>Canvas: 4 × 9 in</w:t>
      </w:r>
    </w:p>
    <w:p>
      <w:r>
        <w:t>Layout: Front hook and QR; back benefits, workflow, disclaimer.</w:t>
      </w:r>
    </w:p>
    <w:p>
      <w:pPr>
        <w:pStyle w:val="Heading2"/>
      </w:pPr>
      <w:r>
        <w:t>Social square</w:t>
      </w:r>
    </w:p>
    <w:p>
      <w:r>
        <w:t>Canvas: 1080 × 1080 px</w:t>
      </w:r>
    </w:p>
    <w:p>
      <w:r>
        <w:t>Layout: Headline max 8 words; one focal visual; footer CTA.</w:t>
      </w:r>
    </w:p>
    <w:p>
      <w:pPr>
        <w:pStyle w:val="Heading2"/>
      </w:pPr>
      <w:r>
        <w:t>Story/Reel</w:t>
      </w:r>
    </w:p>
    <w:p>
      <w:r>
        <w:t>Canvas: 1080 × 1920 px</w:t>
      </w:r>
    </w:p>
    <w:p>
      <w:r>
        <w:t>Layout: Safe zones at top and bottom; 3-scene sequence; captions burned in.</w:t>
      </w:r>
    </w:p>
    <w:p>
      <w:pPr>
        <w:pStyle w:val="Heading2"/>
      </w:pPr>
      <w:r>
        <w:t>LinkedIn document</w:t>
      </w:r>
    </w:p>
    <w:p>
      <w:r>
        <w:t>Canvas: 1080 × 1350 px, 6–8 pages</w:t>
      </w:r>
    </w:p>
    <w:p>
      <w:r>
        <w:t>Layout: Cover, problem, three educational pages, workflow, CTA.</w:t>
      </w:r>
    </w:p>
    <w:p>
      <w:pPr>
        <w:pStyle w:val="Heading2"/>
      </w:pPr>
      <w:r>
        <w:t>Email header</w:t>
      </w:r>
    </w:p>
    <w:p>
      <w:r>
        <w:t>Canvas: 1200 × 400 px</w:t>
      </w:r>
    </w:p>
    <w:p>
      <w:r>
        <w:t>Layout: Logo left, tagline right, uncluttered gradient or line pattern.</w:t>
      </w:r>
    </w:p>
    <w:p>
      <w:pPr>
        <w:pStyle w:val="Heading2"/>
      </w:pPr>
      <w:r>
        <w:t>Retractable banner</w:t>
      </w:r>
    </w:p>
    <w:p>
      <w:r>
        <w:t>Canvas: 33 × 80 in</w:t>
      </w:r>
    </w:p>
    <w:p>
      <w:r>
        <w:t>Layout: Logo top, one headline, four service bullets, QR at chest height, contact footer.</w:t>
      </w:r>
    </w:p>
    <w:p>
      <w:pPr>
        <w:pStyle w:val="Heading1"/>
      </w:pPr>
      <w:r>
        <w:t>Canva Magic Design Prompt</w:t>
      </w:r>
    </w:p>
    <w:p>
      <w:r>
        <w:t>Create a premium mortgage-partner marketing system for “Lending Readiness Partners (LRP).” The brand helps mortgage professionals retain credit-challenged applicants by referring them into a structured credit-readiness and education process. Use deep navy, professional blue, teal, white, and restrained gold accents. Style: modern financial-services brand, sophisticated, trustworthy, spacious, high contrast, clean grids, subtle line icons, no cartoon houses, no fake credit-score gauges, no guarantees. Tagline: “Helping More Borrowers Become Lending Ready.” Include editable placeholders for phone, email, website, QR code, and partner logo. Produce coordinated flyer, brochure, rack card, social square, story, LinkedIn carousel, email header, and retractable banner concepts.</w:t>
      </w:r>
    </w:p>
    <w:p>
      <w:pPr>
        <w:pStyle w:val="Heading1"/>
      </w:pPr>
      <w:r>
        <w:t>Production QA Checklist</w:t>
      </w:r>
    </w:p>
    <w:p>
      <w:pPr>
        <w:pStyle w:val="ListBullet"/>
        <w:spacing w:after="60"/>
      </w:pPr>
      <w:r>
        <w:t>Replace every bracketed placeholder.</w:t>
      </w:r>
    </w:p>
    <w:p>
      <w:pPr>
        <w:pStyle w:val="ListBullet"/>
        <w:spacing w:after="60"/>
      </w:pPr>
      <w:r>
        <w:t>Test QR codes from a printed proof.</w:t>
      </w:r>
    </w:p>
    <w:p>
      <w:pPr>
        <w:pStyle w:val="ListBullet"/>
        <w:spacing w:after="60"/>
      </w:pPr>
      <w:r>
        <w:t>Keep body text at readable print size.</w:t>
      </w:r>
    </w:p>
    <w:p>
      <w:pPr>
        <w:pStyle w:val="ListBullet"/>
        <w:spacing w:after="60"/>
      </w:pPr>
      <w:r>
        <w:t>Use only licensed images and icons.</w:t>
      </w:r>
    </w:p>
    <w:p>
      <w:pPr>
        <w:pStyle w:val="ListBullet"/>
        <w:spacing w:after="60"/>
      </w:pPr>
      <w:r>
        <w:t>Do not publish unverified testimonials or numerical claims.</w:t>
      </w:r>
    </w:p>
    <w:p>
      <w:pPr>
        <w:pStyle w:val="ListBullet"/>
        <w:spacing w:after="60"/>
      </w:pPr>
      <w:r>
        <w:t>Route compliance-sensitive materials through qualified legal/compliance review.</w:t>
      </w:r>
    </w:p>
    <w:p>
      <w:pPr>
        <w:pStyle w:val="ListBullet"/>
        <w:spacing w:after="60"/>
      </w:pPr>
      <w:r>
        <w:t>Export print files as PDF Print with bleed and crop marks when required by the printer.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Lending Readiness Partners  |  Partner Marketing System  |  Internal template—customize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