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8A8A"/>
          <w:sz w:val="26"/>
        </w:rPr>
        <w:t>LENDING READINESS PARTNERS</w:t>
      </w:r>
    </w:p>
    <w:p>
      <w:pPr>
        <w:jc w:val="center"/>
      </w:pPr>
      <w:r>
        <w:rPr>
          <w:rFonts w:ascii="Aptos Display" w:hAnsi="Aptos Display"/>
          <w:b/>
          <w:color w:val="16324F"/>
          <w:sz w:val="54"/>
        </w:rPr>
        <w:t>Partner Outreach Playbook</w:t>
      </w:r>
    </w:p>
    <w:p>
      <w:pPr>
        <w:jc w:val="center"/>
      </w:pPr>
      <w:r>
        <w:rPr>
          <w:i/>
          <w:color w:val="6B7785"/>
          <w:sz w:val="22"/>
        </w:rPr>
        <w:t>A repeatable 12-week lender and Realtor recruitment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EAF1F6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F6B9A"/>
              </w:rPr>
              <w:t>Helping More Borrowers Become Lending Ready.</w:t>
            </w:r>
          </w:p>
        </w:tc>
      </w:tr>
    </w:tbl>
    <w:p/>
    <w:p>
      <w:pPr>
        <w:pStyle w:val="Heading1"/>
      </w:pPr>
      <w:r>
        <w:t>Weekly Activity Targets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6324F"/>
          </w:tcPr>
          <w:p>
            <w:r>
              <w:rPr>
                <w:color w:val="FFFFFF"/>
              </w:rPr>
              <w:t>Activity</w:t>
            </w:r>
          </w:p>
        </w:tc>
        <w:tc>
          <w:tcPr>
            <w:tcW w:type="dxa" w:w="2520"/>
            <w:shd w:fill="16324F"/>
          </w:tcPr>
          <w:p>
            <w:r>
              <w:rPr>
                <w:color w:val="FFFFFF"/>
              </w:rPr>
              <w:t>Minimum</w:t>
            </w:r>
          </w:p>
        </w:tc>
        <w:tc>
          <w:tcPr>
            <w:tcW w:type="dxa" w:w="2520"/>
            <w:shd w:fill="16324F"/>
          </w:tcPr>
          <w:p>
            <w:r>
              <w:rPr>
                <w:color w:val="FFFFFF"/>
              </w:rPr>
              <w:t>Target</w:t>
            </w:r>
          </w:p>
        </w:tc>
        <w:tc>
          <w:tcPr>
            <w:tcW w:type="dxa" w:w="2520"/>
            <w:shd w:fill="16324F"/>
          </w:tcPr>
          <w:p>
            <w:r>
              <w:rPr>
                <w:color w:val="FFFFFF"/>
              </w:rPr>
              <w:t>Tracked In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New qualified contacts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25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50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CRM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Personalized emails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20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40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CRM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Phone calls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10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25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Call log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LinkedIn connections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15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30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LinkedIn/CRM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Partner meetings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Calendar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Referral follow-ups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All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All within 1 business day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CRM</w:t>
            </w:r>
          </w:p>
        </w:tc>
      </w:tr>
    </w:tbl>
    <w:p>
      <w:pPr>
        <w:pStyle w:val="Heading1"/>
      </w:pPr>
      <w:r>
        <w:t>12-Week Sequence</w:t>
      </w:r>
    </w:p>
    <w:p>
      <w:pPr>
        <w:pStyle w:val="Heading2"/>
      </w:pPr>
      <w:r>
        <w:t>Week 1: Foundation</w:t>
      </w:r>
    </w:p>
    <w:p>
      <w:r>
        <w:t>Finalize collateral, secure referral form, CRM stages, scheduling link, and partner FAQ.</w:t>
      </w:r>
    </w:p>
    <w:p>
      <w:pPr>
        <w:pStyle w:val="Heading2"/>
      </w:pPr>
      <w:r>
        <w:t>Week 2: Warm Network</w:t>
      </w:r>
    </w:p>
    <w:p>
      <w:r>
        <w:t>Contact existing business relationships, Realtors, insurance agents, builders, and community partners.</w:t>
      </w:r>
    </w:p>
    <w:p>
      <w:pPr>
        <w:pStyle w:val="Heading2"/>
      </w:pPr>
      <w:r>
        <w:t>Week 3: Loan Officer Prospecting</w:t>
      </w:r>
    </w:p>
    <w:p>
      <w:r>
        <w:t>Build a local list and begin the 12-email sequence with personalized introductions.</w:t>
      </w:r>
    </w:p>
    <w:p>
      <w:pPr>
        <w:pStyle w:val="Heading2"/>
      </w:pPr>
      <w:r>
        <w:t>Week 4: Educational Value</w:t>
      </w:r>
    </w:p>
    <w:p>
      <w:r>
        <w:t>Publish a borrower-readiness checklist and invite partners to a short lunch-and-learn.</w:t>
      </w:r>
    </w:p>
    <w:p>
      <w:pPr>
        <w:pStyle w:val="Heading2"/>
      </w:pPr>
      <w:r>
        <w:t>Week 5: Office Visits</w:t>
      </w:r>
    </w:p>
    <w:p>
      <w:r>
        <w:t>Deliver folders or digital kits to selected brokerages and branch offices.</w:t>
      </w:r>
    </w:p>
    <w:p>
      <w:pPr>
        <w:pStyle w:val="Heading2"/>
      </w:pPr>
      <w:r>
        <w:t>Week 6: Realtor Expansion</w:t>
      </w:r>
    </w:p>
    <w:p>
      <w:r>
        <w:t>Launch the Realtor-specific sequence and co-branded buyer-readiness offer.</w:t>
      </w:r>
    </w:p>
    <w:p>
      <w:pPr>
        <w:pStyle w:val="Heading2"/>
      </w:pPr>
      <w:r>
        <w:t>Week 7: Follow-Up</w:t>
      </w:r>
    </w:p>
    <w:p>
      <w:r>
        <w:t>Call engaged contacts, answer objections, and schedule implementation meetings.</w:t>
      </w:r>
    </w:p>
    <w:p>
      <w:pPr>
        <w:pStyle w:val="Heading2"/>
      </w:pPr>
      <w:r>
        <w:t>Week 8: Partner Onboarding</w:t>
      </w:r>
    </w:p>
    <w:p>
      <w:r>
        <w:t>Complete partner profile, communication consent workflow, referral test, and co-brand setup.</w:t>
      </w:r>
    </w:p>
    <w:p>
      <w:pPr>
        <w:pStyle w:val="Heading2"/>
      </w:pPr>
      <w:r>
        <w:t>Week 9: Community Visibility</w:t>
      </w:r>
    </w:p>
    <w:p>
      <w:r>
        <w:t>Present a homebuyer-readiness workshop with a lender or Realtor partner.</w:t>
      </w:r>
    </w:p>
    <w:p>
      <w:pPr>
        <w:pStyle w:val="Heading2"/>
      </w:pPr>
      <w:r>
        <w:t>Week 10: Proof and Process</w:t>
      </w:r>
    </w:p>
    <w:p>
      <w:r>
        <w:t>Share anonymized process examples without promising outcomes or revealing client information.</w:t>
      </w:r>
    </w:p>
    <w:p>
      <w:pPr>
        <w:pStyle w:val="Heading2"/>
      </w:pPr>
      <w:r>
        <w:t>Week 11: Pipeline Review</w:t>
      </w:r>
    </w:p>
    <w:p>
      <w:r>
        <w:t>Review lead sources, meetings, referrals, conversion rates, and stalled opportunities.</w:t>
      </w:r>
    </w:p>
    <w:p>
      <w:pPr>
        <w:pStyle w:val="Heading2"/>
      </w:pPr>
      <w:r>
        <w:t>Week 12: Optimize and Repeat</w:t>
      </w:r>
    </w:p>
    <w:p>
      <w:r>
        <w:t>Improve messaging, retire weak channels, double down on productive partner segments, and begin the next cycle.</w:t>
      </w:r>
    </w:p>
    <w:p>
      <w:pPr>
        <w:pStyle w:val="Heading1"/>
      </w:pPr>
      <w:r>
        <w:t>CRM Stages</w:t>
      </w:r>
    </w:p>
    <w:p>
      <w:pPr>
        <w:pStyle w:val="ListBullet"/>
        <w:spacing w:after="60"/>
      </w:pPr>
      <w:r>
        <w:t>Prospect identified</w:t>
      </w:r>
    </w:p>
    <w:p>
      <w:pPr>
        <w:pStyle w:val="ListBullet"/>
        <w:spacing w:after="60"/>
      </w:pPr>
      <w:r>
        <w:t>Initial outreach sent</w:t>
      </w:r>
    </w:p>
    <w:p>
      <w:pPr>
        <w:pStyle w:val="ListBullet"/>
        <w:spacing w:after="60"/>
      </w:pPr>
      <w:r>
        <w:t>Engaged</w:t>
      </w:r>
    </w:p>
    <w:p>
      <w:pPr>
        <w:pStyle w:val="ListBullet"/>
        <w:spacing w:after="60"/>
      </w:pPr>
      <w:r>
        <w:t>Meeting scheduled</w:t>
      </w:r>
    </w:p>
    <w:p>
      <w:pPr>
        <w:pStyle w:val="ListBullet"/>
        <w:spacing w:after="60"/>
      </w:pPr>
      <w:r>
        <w:t>Partner qualified</w:t>
      </w:r>
    </w:p>
    <w:p>
      <w:pPr>
        <w:pStyle w:val="ListBullet"/>
        <w:spacing w:after="60"/>
      </w:pPr>
      <w:r>
        <w:t>Agreement/process review</w:t>
      </w:r>
    </w:p>
    <w:p>
      <w:pPr>
        <w:pStyle w:val="ListBullet"/>
        <w:spacing w:after="60"/>
      </w:pPr>
      <w:r>
        <w:t>Onboarding</w:t>
      </w:r>
    </w:p>
    <w:p>
      <w:pPr>
        <w:pStyle w:val="ListBullet"/>
        <w:spacing w:after="60"/>
      </w:pPr>
      <w:r>
        <w:t>Active referral partner</w:t>
      </w:r>
    </w:p>
    <w:p>
      <w:pPr>
        <w:pStyle w:val="ListBullet"/>
        <w:spacing w:after="60"/>
      </w:pPr>
      <w:r>
        <w:t>Dormant/reactivation</w:t>
      </w:r>
    </w:p>
    <w:p>
      <w:pPr>
        <w:pStyle w:val="ListBullet"/>
        <w:spacing w:after="60"/>
      </w:pPr>
      <w:r>
        <w:t>Not a fit</w:t>
      </w:r>
    </w:p>
    <w:p>
      <w:pPr>
        <w:pStyle w:val="Heading1"/>
      </w:pPr>
      <w:r>
        <w:t>Partner Qualification Questions</w:t>
      </w:r>
    </w:p>
    <w:p>
      <w:pPr>
        <w:pStyle w:val="ListBullet"/>
        <w:spacing w:after="60"/>
      </w:pPr>
      <w:r>
        <w:t>How often do applicants need additional credit preparation?</w:t>
      </w:r>
    </w:p>
    <w:p>
      <w:pPr>
        <w:pStyle w:val="ListBullet"/>
        <w:spacing w:after="60"/>
      </w:pPr>
      <w:r>
        <w:t>What happens to applicants who are not currently approvable?</w:t>
      </w:r>
    </w:p>
    <w:p>
      <w:pPr>
        <w:pStyle w:val="ListBullet"/>
        <w:spacing w:after="60"/>
      </w:pPr>
      <w:r>
        <w:t>What information may be shared with a referral partner, and what written consent is required?</w:t>
      </w:r>
    </w:p>
    <w:p>
      <w:pPr>
        <w:pStyle w:val="ListBullet"/>
        <w:spacing w:after="60"/>
      </w:pPr>
      <w:r>
        <w:t>Who owns follow-up with the borrower?</w:t>
      </w:r>
    </w:p>
    <w:p>
      <w:pPr>
        <w:pStyle w:val="ListBullet"/>
        <w:spacing w:after="60"/>
      </w:pPr>
      <w:r>
        <w:t>What turnaround and update cadence is useful?</w:t>
      </w:r>
    </w:p>
    <w:p>
      <w:pPr>
        <w:pStyle w:val="ListBullet"/>
        <w:spacing w:after="60"/>
      </w:pPr>
      <w:r>
        <w:t>Does the company require vendor approval, compliance review, insurance, or a written agreement?</w:t>
      </w:r>
    </w:p>
    <w:p>
      <w:pPr>
        <w:pStyle w:val="ListBullet"/>
        <w:spacing w:after="60"/>
      </w:pPr>
      <w:r>
        <w:t>Which marketing claims and co-branding rules apply to the lender’s organization?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785"/>
        <w:sz w:val="16"/>
      </w:rPr>
      <w:t>Lending Readiness Partners  |  Partner Marketing System  |  Internal template—customize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732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B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8A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