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Mortgage Partner Welcome Packet</w:t>
      </w:r>
    </w:p>
    <w:p>
      <w:pPr>
        <w:jc w:val="center"/>
      </w:pPr>
      <w:r>
        <w:rPr>
          <w:i/>
          <w:color w:val="16213E"/>
          <w:sz w:val="26"/>
        </w:rPr>
        <w:t>A professional leave-behind packet for new lending and real estate partners.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Welcome Letter</w:t>
      </w:r>
    </w:p>
    <w:p>
      <w:r>
        <w:t>Dear Lending Partner,</w:t>
      </w:r>
    </w:p>
    <w:p>
      <w:r>
        <w:t>Every month, borrowers who want to buy a home are paused because their credit profile is not yet mortgage-ready. Our partnership program is designed to help those borrowers receive a clear plan, education, and structured progress updates so they can return to you stronger and better prepared.</w:t>
      </w:r>
    </w:p>
    <w:p>
      <w:r>
        <w:t>We are not a lender and we do not replace your underwriting, pre-approval, or loan guidance. We support the borrower between “not yet” and “ready to reapply.”</w:t>
      </w:r>
    </w:p>
    <w:p>
      <w:pPr>
        <w:ind w:left="360"/>
      </w:pPr>
      <w:r>
        <w:rPr>
          <w:i/>
        </w:rPr>
        <w:t>Our job is to help you keep future borrowers engaged instead of losing them after a credit decline.</w:t>
      </w:r>
    </w:p>
    <w:p>
      <w:pPr>
        <w:pStyle w:val="Heading1"/>
      </w:pPr>
      <w:r>
        <w:t>What We Help With</w:t>
      </w:r>
    </w:p>
    <w:p>
      <w:pPr>
        <w:pStyle w:val="ListBullet"/>
      </w:pPr>
      <w:r>
        <w:t>Credit report review and negative-item triage</w:t>
      </w:r>
    </w:p>
    <w:p>
      <w:pPr>
        <w:pStyle w:val="ListBullet"/>
      </w:pPr>
      <w:r>
        <w:t>Utilization and balance-reduction strategy</w:t>
      </w:r>
    </w:p>
    <w:p>
      <w:pPr>
        <w:pStyle w:val="ListBullet"/>
      </w:pPr>
      <w:r>
        <w:t>Collection and charge-off documentation review</w:t>
      </w:r>
    </w:p>
    <w:p>
      <w:pPr>
        <w:pStyle w:val="ListBullet"/>
      </w:pPr>
      <w:r>
        <w:t>Dispute preparation for inaccurate or unverifiable information</w:t>
      </w:r>
    </w:p>
    <w:p>
      <w:pPr>
        <w:pStyle w:val="ListBullet"/>
      </w:pPr>
      <w:r>
        <w:t>Identity theft alert and fraud alert review when it appears on a report</w:t>
      </w:r>
    </w:p>
    <w:p>
      <w:pPr>
        <w:pStyle w:val="ListBullet"/>
      </w:pPr>
      <w:r>
        <w:t>Borrower education and documentation readiness</w:t>
      </w:r>
    </w:p>
    <w:p>
      <w:pPr>
        <w:pStyle w:val="ListBullet"/>
      </w:pPr>
      <w:r>
        <w:t>Monthly progress updates for approved referral partners</w:t>
      </w:r>
    </w:p>
    <w:p>
      <w:pPr>
        <w:pStyle w:val="Heading1"/>
      </w:pPr>
      <w:r>
        <w:t>What We Do Not Do</w:t>
      </w:r>
    </w:p>
    <w:p>
      <w:pPr>
        <w:pStyle w:val="ListBullet"/>
      </w:pPr>
      <w:r>
        <w:t>We do not guarantee score increases, approvals, deletions, or loan outcomes.</w:t>
      </w:r>
    </w:p>
    <w:p>
      <w:pPr>
        <w:pStyle w:val="ListBullet"/>
      </w:pPr>
      <w:r>
        <w:t>We do not advise borrowers to provide false information.</w:t>
      </w:r>
    </w:p>
    <w:p>
      <w:pPr>
        <w:pStyle w:val="ListBullet"/>
      </w:pPr>
      <w:r>
        <w:t>We do not dispute accurate information solely to manipulate a loan process.</w:t>
      </w:r>
    </w:p>
    <w:p>
      <w:pPr>
        <w:pStyle w:val="ListBullet"/>
      </w:pPr>
      <w:r>
        <w:t>We do not pay referral fees to mortgage professionals.</w:t>
      </w:r>
    </w:p>
    <w:p>
      <w:pPr>
        <w:pStyle w:val="ListBullet"/>
      </w:pPr>
      <w:r>
        <w:t>We do not give legal, tax, underwriting, or mortgage approval advice.</w:t>
      </w:r>
    </w:p>
    <w:p>
      <w:pPr>
        <w:pStyle w:val="Heading1"/>
      </w:pPr>
      <w:r>
        <w:t>Partner 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Service Area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Initial partner response</w:t>
            </w:r>
          </w:p>
        </w:tc>
        <w:tc>
          <w:tcPr>
            <w:tcW w:type="dxa" w:w="5112"/>
          </w:tcPr>
          <w:p>
            <w:r>
              <w:t>Same business day when possible</w:t>
            </w:r>
          </w:p>
        </w:tc>
      </w:tr>
      <w:tr>
        <w:tc>
          <w:tcPr>
            <w:tcW w:type="dxa" w:w="5112"/>
          </w:tcPr>
          <w:p>
            <w:r>
              <w:t>Borrower first-contact attempt</w:t>
            </w:r>
          </w:p>
        </w:tc>
        <w:tc>
          <w:tcPr>
            <w:tcW w:type="dxa" w:w="5112"/>
          </w:tcPr>
          <w:p>
            <w:r>
              <w:t>Within 24 hours</w:t>
            </w:r>
          </w:p>
        </w:tc>
      </w:tr>
      <w:tr>
        <w:tc>
          <w:tcPr>
            <w:tcW w:type="dxa" w:w="5112"/>
          </w:tcPr>
          <w:p>
            <w:r>
              <w:t>Initial readiness summary</w:t>
            </w:r>
          </w:p>
        </w:tc>
        <w:tc>
          <w:tcPr>
            <w:tcW w:type="dxa" w:w="5112"/>
          </w:tcPr>
          <w:p>
            <w:r>
              <w:t>Within 48 hours after documents are received</w:t>
            </w:r>
          </w:p>
        </w:tc>
      </w:tr>
      <w:tr>
        <w:tc>
          <w:tcPr>
            <w:tcW w:type="dxa" w:w="5112"/>
          </w:tcPr>
          <w:p>
            <w:r>
              <w:t>Partner status update</w:t>
            </w:r>
          </w:p>
        </w:tc>
        <w:tc>
          <w:tcPr>
            <w:tcW w:type="dxa" w:w="5112"/>
          </w:tcPr>
          <w:p>
            <w:r>
              <w:t>Monthly, or milestone-based</w:t>
            </w:r>
          </w:p>
        </w:tc>
      </w:tr>
      <w:tr>
        <w:tc>
          <w:tcPr>
            <w:tcW w:type="dxa" w:w="5112"/>
          </w:tcPr>
          <w:p>
            <w:r>
              <w:t>Urgent rapid-rescore preparation</w:t>
            </w:r>
          </w:p>
        </w:tc>
        <w:tc>
          <w:tcPr>
            <w:tcW w:type="dxa" w:w="5112"/>
          </w:tcPr>
          <w:p>
            <w:r>
              <w:t>Priority review when lender requests it</w:t>
            </w:r>
          </w:p>
        </w:tc>
      </w:tr>
    </w:tbl>
    <w:p/>
    <w:p>
      <w:pPr>
        <w:pStyle w:val="Heading1"/>
      </w:pPr>
      <w:r>
        <w:t>How to Refer a Borrower</w:t>
      </w:r>
    </w:p>
    <w:p>
      <w:pPr>
        <w:pStyle w:val="ListNumber"/>
      </w:pPr>
      <w:r>
        <w:t>Send the borrower to the referral link or QR code.</w:t>
      </w:r>
    </w:p>
    <w:p>
      <w:pPr>
        <w:pStyle w:val="ListNumber"/>
      </w:pPr>
      <w:r>
        <w:t>Borrower completes authorization and uploads credit documents.</w:t>
      </w:r>
    </w:p>
    <w:p>
      <w:pPr>
        <w:pStyle w:val="ListNumber"/>
      </w:pPr>
      <w:r>
        <w:t>Our team performs a mortgage-readiness review.</w:t>
      </w:r>
    </w:p>
    <w:p>
      <w:pPr>
        <w:pStyle w:val="ListNumber"/>
      </w:pPr>
      <w:r>
        <w:t>Borrower receives a plan and decides whether to enroll.</w:t>
      </w:r>
    </w:p>
    <w:p>
      <w:pPr>
        <w:pStyle w:val="ListNumber"/>
      </w:pPr>
      <w:r>
        <w:t>With borrower permission, partner receives milestone updates.</w:t>
      </w:r>
    </w:p>
    <w:p>
      <w:pPr>
        <w:pStyle w:val="ListNumber"/>
      </w:pPr>
      <w:r>
        <w:t>When ready, borrower is referred back to the original lender.</w:t>
      </w:r>
    </w:p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