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4AF37"/>
          <w:sz w:val="32"/>
        </w:rPr>
        <w:t>Lending Readiness Partners</w:t>
      </w:r>
    </w:p>
    <w:p>
      <w:pPr>
        <w:jc w:val="center"/>
      </w:pPr>
      <w:r>
        <w:rPr>
          <w:b/>
          <w:color w:val="1F4E79"/>
          <w:sz w:val="52"/>
        </w:rPr>
        <w:t>Mortgage Partnership Guide</w:t>
      </w:r>
    </w:p>
    <w:p>
      <w:pPr>
        <w:jc w:val="center"/>
      </w:pPr>
      <w:r>
        <w:rPr>
          <w:i/>
          <w:color w:val="16213E"/>
          <w:sz w:val="26"/>
        </w:rPr>
        <w:t>Full program overview for loan officers, banks, credit unions, and mortgage brokers.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9FC"/>
          </w:tcPr>
          <w:p>
            <w:pPr>
              <w:jc w:val="center"/>
            </w:pPr>
            <w:r>
              <w:t>Prepared for mortgage lenders, banks, credit unions, loan officers, and real estate partners.</w:t>
              <w:br/>
              <w:br/>
              <w:t>Helping More Borrowers Become Lending Ready.</w:t>
            </w:r>
          </w:p>
        </w:tc>
      </w:tr>
    </w:tbl>
    <w:p/>
    <w:p>
      <w:pPr>
        <w:jc w:val="center"/>
      </w:pPr>
      <w:r>
        <w:t>Contact: [Your Phone] | [Your Email] | [Your Website]</w:t>
      </w:r>
    </w:p>
    <w:p>
      <w:r>
        <w:br w:type="page"/>
      </w:r>
    </w:p>
    <w:p>
      <w:pPr>
        <w:pStyle w:val="Heading1"/>
      </w:pPr>
      <w:r>
        <w:t>Why Borrowers Fall Out of the Mortgage Funnel</w:t>
      </w:r>
    </w:p>
    <w:p>
      <w:pPr>
        <w:pStyle w:val="ListBullet"/>
      </w:pPr>
      <w:r>
        <w:t>Middle mortgage score below target</w:t>
      </w:r>
    </w:p>
    <w:p>
      <w:pPr>
        <w:pStyle w:val="ListBullet"/>
      </w:pPr>
      <w:r>
        <w:t>High revolving utilization</w:t>
      </w:r>
    </w:p>
    <w:p>
      <w:pPr>
        <w:pStyle w:val="ListBullet"/>
      </w:pPr>
      <w:r>
        <w:t>Recent collections or charge-offs</w:t>
      </w:r>
    </w:p>
    <w:p>
      <w:pPr>
        <w:pStyle w:val="ListBullet"/>
      </w:pPr>
      <w:r>
        <w:t>Late payments inside key lookback windows</w:t>
      </w:r>
    </w:p>
    <w:p>
      <w:pPr>
        <w:pStyle w:val="ListBullet"/>
      </w:pPr>
      <w:r>
        <w:t>Thin credit profile or mixed files</w:t>
      </w:r>
    </w:p>
    <w:p>
      <w:pPr>
        <w:pStyle w:val="ListBullet"/>
      </w:pPr>
      <w:r>
        <w:t>Identity theft alerts or fraud flags that require extra documentation</w:t>
      </w:r>
    </w:p>
    <w:p>
      <w:pPr>
        <w:pStyle w:val="ListBullet"/>
      </w:pPr>
      <w:r>
        <w:t>Unclear dispute history or open disputes</w:t>
      </w:r>
    </w:p>
    <w:p>
      <w:pPr>
        <w:pStyle w:val="Heading1"/>
      </w:pPr>
      <w:r>
        <w:t>Partner Program Overview</w:t>
      </w:r>
    </w:p>
    <w:p>
      <w:pPr>
        <w:pStyle w:val="ListBullet"/>
      </w:pPr>
      <w:r>
        <w:t>Priority intake for lender-referred borrowers</w:t>
      </w:r>
    </w:p>
    <w:p>
      <w:pPr>
        <w:pStyle w:val="ListBullet"/>
      </w:pPr>
      <w:r>
        <w:t>Mortgage-specific credit obstacle review</w:t>
      </w:r>
    </w:p>
    <w:p>
      <w:pPr>
        <w:pStyle w:val="ListBullet"/>
      </w:pPr>
      <w:r>
        <w:t>Readiness roadmap with milestones</w:t>
      </w:r>
    </w:p>
    <w:p>
      <w:pPr>
        <w:pStyle w:val="ListBullet"/>
      </w:pPr>
      <w:r>
        <w:t>Monthly status updates with borrower consent</w:t>
      </w:r>
    </w:p>
    <w:p>
      <w:pPr>
        <w:pStyle w:val="ListBullet"/>
      </w:pPr>
      <w:r>
        <w:t>Educational resources for the loan officer and borrower</w:t>
      </w:r>
    </w:p>
    <w:p>
      <w:pPr>
        <w:pStyle w:val="ListBullet"/>
      </w:pPr>
      <w:r>
        <w:t>No compensation tied to mortgage referrals</w:t>
      </w:r>
    </w:p>
    <w:p>
      <w:pPr>
        <w:pStyle w:val="ListBullet"/>
      </w:pPr>
      <w:r>
        <w:t>Clear documentation for rapid rescore preparation when appropriate</w:t>
      </w:r>
    </w:p>
    <w:p>
      <w:pPr>
        <w:pStyle w:val="Heading1"/>
      </w:pPr>
      <w:r>
        <w:t>Borrower Journey</w:t>
      </w:r>
    </w:p>
    <w:p>
      <w:pPr>
        <w:pStyle w:val="ListBullet"/>
      </w:pPr>
      <w:r>
        <w:t>Not approved today</w:t>
      </w:r>
    </w:p>
    <w:p>
      <w:pPr>
        <w:pStyle w:val="ListBullet"/>
      </w:pPr>
      <w:r>
        <w:t>Referred to readiness review</w:t>
      </w:r>
    </w:p>
    <w:p>
      <w:pPr>
        <w:pStyle w:val="ListBullet"/>
      </w:pPr>
      <w:r>
        <w:t>Documents collected</w:t>
      </w:r>
    </w:p>
    <w:p>
      <w:pPr>
        <w:pStyle w:val="ListBullet"/>
      </w:pPr>
      <w:r>
        <w:t>Credit profile analyzed</w:t>
      </w:r>
    </w:p>
    <w:p>
      <w:pPr>
        <w:pStyle w:val="ListBullet"/>
      </w:pPr>
      <w:r>
        <w:t>Action roadmap built</w:t>
      </w:r>
    </w:p>
    <w:p>
      <w:pPr>
        <w:pStyle w:val="ListBullet"/>
      </w:pPr>
      <w:r>
        <w:t>Monthly progress tracked</w:t>
      </w:r>
    </w:p>
    <w:p>
      <w:pPr>
        <w:pStyle w:val="ListBullet"/>
      </w:pPr>
      <w:r>
        <w:t>Readiness milestone reached</w:t>
      </w:r>
    </w:p>
    <w:p>
      <w:pPr>
        <w:pStyle w:val="ListBullet"/>
      </w:pPr>
      <w:r>
        <w:t>Borrower returned to original loan officer</w:t>
      </w:r>
    </w:p>
    <w:p>
      <w:pPr>
        <w:pStyle w:val="Heading1"/>
      </w:pPr>
      <w:r>
        <w:t>Communication Standards</w:t>
      </w:r>
    </w:p>
    <w:p>
      <w:pPr>
        <w:pStyle w:val="ListBullet"/>
      </w:pPr>
      <w:r>
        <w:t>Professional, plain-English updates</w:t>
      </w:r>
    </w:p>
    <w:p>
      <w:pPr>
        <w:pStyle w:val="ListBullet"/>
      </w:pPr>
      <w:r>
        <w:t>No overpromising</w:t>
      </w:r>
    </w:p>
    <w:p>
      <w:pPr>
        <w:pStyle w:val="ListBullet"/>
      </w:pPr>
      <w:r>
        <w:t>No score guarantees</w:t>
      </w:r>
    </w:p>
    <w:p>
      <w:pPr>
        <w:pStyle w:val="ListBullet"/>
      </w:pPr>
      <w:r>
        <w:t>Borrower permission before partner updates</w:t>
      </w:r>
    </w:p>
    <w:p>
      <w:pPr>
        <w:pStyle w:val="ListBullet"/>
      </w:pPr>
      <w:r>
        <w:t>Documented next steps</w:t>
      </w:r>
    </w:p>
    <w:p>
      <w:pPr>
        <w:pStyle w:val="ListBullet"/>
      </w:pPr>
      <w:r>
        <w:t>Written milestone summaries</w:t>
      </w:r>
    </w:p>
    <w:p>
      <w:pPr>
        <w:pStyle w:val="Heading1"/>
      </w:pPr>
      <w:r>
        <w:t>Mortgage Readiness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What We Review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Typical Action</w:t>
            </w:r>
          </w:p>
        </w:tc>
      </w:tr>
      <w:tr>
        <w:tc>
          <w:tcPr>
            <w:tcW w:type="dxa" w:w="3408"/>
          </w:tcPr>
          <w:p>
            <w:r>
              <w:t>Utilization</w:t>
            </w:r>
          </w:p>
        </w:tc>
        <w:tc>
          <w:tcPr>
            <w:tcW w:type="dxa" w:w="3408"/>
          </w:tcPr>
          <w:p>
            <w:r>
              <w:t>Credit card balances and limits</w:t>
            </w:r>
          </w:p>
        </w:tc>
        <w:tc>
          <w:tcPr>
            <w:tcW w:type="dxa" w:w="3408"/>
          </w:tcPr>
          <w:p>
            <w:r>
              <w:t>Paydown order and statement-date planning</w:t>
            </w:r>
          </w:p>
        </w:tc>
      </w:tr>
      <w:tr>
        <w:tc>
          <w:tcPr>
            <w:tcW w:type="dxa" w:w="3408"/>
          </w:tcPr>
          <w:p>
            <w:r>
              <w:t>Collections</w:t>
            </w:r>
          </w:p>
        </w:tc>
        <w:tc>
          <w:tcPr>
            <w:tcW w:type="dxa" w:w="3408"/>
          </w:tcPr>
          <w:p>
            <w:r>
              <w:t>Ownership, reporting accuracy, dates, balances</w:t>
            </w:r>
          </w:p>
        </w:tc>
        <w:tc>
          <w:tcPr>
            <w:tcW w:type="dxa" w:w="3408"/>
          </w:tcPr>
          <w:p>
            <w:r>
              <w:t>Validation, documentation, settlement strategy discussion</w:t>
            </w:r>
          </w:p>
        </w:tc>
      </w:tr>
      <w:tr>
        <w:tc>
          <w:tcPr>
            <w:tcW w:type="dxa" w:w="3408"/>
          </w:tcPr>
          <w:p>
            <w:r>
              <w:t>Late Payments</w:t>
            </w:r>
          </w:p>
        </w:tc>
        <w:tc>
          <w:tcPr>
            <w:tcW w:type="dxa" w:w="3408"/>
          </w:tcPr>
          <w:p>
            <w:r>
              <w:t>Dates, bureau reporting, creditor consistency</w:t>
            </w:r>
          </w:p>
        </w:tc>
        <w:tc>
          <w:tcPr>
            <w:tcW w:type="dxa" w:w="3408"/>
          </w:tcPr>
          <w:p>
            <w:r>
              <w:t>Accuracy review and goodwill/documentation strategy</w:t>
            </w:r>
          </w:p>
        </w:tc>
      </w:tr>
      <w:tr>
        <w:tc>
          <w:tcPr>
            <w:tcW w:type="dxa" w:w="3408"/>
          </w:tcPr>
          <w:p>
            <w:r>
              <w:t>Public Records</w:t>
            </w:r>
          </w:p>
        </w:tc>
        <w:tc>
          <w:tcPr>
            <w:tcW w:type="dxa" w:w="3408"/>
          </w:tcPr>
          <w:p>
            <w:r>
              <w:t>Bankruptcy or judgment-related reporting</w:t>
            </w:r>
          </w:p>
        </w:tc>
        <w:tc>
          <w:tcPr>
            <w:tcW w:type="dxa" w:w="3408"/>
          </w:tcPr>
          <w:p>
            <w:r>
              <w:t>Date, status, and bureau consistency review</w:t>
            </w:r>
          </w:p>
        </w:tc>
      </w:tr>
      <w:tr>
        <w:tc>
          <w:tcPr>
            <w:tcW w:type="dxa" w:w="3408"/>
          </w:tcPr>
          <w:p>
            <w:r>
              <w:t>Identity Alerts</w:t>
            </w:r>
          </w:p>
        </w:tc>
        <w:tc>
          <w:tcPr>
            <w:tcW w:type="dxa" w:w="3408"/>
          </w:tcPr>
          <w:p>
            <w:r>
              <w:t>Fraud alert, extended alert, mixed-file concerns</w:t>
            </w:r>
          </w:p>
        </w:tc>
        <w:tc>
          <w:tcPr>
            <w:tcW w:type="dxa" w:w="3408"/>
          </w:tcPr>
          <w:p>
            <w:r>
              <w:t>Documentation checklist and bureau-specific review</w:t>
            </w:r>
          </w:p>
        </w:tc>
      </w:tr>
      <w:tr>
        <w:tc>
          <w:tcPr>
            <w:tcW w:type="dxa" w:w="3408"/>
          </w:tcPr>
          <w:p>
            <w:r>
              <w:t>Thin File</w:t>
            </w:r>
          </w:p>
        </w:tc>
        <w:tc>
          <w:tcPr>
            <w:tcW w:type="dxa" w:w="3408"/>
          </w:tcPr>
          <w:p>
            <w:r>
              <w:t>Open tradelines and age of accounts</w:t>
            </w:r>
          </w:p>
        </w:tc>
        <w:tc>
          <w:tcPr>
            <w:tcW w:type="dxa" w:w="3408"/>
          </w:tcPr>
          <w:p>
            <w:r>
              <w:t>Credit-builder or secured-card education</w:t>
            </w:r>
          </w:p>
        </w:tc>
      </w:tr>
    </w:tbl>
    <w:p/>
    <w:p>
      <w:pPr>
        <w:pStyle w:val="Heading1"/>
      </w:pPr>
      <w:r>
        <w:t>Compliance-Safe Partnership Rules</w:t>
      </w:r>
    </w:p>
    <w:p>
      <w:pPr>
        <w:pStyle w:val="ListBullet"/>
      </w:pPr>
      <w:r>
        <w:t>No referral fees, kickbacks, split fees, or compensation for steering mortgage business.</w:t>
      </w:r>
    </w:p>
    <w:p>
      <w:pPr>
        <w:pStyle w:val="ListBullet"/>
      </w:pPr>
      <w:r>
        <w:t>Any paid marketing or service arrangement must be reviewed by counsel and tied to fair market value for real services, not referrals.</w:t>
      </w:r>
    </w:p>
    <w:p>
      <w:pPr>
        <w:pStyle w:val="ListBullet"/>
      </w:pPr>
      <w:r>
        <w:t>Borrower chooses whether to enroll.</w:t>
      </w:r>
    </w:p>
    <w:p>
      <w:pPr>
        <w:pStyle w:val="ListBullet"/>
      </w:pPr>
      <w:r>
        <w:t>Loan officer updates require borrower consent.</w:t>
      </w:r>
    </w:p>
    <w:p>
      <w:pPr>
        <w:pStyle w:val="ListBullet"/>
      </w:pPr>
      <w:r>
        <w:t>All credit services must include compliant disclosures, written agreements, and cancellation rights.</w:t>
      </w:r>
    </w:p>
    <w:p>
      <w:pPr>
        <w:pStyle w:val="Heading1"/>
      </w:pPr>
      <w:r>
        <w:t>Sample Case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Issue</w:t>
            </w:r>
          </w:p>
        </w:tc>
        <w:tc>
          <w:tcPr>
            <w:tcW w:type="dxa" w:w="3408"/>
            <w:shd w:fill="1F4E79"/>
          </w:tcPr>
          <w:p>
            <w:r>
              <w:rPr>
                <w:b/>
                <w:color w:val="FFFFFF"/>
              </w:rPr>
              <w:t>Readiness Path</w:t>
            </w:r>
          </w:p>
        </w:tc>
      </w:tr>
      <w:tr>
        <w:tc>
          <w:tcPr>
            <w:tcW w:type="dxa" w:w="3408"/>
          </w:tcPr>
          <w:p>
            <w:r>
              <w:t>FHA buyer at 566</w:t>
            </w:r>
          </w:p>
        </w:tc>
        <w:tc>
          <w:tcPr>
            <w:tcW w:type="dxa" w:w="3408"/>
          </w:tcPr>
          <w:p>
            <w:r>
              <w:t>Utilization and old collections</w:t>
            </w:r>
          </w:p>
        </w:tc>
        <w:tc>
          <w:tcPr>
            <w:tcW w:type="dxa" w:w="3408"/>
          </w:tcPr>
          <w:p>
            <w:r>
              <w:t>Balance plan plus documentation review</w:t>
            </w:r>
          </w:p>
        </w:tc>
      </w:tr>
      <w:tr>
        <w:tc>
          <w:tcPr>
            <w:tcW w:type="dxa" w:w="3408"/>
          </w:tcPr>
          <w:p>
            <w:r>
              <w:t>Conventional buyer at 612</w:t>
            </w:r>
          </w:p>
        </w:tc>
        <w:tc>
          <w:tcPr>
            <w:tcW w:type="dxa" w:w="3408"/>
          </w:tcPr>
          <w:p>
            <w:r>
              <w:t>Two late payments and high cards</w:t>
            </w:r>
          </w:p>
        </w:tc>
        <w:tc>
          <w:tcPr>
            <w:tcW w:type="dxa" w:w="3408"/>
          </w:tcPr>
          <w:p>
            <w:r>
              <w:t>Goodwill/document review plus paydown sequencing</w:t>
            </w:r>
          </w:p>
        </w:tc>
      </w:tr>
      <w:tr>
        <w:tc>
          <w:tcPr>
            <w:tcW w:type="dxa" w:w="3408"/>
          </w:tcPr>
          <w:p>
            <w:r>
              <w:t>VA buyer with fraud alert</w:t>
            </w:r>
          </w:p>
        </w:tc>
        <w:tc>
          <w:tcPr>
            <w:tcW w:type="dxa" w:w="3408"/>
          </w:tcPr>
          <w:p>
            <w:r>
              <w:t>Identity verification concerns</w:t>
            </w:r>
          </w:p>
        </w:tc>
        <w:tc>
          <w:tcPr>
            <w:tcW w:type="dxa" w:w="3408"/>
          </w:tcPr>
          <w:p>
            <w:r>
              <w:t>Alert documentation and creditor verification</w:t>
            </w:r>
          </w:p>
        </w:tc>
      </w:tr>
      <w:tr>
        <w:tc>
          <w:tcPr>
            <w:tcW w:type="dxa" w:w="3408"/>
          </w:tcPr>
          <w:p>
            <w:r>
              <w:t>First-time buyer thin file</w:t>
            </w:r>
          </w:p>
        </w:tc>
        <w:tc>
          <w:tcPr>
            <w:tcW w:type="dxa" w:w="3408"/>
          </w:tcPr>
          <w:p>
            <w:r>
              <w:t>Few active accounts</w:t>
            </w:r>
          </w:p>
        </w:tc>
        <w:tc>
          <w:tcPr>
            <w:tcW w:type="dxa" w:w="3408"/>
          </w:tcPr>
          <w:p>
            <w:r>
              <w:t>Credit education and account-building strategy</w:t>
            </w:r>
          </w:p>
        </w:tc>
      </w:tr>
    </w:tbl>
    <w:p/>
    <w:p>
      <w:pPr>
        <w:pStyle w:val="Heading1"/>
      </w:pPr>
      <w:r>
        <w:t>Frequently Asked Questions</w:t>
      </w:r>
    </w:p>
    <w:p>
      <w:r>
        <w:t>Can you guarantee the borrower will qualify? No. We do not guarantee approvals or score outcomes. We provide analysis, education, documentation support, and credit-improvement strategy.</w:t>
      </w:r>
    </w:p>
    <w:p>
      <w:r>
        <w:t>Do you remove accurate negative accounts? We review for accuracy, completeness, and verifiability. We do not promise removal of accurate information.</w:t>
      </w:r>
    </w:p>
    <w:p>
      <w:r>
        <w:t>Can you work with my borrower while I keep the loan relationship? Yes. Our partner policy is to return the borrower to the referring loan officer when they become ready, subject to the borrower’s choice.</w:t>
      </w:r>
    </w:p>
    <w:p>
      <w:pPr>
        <w:pStyle w:val="Heading1"/>
      </w:pPr>
      <w:r>
        <w:t>Compliance Notes and Source Links</w:t>
      </w:r>
    </w:p>
    <w:p>
      <w:pPr>
        <w:pStyle w:val="ListBullet"/>
      </w:pPr>
      <w:r>
        <w:t>Do not pay, receive, or structure compensation as a mortgage referral fee or kickback.</w:t>
      </w:r>
    </w:p>
    <w:p>
      <w:pPr>
        <w:pStyle w:val="ListBullet"/>
      </w:pPr>
      <w:r>
        <w:t>Credit repair services must follow CROA, including required disclosures, written contracts, cancellation rights, and restrictions on advance payment.</w:t>
      </w:r>
    </w:p>
    <w:p>
      <w:pPr>
        <w:pStyle w:val="ListBullet"/>
      </w:pPr>
      <w:r>
        <w:t>This packet is business and marketing material, not legal advice. Have a qualified attorney review before launch.</w:t>
      </w:r>
    </w:p>
    <w:p>
      <w:pPr>
        <w:pStyle w:val="ListBullet"/>
      </w:pPr>
      <w:r>
        <w:t>CFPB RESPA resource: https://www.consumerfinance.gov/compliance/compliance-resources/mortgage-resources/real-estate-settlement-procedures-act/</w:t>
      </w:r>
    </w:p>
    <w:p>
      <w:pPr>
        <w:pStyle w:val="ListBullet"/>
      </w:pPr>
      <w:r>
        <w:t>eCFR Reg X Section 1024.14: https://www.ecfr.gov/current/title-12/chapter-X/part-1024/subpart-B/section-1024.14</w:t>
      </w:r>
    </w:p>
    <w:p>
      <w:pPr>
        <w:pStyle w:val="ListBullet"/>
      </w:pPr>
      <w:r>
        <w:t>FTC Credit Repair Organizations Act: https://www.ftc.gov/legal-library/browse/statutes/credit-repair-organizations-act</w:t>
      </w:r>
    </w:p>
    <w:p>
      <w:pPr>
        <w:pStyle w:val="ListBullet"/>
      </w:pPr>
      <w:r>
        <w:t>U.S. Code CROA: https://uscode.house.gov/view.xhtml?req=granuleid:USC-prelim-title15-chapter41-subchapterII-A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Lending Readiness Partners | Helping More Borrowers Become Lending Ready. | [Your Phone] | [Your Website]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6213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