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AF37"/>
          <w:sz w:val="32"/>
        </w:rPr>
        <w:t>Lending Readiness Partners</w:t>
      </w:r>
    </w:p>
    <w:p>
      <w:pPr>
        <w:jc w:val="center"/>
      </w:pPr>
      <w:r>
        <w:rPr>
          <w:b/>
          <w:color w:val="1F4E79"/>
          <w:sz w:val="52"/>
        </w:rPr>
        <w:t>Referral Packet and Forms</w:t>
      </w:r>
    </w:p>
    <w:p>
      <w:pPr>
        <w:jc w:val="center"/>
      </w:pPr>
      <w:r>
        <w:rPr>
          <w:i/>
          <w:color w:val="16213E"/>
          <w:sz w:val="26"/>
        </w:rPr>
        <w:t>Printable intake, authorization, checklist, and partner update templates.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9FC"/>
          </w:tcPr>
          <w:p>
            <w:pPr>
              <w:jc w:val="center"/>
            </w:pPr>
            <w:r>
              <w:t>Prepared for mortgage lenders, banks, credit unions, loan officers, and real estate partners.</w:t>
              <w:br/>
              <w:br/>
              <w:t>Helping More Borrowers Become Lending Ready.</w:t>
            </w:r>
          </w:p>
        </w:tc>
      </w:tr>
    </w:tbl>
    <w:p/>
    <w:p>
      <w:pPr>
        <w:jc w:val="center"/>
      </w:pPr>
      <w:r>
        <w:t>Contact: [Your Phone] | [Your Email] | [Your Website]</w:t>
      </w:r>
    </w:p>
    <w:p>
      <w:r>
        <w:br w:type="page"/>
      </w:r>
    </w:p>
    <w:p>
      <w:pPr>
        <w:pStyle w:val="Heading1"/>
      </w:pPr>
      <w:r>
        <w:t>Partner Referral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9"/>
          </w:tcPr>
          <w:p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</w:tcPr>
          <w:p>
            <w:r>
              <w:t>Loan Officer Name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Company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Phone / Email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Borrower Name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Borrower Phone / Email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Current Middle Score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Target Program</w:t>
            </w:r>
          </w:p>
        </w:tc>
        <w:tc>
          <w:tcPr>
            <w:tcW w:type="dxa" w:w="5112"/>
          </w:tcPr>
          <w:p>
            <w:r>
              <w:t>FHA / VA / USDA / Conventional / Other</w:t>
            </w:r>
          </w:p>
        </w:tc>
      </w:tr>
      <w:tr>
        <w:tc>
          <w:tcPr>
            <w:tcW w:type="dxa" w:w="5112"/>
          </w:tcPr>
          <w:p>
            <w:r>
              <w:t>Target Score Needed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Main Credit Obstacles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Urgency</w:t>
            </w:r>
          </w:p>
        </w:tc>
        <w:tc>
          <w:tcPr>
            <w:tcW w:type="dxa" w:w="5112"/>
          </w:tcPr>
          <w:p>
            <w:r>
              <w:t>Immediate / 30 Days / 60-90 Days / 6+ Months</w:t>
            </w:r>
          </w:p>
        </w:tc>
      </w:tr>
    </w:tbl>
    <w:p/>
    <w:p>
      <w:pPr>
        <w:pStyle w:val="Heading1"/>
      </w:pPr>
      <w:r>
        <w:t>Borrower Intake Checklist</w:t>
      </w:r>
    </w:p>
    <w:p>
      <w:pPr>
        <w:pStyle w:val="ListBullet"/>
      </w:pPr>
      <w:r>
        <w:t>Photo ID</w:t>
      </w:r>
    </w:p>
    <w:p>
      <w:pPr>
        <w:pStyle w:val="ListBullet"/>
      </w:pPr>
      <w:r>
        <w:t>Proof of current address</w:t>
      </w:r>
    </w:p>
    <w:p>
      <w:pPr>
        <w:pStyle w:val="ListBullet"/>
      </w:pPr>
      <w:r>
        <w:t>All three credit reports or lender tri-merge if available</w:t>
      </w:r>
    </w:p>
    <w:p>
      <w:pPr>
        <w:pStyle w:val="ListBullet"/>
      </w:pPr>
      <w:r>
        <w:t>Recent credit card statements</w:t>
      </w:r>
    </w:p>
    <w:p>
      <w:pPr>
        <w:pStyle w:val="ListBullet"/>
      </w:pPr>
      <w:r>
        <w:t>Collection letters</w:t>
      </w:r>
    </w:p>
    <w:p>
      <w:pPr>
        <w:pStyle w:val="ListBullet"/>
      </w:pPr>
      <w:r>
        <w:t>Settlement letters</w:t>
      </w:r>
    </w:p>
    <w:p>
      <w:pPr>
        <w:pStyle w:val="ListBullet"/>
      </w:pPr>
      <w:r>
        <w:t>Bankruptcy documents if applicable</w:t>
      </w:r>
    </w:p>
    <w:p>
      <w:pPr>
        <w:pStyle w:val="ListBullet"/>
      </w:pPr>
      <w:r>
        <w:t>Identity theft reports or fraud documents if applicable</w:t>
      </w:r>
    </w:p>
    <w:p>
      <w:pPr>
        <w:pStyle w:val="Heading1"/>
      </w:pPr>
      <w:r>
        <w:t>Consent to Communicate With Referral Partner</w:t>
      </w:r>
    </w:p>
    <w:p>
      <w:r>
        <w:t>I authorize Lending Readiness Partners to provide general progress and milestone updates to the referral partner listed below. I understand this authorization does not require Lending Readiness Partners to share private account details unless separately authorized.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</w:tcPr>
          <w:p>
            <w:r>
              <w:rPr>
                <w:b/>
                <w:color w:val="FFFFFF"/>
              </w:rPr>
              <w:t>Borrower Name</w:t>
            </w:r>
          </w:p>
        </w:tc>
        <w:tc>
          <w:tcPr>
            <w:tcW w:type="dxa" w:w="2556"/>
            <w:shd w:fill="1F4E79"/>
          </w:tcPr>
          <w:p>
            <w:r>
              <w:rPr>
                <w:b/>
                <w:color w:val="FFFFFF"/>
              </w:rPr>
              <w:t>Referral Partner</w:t>
            </w:r>
          </w:p>
        </w:tc>
        <w:tc>
          <w:tcPr>
            <w:tcW w:type="dxa" w:w="2556"/>
            <w:shd w:fill="1F4E79"/>
          </w:tcPr>
          <w:p>
            <w:r>
              <w:rPr>
                <w:b/>
                <w:color w:val="FFFFFF"/>
              </w:rPr>
              <w:t>Signature</w:t>
            </w:r>
          </w:p>
        </w:tc>
        <w:tc>
          <w:tcPr>
            <w:tcW w:type="dxa" w:w="2556"/>
            <w:shd w:fill="1F4E79"/>
          </w:tcPr>
          <w:p>
            <w:r>
              <w:rPr>
                <w:b/>
                <w:color w:val="FFFFFF"/>
              </w:rPr>
              <w:t>Date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/>
    <w:p>
      <w:pPr>
        <w:pStyle w:val="Heading1"/>
      </w:pPr>
      <w:r>
        <w:t>Privacy and Document Handling Notice</w:t>
      </w:r>
    </w:p>
    <w:p>
      <w:pPr>
        <w:pStyle w:val="ListBullet"/>
      </w:pPr>
      <w:r>
        <w:t>Documents are used only for readiness review, service delivery, and authorized communication.</w:t>
      </w:r>
    </w:p>
    <w:p>
      <w:pPr>
        <w:pStyle w:val="ListBullet"/>
      </w:pPr>
      <w:r>
        <w:t>Sensitive documents should be uploaded through secure channels only.</w:t>
      </w:r>
    </w:p>
    <w:p>
      <w:pPr>
        <w:pStyle w:val="ListBullet"/>
      </w:pPr>
      <w:r>
        <w:t>Partners receive updates only when the borrower authorizes communication.</w:t>
      </w:r>
    </w:p>
    <w:p>
      <w:pPr>
        <w:pStyle w:val="ListBullet"/>
      </w:pPr>
      <w:r>
        <w:t>Borrowers may revoke partner-update authorization in writing.</w:t>
      </w:r>
    </w:p>
    <w:p>
      <w:pPr>
        <w:pStyle w:val="Heading1"/>
      </w:pPr>
      <w:r>
        <w:t>Monthly Partner Update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</w:tcPr>
          <w:p>
            <w:r>
              <w:rPr>
                <w:b/>
                <w:color w:val="FFFFFF"/>
              </w:rPr>
              <w:t>Borrower</w:t>
            </w:r>
          </w:p>
        </w:tc>
        <w:tc>
          <w:tcPr>
            <w:tcW w:type="dxa" w:w="2045"/>
            <w:shd w:fill="1F4E79"/>
          </w:tcPr>
          <w:p>
            <w:r>
              <w:rPr>
                <w:b/>
                <w:color w:val="FFFFFF"/>
              </w:rPr>
              <w:t>Current Status</w:t>
            </w:r>
          </w:p>
        </w:tc>
        <w:tc>
          <w:tcPr>
            <w:tcW w:type="dxa" w:w="2045"/>
            <w:shd w:fill="1F4E79"/>
          </w:tcPr>
          <w:p>
            <w:r>
              <w:rPr>
                <w:b/>
                <w:color w:val="FFFFFF"/>
              </w:rPr>
              <w:t>Completed This Month</w:t>
            </w:r>
          </w:p>
        </w:tc>
        <w:tc>
          <w:tcPr>
            <w:tcW w:type="dxa" w:w="2045"/>
            <w:shd w:fill="1F4E79"/>
          </w:tcPr>
          <w:p>
            <w:r>
              <w:rPr>
                <w:b/>
                <w:color w:val="FFFFFF"/>
              </w:rPr>
              <w:t>Next Milestone</w:t>
            </w:r>
          </w:p>
        </w:tc>
        <w:tc>
          <w:tcPr>
            <w:tcW w:type="dxa" w:w="2045"/>
            <w:shd w:fill="1F4E79"/>
          </w:tcPr>
          <w:p>
            <w:r>
              <w:rPr>
                <w:b/>
                <w:color w:val="FFFFFF"/>
              </w:rPr>
              <w:t>Estimated Recheck</w:t>
            </w:r>
          </w:p>
        </w:tc>
      </w:tr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/>
    <w:p>
      <w:pPr>
        <w:pStyle w:val="Heading1"/>
      </w:pPr>
      <w:r>
        <w:t>Compliance Notes and Source Links</w:t>
      </w:r>
    </w:p>
    <w:p>
      <w:pPr>
        <w:pStyle w:val="ListBullet"/>
      </w:pPr>
      <w:r>
        <w:t>Do not pay, receive, or structure compensation as a mortgage referral fee or kickback.</w:t>
      </w:r>
    </w:p>
    <w:p>
      <w:pPr>
        <w:pStyle w:val="ListBullet"/>
      </w:pPr>
      <w:r>
        <w:t>Credit repair services must follow CROA, including required disclosures, written contracts, cancellation rights, and restrictions on advance payment.</w:t>
      </w:r>
    </w:p>
    <w:p>
      <w:pPr>
        <w:pStyle w:val="ListBullet"/>
      </w:pPr>
      <w:r>
        <w:t>This packet is business and marketing material, not legal advice. Have a qualified attorney review before launch.</w:t>
      </w:r>
    </w:p>
    <w:p>
      <w:pPr>
        <w:pStyle w:val="ListBullet"/>
      </w:pPr>
      <w:r>
        <w:t>CFPB RESPA resource: https://www.consumerfinance.gov/compliance/compliance-resources/mortgage-resources/real-estate-settlement-procedures-act/</w:t>
      </w:r>
    </w:p>
    <w:p>
      <w:pPr>
        <w:pStyle w:val="ListBullet"/>
      </w:pPr>
      <w:r>
        <w:t>eCFR Reg X Section 1024.14: https://www.ecfr.gov/current/title-12/chapter-X/part-1024/subpart-B/section-1024.14</w:t>
      </w:r>
    </w:p>
    <w:p>
      <w:pPr>
        <w:pStyle w:val="ListBullet"/>
      </w:pPr>
      <w:r>
        <w:t>FTC Credit Repair Organizations Act: https://www.ftc.gov/legal-library/browse/statutes/credit-repair-organizations-act</w:t>
      </w:r>
    </w:p>
    <w:p>
      <w:pPr>
        <w:pStyle w:val="ListBullet"/>
      </w:pPr>
      <w:r>
        <w:t>U.S. Code CROA: https://uscode.house.gov/view.xhtml?req=granuleid:USC-prelim-title15-chapter41-subchapterII-A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Lending Readiness Partners | Helping More Borrowers Become Lending Ready. | [Your Phone] | [Your Website]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6213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