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32"/>
        </w:rPr>
        <w:t>Lending Readiness Partners</w:t>
      </w:r>
    </w:p>
    <w:p>
      <w:pPr>
        <w:jc w:val="center"/>
      </w:pPr>
      <w:r>
        <w:rPr>
          <w:b/>
          <w:color w:val="1F4E79"/>
          <w:sz w:val="52"/>
        </w:rPr>
        <w:t>Website and Landing Page Copy</w:t>
      </w:r>
    </w:p>
    <w:p>
      <w:pPr>
        <w:jc w:val="center"/>
      </w:pPr>
      <w:r>
        <w:rPr>
          <w:i/>
          <w:color w:val="16213E"/>
          <w:sz w:val="26"/>
        </w:rPr>
        <w:t>Mortgage partner, borrower, and Realtor landing page copy.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9FC"/>
          </w:tcPr>
          <w:p>
            <w:pPr>
              <w:jc w:val="center"/>
            </w:pPr>
            <w:r>
              <w:t>Prepared for mortgage lenders, banks, credit unions, loan officers, and real estate partners.</w:t>
              <w:br/>
              <w:br/>
              <w:t>Helping More Borrowers Become Lending Ready.</w:t>
            </w:r>
          </w:p>
        </w:tc>
      </w:tr>
    </w:tbl>
    <w:p/>
    <w:p>
      <w:pPr>
        <w:jc w:val="center"/>
      </w:pPr>
      <w:r>
        <w:t>Contact: [Your Phone] | [Your Email] | [Your Website]</w:t>
      </w:r>
    </w:p>
    <w:p>
      <w:r>
        <w:br w:type="page"/>
      </w:r>
    </w:p>
    <w:p>
      <w:pPr>
        <w:pStyle w:val="Heading1"/>
      </w:pPr>
      <w:r>
        <w:t>Mortgage Partner Landing Page</w:t>
      </w:r>
    </w:p>
    <w:p>
      <w:r>
        <w:t>Headline: Turn More “Not Yet” Borrowers Into Future Closings</w:t>
      </w:r>
    </w:p>
    <w:p>
      <w:r>
        <w:t>Subheadline: Partner with Lending Readiness Partners to help credit-challenged borrowers receive a clear mortgage-readiness plan and return to your pipeline stronger.</w:t>
      </w:r>
    </w:p>
    <w:p>
      <w:pPr>
        <w:pStyle w:val="ListBullet"/>
      </w:pPr>
      <w:r>
        <w:t>CTA 1: Become a Partner</w:t>
      </w:r>
    </w:p>
    <w:p>
      <w:pPr>
        <w:pStyle w:val="ListBullet"/>
      </w:pPr>
      <w:r>
        <w:t>CTA 2: Refer a Borrower</w:t>
      </w:r>
    </w:p>
    <w:p>
      <w:pPr>
        <w:pStyle w:val="ListBullet"/>
      </w:pPr>
      <w:r>
        <w:t>CTA 3: Download Partner Guide</w:t>
      </w:r>
    </w:p>
    <w:p>
      <w:pPr>
        <w:pStyle w:val="Heading1"/>
      </w:pPr>
      <w:r>
        <w:t>Borrower Landing Page</w:t>
      </w:r>
    </w:p>
    <w:p>
      <w:r>
        <w:t>Headline: Not Mortgage-Ready Yet? Start Here.</w:t>
      </w:r>
    </w:p>
    <w:p>
      <w:r>
        <w:t>Subheadline: Understand what is holding your credit back and get a step-by-step readiness roadmap.</w:t>
      </w:r>
    </w:p>
    <w:p>
      <w:pPr>
        <w:pStyle w:val="Heading1"/>
      </w:pPr>
      <w:r>
        <w:t>Realtor Landing Page</w:t>
      </w:r>
    </w:p>
    <w:p>
      <w:r>
        <w:t>Headline: Keep More Buyers Engaged While They Become Lending Ready</w:t>
      </w:r>
    </w:p>
    <w:p>
      <w:pPr>
        <w:pStyle w:val="ListBullet"/>
      </w:pPr>
      <w:r>
        <w:t>Buyer education</w:t>
      </w:r>
    </w:p>
    <w:p>
      <w:pPr>
        <w:pStyle w:val="ListBullet"/>
      </w:pPr>
      <w:r>
        <w:t>Credit readiness roadmaps</w:t>
      </w:r>
    </w:p>
    <w:p>
      <w:pPr>
        <w:pStyle w:val="ListBullet"/>
      </w:pPr>
      <w:r>
        <w:t>Partner updates with consent</w:t>
      </w:r>
    </w:p>
    <w:p>
      <w:pPr>
        <w:pStyle w:val="ListBullet"/>
      </w:pPr>
      <w:r>
        <w:t>Return-to-agent alignment</w:t>
      </w:r>
    </w:p>
    <w:p>
      <w:pPr>
        <w:pStyle w:val="Heading1"/>
      </w:pPr>
      <w:r>
        <w:t>FAQ Page Copy</w:t>
      </w:r>
    </w:p>
    <w:p>
      <w:pPr>
        <w:pStyle w:val="ListBullet"/>
      </w:pPr>
      <w:r>
        <w:t>We do not guarantee results.</w:t>
      </w:r>
    </w:p>
    <w:p>
      <w:pPr>
        <w:pStyle w:val="ListBullet"/>
      </w:pPr>
      <w:r>
        <w:t>We do not provide loans.</w:t>
      </w:r>
    </w:p>
    <w:p>
      <w:pPr>
        <w:pStyle w:val="ListBullet"/>
      </w:pPr>
      <w:r>
        <w:t>We do not pay referral fees.</w:t>
      </w:r>
    </w:p>
    <w:p>
      <w:pPr>
        <w:pStyle w:val="ListBullet"/>
      </w:pPr>
      <w:r>
        <w:t>We provide credit-readiness education and document-backed action planning.</w:t>
      </w:r>
    </w:p>
    <w:p>
      <w:pPr>
        <w:pStyle w:val="Heading1"/>
      </w:pPr>
      <w:r>
        <w:t>Compliance Notes and Source Links</w:t>
      </w:r>
    </w:p>
    <w:p>
      <w:pPr>
        <w:pStyle w:val="ListBullet"/>
      </w:pPr>
      <w:r>
        <w:t>Do not pay, receive, or structure compensation as a mortgage referral fee or kickback.</w:t>
      </w:r>
    </w:p>
    <w:p>
      <w:pPr>
        <w:pStyle w:val="ListBullet"/>
      </w:pPr>
      <w:r>
        <w:t>Credit repair services must follow CROA, including required disclosures, written contracts, cancellation rights, and restrictions on advance payment.</w:t>
      </w:r>
    </w:p>
    <w:p>
      <w:pPr>
        <w:pStyle w:val="ListBullet"/>
      </w:pPr>
      <w:r>
        <w:t>This packet is business and marketing material, not legal advice. Have a qualified attorney review before launch.</w:t>
      </w:r>
    </w:p>
    <w:p>
      <w:pPr>
        <w:pStyle w:val="ListBullet"/>
      </w:pPr>
      <w:r>
        <w:t>CFPB RESPA resource: https://www.consumerfinance.gov/compliance/compliance-resources/mortgage-resources/real-estate-settlement-procedures-act/</w:t>
      </w:r>
    </w:p>
    <w:p>
      <w:pPr>
        <w:pStyle w:val="ListBullet"/>
      </w:pPr>
      <w:r>
        <w:t>eCFR Reg X Section 1024.14: https://www.ecfr.gov/current/title-12/chapter-X/part-1024/subpart-B/section-1024.14</w:t>
      </w:r>
    </w:p>
    <w:p>
      <w:pPr>
        <w:pStyle w:val="ListBullet"/>
      </w:pPr>
      <w:r>
        <w:t>FTC Credit Repair Organizations Act: https://www.ftc.gov/legal-library/browse/statutes/credit-repair-organizations-act</w:t>
      </w:r>
    </w:p>
    <w:p>
      <w:pPr>
        <w:pStyle w:val="ListBullet"/>
      </w:pPr>
      <w:r>
        <w:t>U.S. Code CROA: https://uscode.house.gov/view.xhtml?req=granuleid:USC-prelim-title15-chapter41-subchapterII-A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Lending Readiness Partners | Helping More Borrowers Become Lending Ready. | [Your Phone] | [Your Website]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1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