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32"/>
        </w:rPr>
        <w:t>Lending Readiness Partners</w:t>
      </w:r>
    </w:p>
    <w:p>
      <w:pPr>
        <w:jc w:val="center"/>
      </w:pPr>
      <w:r>
        <w:rPr>
          <w:b/>
          <w:color w:val="1F4E79"/>
          <w:sz w:val="52"/>
        </w:rPr>
        <w:t>Operational Report Templates</w:t>
      </w:r>
    </w:p>
    <w:p>
      <w:pPr>
        <w:jc w:val="center"/>
      </w:pPr>
      <w:r>
        <w:rPr>
          <w:i/>
          <w:color w:val="16213E"/>
          <w:sz w:val="26"/>
        </w:rPr>
        <w:t>Readiness reports, rapid rescore checklist, bureau comparison, and alert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9FC"/>
          </w:tcPr>
          <w:p>
            <w:pPr>
              <w:jc w:val="center"/>
            </w:pPr>
            <w:r>
              <w:t>Prepared for mortgage lenders, banks, credit unions, loan officers, and real estate partners.</w:t>
              <w:br/>
              <w:br/>
              <w:t>Helping More Borrowers Become Lending Ready.</w:t>
            </w:r>
          </w:p>
        </w:tc>
      </w:tr>
    </w:tbl>
    <w:p/>
    <w:p>
      <w:pPr>
        <w:jc w:val="center"/>
      </w:pPr>
      <w:r>
        <w:t>Contact: [Your Phone] | [Your Email] | [Your Website]</w:t>
      </w:r>
    </w:p>
    <w:p>
      <w:r>
        <w:br w:type="page"/>
      </w:r>
    </w:p>
    <w:p>
      <w:pPr>
        <w:pStyle w:val="Heading1"/>
      </w:pPr>
      <w:r>
        <w:t>Initial Mortgage Readiness Report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</w:rPr>
              <w:t>Fields</w:t>
            </w:r>
          </w:p>
        </w:tc>
      </w:tr>
      <w:tr>
        <w:tc>
          <w:tcPr>
            <w:tcW w:type="dxa" w:w="5112"/>
          </w:tcPr>
          <w:p>
            <w:r>
              <w:t>Borrower Snapshot</w:t>
            </w:r>
          </w:p>
        </w:tc>
        <w:tc>
          <w:tcPr>
            <w:tcW w:type="dxa" w:w="5112"/>
          </w:tcPr>
          <w:p>
            <w:r>
              <w:t>Name, date, loan officer, target program, target score</w:t>
            </w:r>
          </w:p>
        </w:tc>
      </w:tr>
      <w:tr>
        <w:tc>
          <w:tcPr>
            <w:tcW w:type="dxa" w:w="5112"/>
          </w:tcPr>
          <w:p>
            <w:r>
              <w:t>Score Summary</w:t>
            </w:r>
          </w:p>
        </w:tc>
        <w:tc>
          <w:tcPr>
            <w:tcW w:type="dxa" w:w="5112"/>
          </w:tcPr>
          <w:p>
            <w:r>
              <w:t>Current scores, target score, model notes</w:t>
            </w:r>
          </w:p>
        </w:tc>
      </w:tr>
      <w:tr>
        <w:tc>
          <w:tcPr>
            <w:tcW w:type="dxa" w:w="5112"/>
          </w:tcPr>
          <w:p>
            <w:r>
              <w:t>Top Obstacles</w:t>
            </w:r>
          </w:p>
        </w:tc>
        <w:tc>
          <w:tcPr>
            <w:tcW w:type="dxa" w:w="5112"/>
          </w:tcPr>
          <w:p>
            <w:r>
              <w:t>Utilization, derogatories, inquiries, identity alerts, mixed-file concerns</w:t>
            </w:r>
          </w:p>
        </w:tc>
      </w:tr>
      <w:tr>
        <w:tc>
          <w:tcPr>
            <w:tcW w:type="dxa" w:w="5112"/>
          </w:tcPr>
          <w:p>
            <w:r>
              <w:t>Action Plan</w:t>
            </w:r>
          </w:p>
        </w:tc>
        <w:tc>
          <w:tcPr>
            <w:tcW w:type="dxa" w:w="5112"/>
          </w:tcPr>
          <w:p>
            <w:r>
              <w:t>Immediate, 30-day, 60-day, 90-day steps</w:t>
            </w:r>
          </w:p>
        </w:tc>
      </w:tr>
      <w:tr>
        <w:tc>
          <w:tcPr>
            <w:tcW w:type="dxa" w:w="5112"/>
          </w:tcPr>
          <w:p>
            <w:r>
              <w:t>Partner Notes</w:t>
            </w:r>
          </w:p>
        </w:tc>
        <w:tc>
          <w:tcPr>
            <w:tcW w:type="dxa" w:w="5112"/>
          </w:tcPr>
          <w:p>
            <w:r>
              <w:t>Allowed updates based on borrower consent</w:t>
            </w:r>
          </w:p>
        </w:tc>
      </w:tr>
    </w:tbl>
    <w:p/>
    <w:p>
      <w:pPr>
        <w:pStyle w:val="Heading1"/>
      </w:pPr>
      <w:r>
        <w:t>Bureau Comparison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</w:tcPr>
          <w:p>
            <w:r>
              <w:rPr>
                <w:b/>
                <w:color w:val="FFFFFF"/>
              </w:rPr>
              <w:t>Account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</w:rPr>
              <w:t>Experian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</w:rPr>
              <w:t>Equifax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</w:rPr>
              <w:t>TransUnion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</w:rPr>
              <w:t>Discrepancy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/>
    <w:p>
      <w:pPr>
        <w:pStyle w:val="Heading1"/>
      </w:pPr>
      <w:r>
        <w:t>Rapid Rescore Preparation Checklist</w:t>
      </w:r>
    </w:p>
    <w:p>
      <w:pPr>
        <w:pStyle w:val="ListBullet"/>
      </w:pPr>
      <w:r>
        <w:t>Confirm lender supports rapid rescore for the needed item.</w:t>
      </w:r>
    </w:p>
    <w:p>
      <w:pPr>
        <w:pStyle w:val="ListBullet"/>
      </w:pPr>
      <w:r>
        <w:t>Obtain creditor letter or proof of balance update.</w:t>
      </w:r>
    </w:p>
    <w:p>
      <w:pPr>
        <w:pStyle w:val="ListBullet"/>
      </w:pPr>
      <w:r>
        <w:t>Confirm account number and reporting bureau.</w:t>
      </w:r>
    </w:p>
    <w:p>
      <w:pPr>
        <w:pStyle w:val="ListBullet"/>
      </w:pPr>
      <w:r>
        <w:t>Upload supporting documents to lender.</w:t>
      </w:r>
    </w:p>
    <w:p>
      <w:pPr>
        <w:pStyle w:val="ListBullet"/>
      </w:pPr>
      <w:r>
        <w:t>Track expected update window.</w:t>
      </w:r>
    </w:p>
    <w:p>
      <w:pPr>
        <w:pStyle w:val="Heading1"/>
      </w:pPr>
      <w:r>
        <w:t>Identity Theft Alert Review</w:t>
      </w:r>
    </w:p>
    <w:p>
      <w:pPr>
        <w:pStyle w:val="ListBullet"/>
      </w:pPr>
      <w:r>
        <w:t>Check whether alert is fraud alert, security freeze, identity theft report, or mixed-file indicator.</w:t>
      </w:r>
    </w:p>
    <w:p>
      <w:pPr>
        <w:pStyle w:val="ListBullet"/>
      </w:pPr>
      <w:r>
        <w:t>Request borrower ID and proof of address.</w:t>
      </w:r>
    </w:p>
    <w:p>
      <w:pPr>
        <w:pStyle w:val="ListBullet"/>
      </w:pPr>
      <w:r>
        <w:t>List unfamiliar accounts and inquiries.</w:t>
      </w:r>
    </w:p>
    <w:p>
      <w:pPr>
        <w:pStyle w:val="ListBullet"/>
      </w:pPr>
      <w:r>
        <w:t>Prepare documentation checklist.</w:t>
      </w:r>
    </w:p>
    <w:p>
      <w:pPr>
        <w:pStyle w:val="ListBullet"/>
      </w:pPr>
      <w:r>
        <w:t>Advise borrower to consult appropriate legal/consumer resources for identity theft where needed.</w:t>
      </w:r>
    </w:p>
    <w:p>
      <w:pPr>
        <w:pStyle w:val="Heading1"/>
      </w:pPr>
      <w:r>
        <w:t>Compliance Notes and Source Links</w:t>
      </w:r>
    </w:p>
    <w:p>
      <w:pPr>
        <w:pStyle w:val="ListBullet"/>
      </w:pPr>
      <w:r>
        <w:t>Do not pay, receive, or structure compensation as a mortgage referral fee or kickback.</w:t>
      </w:r>
    </w:p>
    <w:p>
      <w:pPr>
        <w:pStyle w:val="ListBullet"/>
      </w:pPr>
      <w:r>
        <w:t>Credit repair services must follow CROA, including required disclosures, written contracts, cancellation rights, and restrictions on advance payment.</w:t>
      </w:r>
    </w:p>
    <w:p>
      <w:pPr>
        <w:pStyle w:val="ListBullet"/>
      </w:pPr>
      <w:r>
        <w:t>This packet is business and marketing material, not legal advice. Have a qualified attorney review before launch.</w:t>
      </w:r>
    </w:p>
    <w:p>
      <w:pPr>
        <w:pStyle w:val="ListBullet"/>
      </w:pPr>
      <w:r>
        <w:t>CFPB RESPA resource: https://www.consumerfinance.gov/compliance/compliance-resources/mortgage-resources/real-estate-settlement-procedures-act/</w:t>
      </w:r>
    </w:p>
    <w:p>
      <w:pPr>
        <w:pStyle w:val="ListBullet"/>
      </w:pPr>
      <w:r>
        <w:t>eCFR Reg X Section 1024.14: https://www.ecfr.gov/current/title-12/chapter-X/part-1024/subpart-B/section-1024.14</w:t>
      </w:r>
    </w:p>
    <w:p>
      <w:pPr>
        <w:pStyle w:val="ListBullet"/>
      </w:pPr>
      <w:r>
        <w:t>FTC Credit Repair Organizations Act: https://www.ftc.gov/legal-library/browse/statutes/credit-repair-organizations-act</w:t>
      </w:r>
    </w:p>
    <w:p>
      <w:pPr>
        <w:pStyle w:val="ListBullet"/>
      </w:pPr>
      <w:r>
        <w:t>U.S. Code CROA: https://uscode.house.gov/view.xhtml?req=granuleid:USC-prelim-title15-chapter41-subchapterII-A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Lending Readiness Partners | Helping More Borrowers Become Lending Ready. | [Your Phone] | [Your Website]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1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