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43A63"/>
          <w:sz w:val="68"/>
        </w:rPr>
        <w:t>LENDING READINESS</w:t>
        <w:br/>
        <w:t>PARTNERS</w:t>
      </w:r>
    </w:p>
    <w:p>
      <w:pPr>
        <w:jc w:val="center"/>
      </w:pPr>
      <w:r>
        <w:rPr>
          <w:b/>
          <w:color w:val="2A8F62"/>
          <w:sz w:val="48"/>
        </w:rPr>
        <w:t>ENTERPRISE BUILD BIBLE</w:t>
      </w:r>
    </w:p>
    <w:p>
      <w:pPr>
        <w:jc w:val="center"/>
      </w:pPr>
      <w:r>
        <w:rPr>
          <w:color w:val="D4AF37"/>
          <w:sz w:val="34"/>
        </w:rPr>
        <w:t>Version 2.0</w:t>
      </w:r>
    </w:p>
    <w:p>
      <w:pPr>
        <w:spacing w:before="360"/>
        <w:jc w:val="center"/>
      </w:pPr>
      <w:r>
        <w:rPr>
          <w:i/>
          <w:color w:val="3D4650"/>
          <w:sz w:val="30"/>
        </w:rPr>
        <w:t>Helping More Borrowers Become Lending Ready.</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Purpose</w:t>
              <w:br/>
            </w:r>
            <w:r>
              <w:rPr>
                <w:sz w:val="20"/>
              </w:rPr>
              <w:t>The authoritative operating, product, brand, compliance, and implementation blueprint for Lending Readiness Partners. This document is designed to guide founders, staff, contractors, Cursor, Canva, and future technology partners.</w:t>
            </w:r>
          </w:p>
        </w:tc>
      </w:tr>
    </w:tbl>
    <w:p/>
    <w:p>
      <w:pPr>
        <w:spacing w:before="1100"/>
        <w:jc w:val="center"/>
      </w:pPr>
      <w:r>
        <w:rPr>
          <w:color w:val="646464"/>
          <w:sz w:val="18"/>
        </w:rPr>
        <w:t>Prepared July 2026 | Controlled working document</w:t>
      </w:r>
    </w:p>
    <w:p>
      <w:r>
        <w:br w:type="page"/>
      </w:r>
    </w:p>
    <w:p>
      <w:pPr>
        <w:pStyle w:val="Title"/>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Field</w:t>
            </w:r>
          </w:p>
        </w:tc>
        <w:tc>
          <w:tcPr>
            <w:tcW w:type="dxa" w:w="5040"/>
            <w:shd w:fill="143A63"/>
            <w:tcMar>
              <w:top w:w="100" w:type="dxa"/>
              <w:start w:w="120" w:type="dxa"/>
              <w:bottom w:w="100" w:type="dxa"/>
              <w:end w:w="120" w:type="dxa"/>
            </w:tcMar>
            <w:vAlign w:val="center"/>
          </w:tcPr>
          <w:p>
            <w:pPr>
              <w:jc w:val="center"/>
            </w:pPr>
            <w:r>
              <w:rPr>
                <w:b/>
                <w:color w:val="FFFFFF"/>
                <w:sz w:val="18"/>
              </w:rPr>
              <w:t>Value</w:t>
            </w:r>
          </w:p>
        </w:tc>
      </w:tr>
      <w:tr>
        <w:tc>
          <w:tcPr>
            <w:tcW w:type="dxa" w:w="5040"/>
            <w:tcMar>
              <w:top w:w="100" w:type="dxa"/>
              <w:start w:w="120" w:type="dxa"/>
              <w:bottom w:w="100" w:type="dxa"/>
              <w:end w:w="120" w:type="dxa"/>
            </w:tcMar>
            <w:vAlign w:val="center"/>
          </w:tcPr>
          <w:p>
            <w:pPr>
              <w:spacing w:after="0"/>
            </w:pPr>
            <w:r>
              <w:rPr>
                <w:sz w:val="18"/>
              </w:rPr>
              <w:t>Document owner</w:t>
            </w:r>
          </w:p>
        </w:tc>
        <w:tc>
          <w:tcPr>
            <w:tcW w:type="dxa" w:w="5040"/>
            <w:tcMar>
              <w:top w:w="100" w:type="dxa"/>
              <w:start w:w="120" w:type="dxa"/>
              <w:bottom w:w="100" w:type="dxa"/>
              <w:end w:w="120" w:type="dxa"/>
            </w:tcMar>
            <w:vAlign w:val="center"/>
          </w:tcPr>
          <w:p>
            <w:pPr>
              <w:spacing w:after="0"/>
            </w:pPr>
            <w:r>
              <w:rPr>
                <w:sz w:val="18"/>
              </w:rPr>
              <w:t>Founder / Chief Executive Officer</w:t>
            </w:r>
          </w:p>
        </w:tc>
      </w:tr>
      <w:tr>
        <w:tc>
          <w:tcPr>
            <w:tcW w:type="dxa" w:w="5040"/>
            <w:tcMar>
              <w:top w:w="100" w:type="dxa"/>
              <w:start w:w="120" w:type="dxa"/>
              <w:bottom w:w="100" w:type="dxa"/>
              <w:end w:w="120" w:type="dxa"/>
            </w:tcMar>
            <w:vAlign w:val="center"/>
          </w:tcPr>
          <w:p>
            <w:pPr>
              <w:spacing w:after="0"/>
            </w:pPr>
            <w:r>
              <w:rPr>
                <w:sz w:val="18"/>
              </w:rPr>
              <w:t>Version</w:t>
            </w:r>
          </w:p>
        </w:tc>
        <w:tc>
          <w:tcPr>
            <w:tcW w:type="dxa" w:w="5040"/>
            <w:tcMar>
              <w:top w:w="100" w:type="dxa"/>
              <w:start w:w="120" w:type="dxa"/>
              <w:bottom w:w="100" w:type="dxa"/>
              <w:end w:w="120" w:type="dxa"/>
            </w:tcMar>
            <w:vAlign w:val="center"/>
          </w:tcPr>
          <w:p>
            <w:pPr>
              <w:spacing w:after="0"/>
            </w:pPr>
            <w:r>
              <w:rPr>
                <w:sz w:val="18"/>
              </w:rPr>
              <w:t>2.0</w:t>
            </w:r>
          </w:p>
        </w:tc>
      </w:tr>
      <w:tr>
        <w:tc>
          <w:tcPr>
            <w:tcW w:type="dxa" w:w="5040"/>
            <w:tcMar>
              <w:top w:w="100" w:type="dxa"/>
              <w:start w:w="120" w:type="dxa"/>
              <w:bottom w:w="100" w:type="dxa"/>
              <w:end w:w="120" w:type="dxa"/>
            </w:tcMar>
            <w:vAlign w:val="center"/>
          </w:tcPr>
          <w:p>
            <w:pPr>
              <w:spacing w:after="0"/>
            </w:pPr>
            <w:r>
              <w:rPr>
                <w:sz w:val="18"/>
              </w:rPr>
              <w:t>Status</w:t>
            </w:r>
          </w:p>
        </w:tc>
        <w:tc>
          <w:tcPr>
            <w:tcW w:type="dxa" w:w="5040"/>
            <w:tcMar>
              <w:top w:w="100" w:type="dxa"/>
              <w:start w:w="120" w:type="dxa"/>
              <w:bottom w:w="100" w:type="dxa"/>
              <w:end w:w="120" w:type="dxa"/>
            </w:tcMar>
            <w:vAlign w:val="center"/>
          </w:tcPr>
          <w:p>
            <w:pPr>
              <w:spacing w:after="0"/>
            </w:pPr>
            <w:r>
              <w:rPr>
                <w:sz w:val="18"/>
              </w:rPr>
              <w:t>Implementation baseline</w:t>
            </w:r>
          </w:p>
        </w:tc>
      </w:tr>
      <w:tr>
        <w:tc>
          <w:tcPr>
            <w:tcW w:type="dxa" w:w="5040"/>
            <w:tcMar>
              <w:top w:w="100" w:type="dxa"/>
              <w:start w:w="120" w:type="dxa"/>
              <w:bottom w:w="100" w:type="dxa"/>
              <w:end w:w="120" w:type="dxa"/>
            </w:tcMar>
            <w:vAlign w:val="center"/>
          </w:tcPr>
          <w:p>
            <w:pPr>
              <w:spacing w:after="0"/>
            </w:pPr>
            <w:r>
              <w:rPr>
                <w:sz w:val="18"/>
              </w:rPr>
              <w:t>Review cycle</w:t>
            </w:r>
          </w:p>
        </w:tc>
        <w:tc>
          <w:tcPr>
            <w:tcW w:type="dxa" w:w="5040"/>
            <w:tcMar>
              <w:top w:w="100" w:type="dxa"/>
              <w:start w:w="120" w:type="dxa"/>
              <w:bottom w:w="100" w:type="dxa"/>
              <w:end w:w="120" w:type="dxa"/>
            </w:tcMar>
            <w:vAlign w:val="center"/>
          </w:tcPr>
          <w:p>
            <w:pPr>
              <w:spacing w:after="0"/>
            </w:pPr>
            <w:r>
              <w:rPr>
                <w:sz w:val="18"/>
              </w:rPr>
              <w:t>Quarterly and after material regulatory, service, or platform changes</w:t>
            </w:r>
          </w:p>
        </w:tc>
      </w:tr>
      <w:tr>
        <w:tc>
          <w:tcPr>
            <w:tcW w:type="dxa" w:w="5040"/>
            <w:tcMar>
              <w:top w:w="100" w:type="dxa"/>
              <w:start w:w="120" w:type="dxa"/>
              <w:bottom w:w="100" w:type="dxa"/>
              <w:end w:w="120" w:type="dxa"/>
            </w:tcMar>
            <w:vAlign w:val="center"/>
          </w:tcPr>
          <w:p>
            <w:pPr>
              <w:spacing w:after="0"/>
            </w:pPr>
            <w:r>
              <w:rPr>
                <w:sz w:val="18"/>
              </w:rPr>
              <w:t>Primary users</w:t>
            </w:r>
          </w:p>
        </w:tc>
        <w:tc>
          <w:tcPr>
            <w:tcW w:type="dxa" w:w="5040"/>
            <w:tcMar>
              <w:top w:w="100" w:type="dxa"/>
              <w:start w:w="120" w:type="dxa"/>
              <w:bottom w:w="100" w:type="dxa"/>
              <w:end w:w="120" w:type="dxa"/>
            </w:tcMar>
            <w:vAlign w:val="center"/>
          </w:tcPr>
          <w:p>
            <w:pPr>
              <w:spacing w:after="0"/>
            </w:pPr>
            <w:r>
              <w:rPr>
                <w:sz w:val="18"/>
              </w:rPr>
              <w:t>Leadership, operations, sales, partner success, compliance, product, engineering, marketing</w:t>
            </w:r>
          </w:p>
        </w:tc>
      </w:tr>
      <w:tr>
        <w:tc>
          <w:tcPr>
            <w:tcW w:type="dxa" w:w="5040"/>
            <w:tcMar>
              <w:top w:w="100" w:type="dxa"/>
              <w:start w:w="120" w:type="dxa"/>
              <w:bottom w:w="100" w:type="dxa"/>
              <w:end w:w="120" w:type="dxa"/>
            </w:tcMar>
            <w:vAlign w:val="center"/>
          </w:tcPr>
          <w:p>
            <w:pPr>
              <w:spacing w:after="0"/>
            </w:pPr>
            <w:r>
              <w:rPr>
                <w:sz w:val="18"/>
              </w:rPr>
              <w:t>Brand statement</w:t>
            </w:r>
          </w:p>
        </w:tc>
        <w:tc>
          <w:tcPr>
            <w:tcW w:type="dxa" w:w="5040"/>
            <w:tcMar>
              <w:top w:w="100" w:type="dxa"/>
              <w:start w:w="120" w:type="dxa"/>
              <w:bottom w:w="100" w:type="dxa"/>
              <w:end w:w="120" w:type="dxa"/>
            </w:tcMar>
            <w:vAlign w:val="center"/>
          </w:tcPr>
          <w:p>
            <w:pPr>
              <w:spacing w:after="0"/>
            </w:pPr>
            <w:r>
              <w:rPr>
                <w:sz w:val="18"/>
              </w:rPr>
              <w:t>Lending Readiness Partners helps consumers prepare for financing opportunities; it does not originate, broker, underwrite, approve, or service loans.</w:t>
            </w:r>
          </w:p>
        </w:tc>
      </w:tr>
      <w:tr>
        <w:tc>
          <w:tcPr>
            <w:tcW w:type="dxa" w:w="5040"/>
            <w:tcMar>
              <w:top w:w="100" w:type="dxa"/>
              <w:start w:w="120" w:type="dxa"/>
              <w:bottom w:w="100" w:type="dxa"/>
              <w:end w:w="120" w:type="dxa"/>
            </w:tcMar>
            <w:vAlign w:val="center"/>
          </w:tcPr>
          <w:p>
            <w:pPr>
              <w:spacing w:after="0"/>
            </w:pPr>
            <w:r>
              <w:rPr>
                <w:sz w:val="18"/>
              </w:rPr>
              <w:t>Legal status</w:t>
            </w:r>
          </w:p>
        </w:tc>
        <w:tc>
          <w:tcPr>
            <w:tcW w:type="dxa" w:w="5040"/>
            <w:tcMar>
              <w:top w:w="100" w:type="dxa"/>
              <w:start w:w="120" w:type="dxa"/>
              <w:bottom w:w="100" w:type="dxa"/>
              <w:end w:w="120" w:type="dxa"/>
            </w:tcMar>
            <w:vAlign w:val="center"/>
          </w:tcPr>
          <w:p>
            <w:pPr>
              <w:spacing w:after="0"/>
            </w:pPr>
            <w:r>
              <w:rPr>
                <w:sz w:val="18"/>
              </w:rPr>
              <w:t>Operational blueprint; not legal, tax, accounting, or regulatory advice. Counsel review is required before launch.</w:t>
            </w:r>
          </w:p>
        </w:tc>
      </w:tr>
    </w:tbl>
    <w:p/>
    <w:tbl>
      <w:tblPr>
        <w:tblW w:type="auto" w:w="0"/>
        <w:jc w:val="center"/>
        <w:tblLook w:firstColumn="1" w:firstRow="1" w:lastColumn="0" w:lastRow="0" w:noHBand="0" w:noVBand="1" w:val="04A0"/>
      </w:tblPr>
      <w:tblGrid>
        <w:gridCol w:w="10080"/>
      </w:tblGrid>
      <w:tr>
        <w:tc>
          <w:tcPr>
            <w:tcW w:type="dxa" w:w="10080"/>
            <w:shd w:fill="FFF8E1"/>
            <w:tcMar>
              <w:top w:w="160" w:type="dxa"/>
              <w:start w:w="180" w:type="dxa"/>
              <w:bottom w:w="160" w:type="dxa"/>
              <w:end w:w="180" w:type="dxa"/>
            </w:tcMar>
          </w:tcPr>
          <w:p>
            <w:r>
              <w:rPr>
                <w:b/>
                <w:color w:val="D4AF37"/>
                <w:sz w:val="22"/>
              </w:rPr>
              <w:t>Non-negotiable company boundary</w:t>
              <w:br/>
            </w:r>
            <w:r>
              <w:rPr>
                <w:sz w:val="20"/>
              </w:rPr>
              <w:t>LRP must never take a residential mortgage application, offer or negotiate loan terms, represent itself as a lender or broker, promise approval, or receive compensation that creates an unlawful referral arrangement. Every workflow, page, report, and campaign must reinforce this boundary.</w:t>
            </w:r>
          </w:p>
        </w:tc>
      </w:tr>
    </w:tbl>
    <w:p/>
    <w:p>
      <w:pPr>
        <w:spacing w:after="40"/>
      </w:pPr>
      <w:r>
        <w:rPr>
          <w:b/>
          <w:color w:val="143A63"/>
        </w:rPr>
        <w:t>01. Executive Charter and Strategic Thesis</w:t>
      </w:r>
    </w:p>
    <w:p>
      <w:pPr>
        <w:spacing w:after="40"/>
      </w:pPr>
      <w:r>
        <w:rPr>
          <w:b/>
          <w:color w:val="143A63"/>
        </w:rPr>
        <w:t>02. Brand Architecture and Messaging System</w:t>
      </w:r>
    </w:p>
    <w:p>
      <w:pPr>
        <w:spacing w:after="40"/>
      </w:pPr>
      <w:r>
        <w:rPr>
          <w:b/>
          <w:color w:val="143A63"/>
        </w:rPr>
        <w:t>03. Business Model and Revenue Architecture</w:t>
      </w:r>
    </w:p>
    <w:p>
      <w:pPr>
        <w:spacing w:after="40"/>
      </w:pPr>
      <w:r>
        <w:rPr>
          <w:b/>
          <w:color w:val="143A63"/>
        </w:rPr>
        <w:t>04. Customer and Partner Personas</w:t>
      </w:r>
    </w:p>
    <w:p>
      <w:pPr>
        <w:spacing w:after="40"/>
      </w:pPr>
      <w:r>
        <w:rPr>
          <w:b/>
          <w:color w:val="143A63"/>
        </w:rPr>
        <w:t>05. Service Catalog and Program Design</w:t>
      </w:r>
    </w:p>
    <w:p>
      <w:pPr>
        <w:spacing w:after="40"/>
      </w:pPr>
      <w:r>
        <w:rPr>
          <w:b/>
          <w:color w:val="143A63"/>
        </w:rPr>
        <w:t>06. Borrower Journey and Experience Blueprint</w:t>
      </w:r>
    </w:p>
    <w:p>
      <w:pPr>
        <w:spacing w:after="40"/>
      </w:pPr>
      <w:r>
        <w:rPr>
          <w:b/>
          <w:color w:val="143A63"/>
        </w:rPr>
        <w:t>07. Lender Partner Program</w:t>
      </w:r>
    </w:p>
    <w:p>
      <w:pPr>
        <w:spacing w:after="40"/>
      </w:pPr>
      <w:r>
        <w:rPr>
          <w:b/>
          <w:color w:val="143A63"/>
        </w:rPr>
        <w:t>08. Realtor Partner Program</w:t>
      </w:r>
    </w:p>
    <w:p>
      <w:pPr>
        <w:spacing w:after="40"/>
      </w:pPr>
      <w:r>
        <w:rPr>
          <w:b/>
          <w:color w:val="143A63"/>
        </w:rPr>
        <w:t>09. Sales Playbook</w:t>
      </w:r>
    </w:p>
    <w:p>
      <w:pPr>
        <w:spacing w:after="40"/>
      </w:pPr>
      <w:r>
        <w:rPr>
          <w:b/>
          <w:color w:val="143A63"/>
        </w:rPr>
        <w:t>10. Marketing Strategy and Campaign System</w:t>
      </w:r>
    </w:p>
    <w:p>
      <w:pPr>
        <w:spacing w:after="40"/>
      </w:pPr>
      <w:r>
        <w:rPr>
          <w:b/>
          <w:color w:val="143A63"/>
        </w:rPr>
        <w:t>11. Public Website Product Requirements</w:t>
      </w:r>
    </w:p>
    <w:p>
      <w:pPr>
        <w:spacing w:after="40"/>
      </w:pPr>
      <w:r>
        <w:rPr>
          <w:b/>
          <w:color w:val="143A63"/>
        </w:rPr>
        <w:t>12. Borrower Portal Product Requirements</w:t>
      </w:r>
    </w:p>
    <w:p>
      <w:pPr>
        <w:spacing w:after="40"/>
      </w:pPr>
      <w:r>
        <w:rPr>
          <w:b/>
          <w:color w:val="143A63"/>
        </w:rPr>
        <w:t>13. Partner Portal Product Requirements</w:t>
      </w:r>
    </w:p>
    <w:p>
      <w:pPr>
        <w:spacing w:after="40"/>
      </w:pPr>
      <w:r>
        <w:rPr>
          <w:b/>
          <w:color w:val="143A63"/>
        </w:rPr>
        <w:t>14. Internal CRM and Admin Console</w:t>
      </w:r>
    </w:p>
    <w:p>
      <w:pPr>
        <w:spacing w:after="40"/>
      </w:pPr>
      <w:r>
        <w:rPr>
          <w:b/>
          <w:color w:val="143A63"/>
        </w:rPr>
        <w:t>15. AI Credit Analysis System</w:t>
      </w:r>
    </w:p>
    <w:p>
      <w:pPr>
        <w:spacing w:after="40"/>
      </w:pPr>
      <w:r>
        <w:rPr>
          <w:b/>
          <w:color w:val="143A63"/>
        </w:rPr>
        <w:t>16. Readiness Scoring Framework</w:t>
      </w:r>
    </w:p>
    <w:p>
      <w:pPr>
        <w:spacing w:after="40"/>
      </w:pPr>
      <w:r>
        <w:rPr>
          <w:b/>
          <w:color w:val="143A63"/>
        </w:rPr>
        <w:t>17. Reporting and Document Generation</w:t>
      </w:r>
    </w:p>
    <w:p>
      <w:pPr>
        <w:spacing w:after="40"/>
      </w:pPr>
      <w:r>
        <w:rPr>
          <w:b/>
          <w:color w:val="143A63"/>
        </w:rPr>
        <w:t>18. Operations Manual</w:t>
      </w:r>
    </w:p>
    <w:p>
      <w:pPr>
        <w:spacing w:after="40"/>
      </w:pPr>
      <w:r>
        <w:rPr>
          <w:b/>
          <w:color w:val="143A63"/>
        </w:rPr>
        <w:t>19. Standard Operating Procedures</w:t>
      </w:r>
    </w:p>
    <w:p>
      <w:pPr>
        <w:spacing w:after="40"/>
      </w:pPr>
      <w:r>
        <w:rPr>
          <w:b/>
          <w:color w:val="143A63"/>
        </w:rPr>
        <w:t>20. Customer Service and Communications</w:t>
      </w:r>
    </w:p>
    <w:p>
      <w:pPr>
        <w:spacing w:after="40"/>
      </w:pPr>
      <w:r>
        <w:rPr>
          <w:b/>
          <w:color w:val="143A63"/>
        </w:rPr>
        <w:t>21. Compliance and Legal Guardrails</w:t>
      </w:r>
    </w:p>
    <w:p>
      <w:pPr>
        <w:spacing w:after="40"/>
      </w:pPr>
      <w:r>
        <w:rPr>
          <w:b/>
          <w:color w:val="143A63"/>
        </w:rPr>
        <w:t>22. Security, Privacy, and Data Governance</w:t>
      </w:r>
    </w:p>
    <w:p>
      <w:pPr>
        <w:spacing w:after="40"/>
      </w:pPr>
      <w:r>
        <w:rPr>
          <w:b/>
          <w:color w:val="143A63"/>
        </w:rPr>
        <w:t>23. Technology Architecture</w:t>
      </w:r>
    </w:p>
    <w:p>
      <w:pPr>
        <w:spacing w:after="40"/>
      </w:pPr>
      <w:r>
        <w:rPr>
          <w:b/>
          <w:color w:val="143A63"/>
        </w:rPr>
        <w:t>24. Design System and Accessibility</w:t>
      </w:r>
    </w:p>
    <w:p>
      <w:pPr>
        <w:spacing w:after="40"/>
      </w:pPr>
      <w:r>
        <w:rPr>
          <w:b/>
          <w:color w:val="143A63"/>
        </w:rPr>
        <w:t>25. Quality Assurance and Testing</w:t>
      </w:r>
    </w:p>
    <w:p>
      <w:pPr>
        <w:spacing w:after="40"/>
      </w:pPr>
      <w:r>
        <w:rPr>
          <w:b/>
          <w:color w:val="143A63"/>
        </w:rPr>
        <w:t>26. Training and Certification</w:t>
      </w:r>
    </w:p>
    <w:p>
      <w:pPr>
        <w:spacing w:after="40"/>
      </w:pPr>
      <w:r>
        <w:rPr>
          <w:b/>
          <w:color w:val="143A63"/>
        </w:rPr>
        <w:t>27. Financial Planning and KPI Framework</w:t>
      </w:r>
    </w:p>
    <w:p>
      <w:pPr>
        <w:spacing w:after="40"/>
      </w:pPr>
      <w:r>
        <w:rPr>
          <w:b/>
          <w:color w:val="143A63"/>
        </w:rPr>
        <w:t>28. Launch and Go-to-Market Plan</w:t>
      </w:r>
    </w:p>
    <w:p>
      <w:pPr>
        <w:spacing w:after="40"/>
      </w:pPr>
      <w:r>
        <w:rPr>
          <w:b/>
          <w:color w:val="143A63"/>
        </w:rPr>
        <w:t>29. Cursor Implementation System</w:t>
      </w:r>
    </w:p>
    <w:p>
      <w:pPr>
        <w:spacing w:after="40"/>
      </w:pPr>
      <w:r>
        <w:rPr>
          <w:b/>
          <w:color w:val="143A63"/>
        </w:rPr>
        <w:t>30. Canva Production System and Asset Library</w:t>
      </w:r>
    </w:p>
    <w:p>
      <w:r>
        <w:br w:type="page"/>
      </w:r>
    </w:p>
    <w:p>
      <w:pPr>
        <w:pStyle w:val="Title"/>
      </w:pPr>
      <w:r>
        <w:t>01. Executive Charter and Strategic Thesis</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CEO / Founder</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LRP is a borrower-readiness and partner-enablement company. Its strategic advantage is the combination of structured credit-report analysis, individualized readiness planning, education, progress management, and transparent communication with authorized partners.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01.1 Company definition and boundaries</w:t>
      </w:r>
    </w:p>
    <w:p>
      <w:r>
        <w:t>Lending Readiness Partners prepares consumers for future financing through education, credit-profile analysis, action planning, progress tracking, and partner communication authorized by the consumer.</w:t>
      </w:r>
    </w:p>
    <w:p>
      <w:r>
        <w:t>LRP does not make credit decisions and does not represent that any lender will approve a borrower. It does not select loan products, quote rates, negotiate terms, take applications, or direct underwriting decisions.</w:t>
      </w:r>
    </w:p>
    <w:p>
      <w:pPr>
        <w:pStyle w:val="ListBullet"/>
      </w:pPr>
      <w:r>
        <w:t>Define the approved input, output, owner, service level, and record of completion for company definition and boundaries.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01.2 Mission, vision, and five-year ambition</w:t>
      </w:r>
    </w:p>
    <w:p>
      <w:r>
        <w:t>Mission: Empower borrowers with understandable information, responsible strategies, and practical tools that improve their readiness for financing opportunities.</w:t>
      </w:r>
    </w:p>
    <w:p>
      <w:r>
        <w:t>Vision: Become the most trusted borrower-readiness platform connecting consumers and authorized financial professionals through transparent education, technology, and accountable progress management.</w:t>
      </w:r>
    </w:p>
    <w:p>
      <w:r>
        <w:t>Five-year ambition: establish a repeatable partner network, a secure multi-tenant platform, documented outcome measurement, and nationally adaptable compliance operations.</w:t>
      </w:r>
    </w:p>
    <w:p>
      <w:pPr>
        <w:pStyle w:val="ListBullet"/>
      </w:pPr>
      <w:r>
        <w:t>Define the approved input, output, owner, service level, and record of completion for mission, vision, and five-year ambition.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Mission, vision, and five-year ambition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CEO / Founder</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01.3 Market problem and value thesis</w:t>
      </w:r>
    </w:p>
    <w:p>
      <w:r>
        <w:t>The market problem and value thesis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market problem and value thesis.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01.4 Strategic choices and non-goals</w:t>
      </w:r>
    </w:p>
    <w:p>
      <w:r>
        <w:t>The strategic choices and non-goals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strategic choices and non-goals.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01.5 Executive scorecard</w:t>
      </w:r>
    </w:p>
    <w:p>
      <w:r>
        <w:t>The executive scorecard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executive scorecard.</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02. Brand Architecture and Messaging System</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CEO + Brand Lead</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The brand must look credible to financial professionals while remaining understandable and encouraging to consumers. It must avoid the visual and verbal conventions associated with aggressive credit-repair marketing.</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02.1 Master brand</w:t>
      </w:r>
    </w:p>
    <w:p>
      <w:r>
        <w:t>Legal and commercial brand: Lending Readiness Partners. Approved abbreviation: LRP after the full name has appeared. Avoid standalone use of 'Lending' in ways that imply the company provides credit.</w:t>
      </w:r>
    </w:p>
    <w:p>
      <w:r>
        <w:t>Primary tagline: Helping More Borrowers Become Lending Ready. Supporting line: Education, strategy, and progress for the next financing opportunity.</w:t>
      </w:r>
    </w:p>
    <w:p>
      <w:pPr>
        <w:pStyle w:val="ListBullet"/>
      </w:pPr>
      <w:r>
        <w:t>Define the approved input, output, owner, service level, and record of completion for master brand.</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02.2 Approved tagline</w:t>
      </w:r>
    </w:p>
    <w:p>
      <w:r>
        <w:t>The approved tagline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approved tagline.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Approved tagline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CEO + Brand Lead</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02.3 Audience-specific positioning</w:t>
      </w:r>
    </w:p>
    <w:p>
      <w:r>
        <w:t>The audience-specific positioning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audience-specific positioning.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02.4 Voice and terminology</w:t>
      </w:r>
    </w:p>
    <w:p>
      <w:r>
        <w:t>The voice and terminology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voice and terminology.</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02.5 Claims and disclosure rules</w:t>
      </w:r>
    </w:p>
    <w:p>
      <w:r>
        <w:t>The claims and disclosure rules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claims and disclosure rules.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03. Business Model and Revenue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CEO + Finance</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Revenue must be transparent, compliant, sustainable, and independent from any promise of loan approval. Pricing should correspond to actual readiness services, education, analysis, software access, or partner technology—not the closing of a loan.</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03.1 Revenue streams</w:t>
      </w:r>
    </w:p>
    <w:p>
      <w:r>
        <w:t>Potential revenue streams include borrower program fees structured in compliance with applicable credit-services laws, partner software subscriptions, employer or nonprofit education contracts, training, and white-label technology licensing.</w:t>
      </w:r>
    </w:p>
    <w:p>
      <w:r>
        <w:t>No revenue model may depend on receiving payment for a settlement-service referral, steering a borrower to a particular lender, or a successful loan closing without legal approval.</w:t>
      </w:r>
    </w:p>
    <w:p>
      <w:pPr>
        <w:pStyle w:val="ListBullet"/>
      </w:pPr>
      <w:r>
        <w:t>Define the approved input, output, owner, service level, and record of completion for revenue streams.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03.2 Partner-funded vs borrower-funded models</w:t>
      </w:r>
    </w:p>
    <w:p>
      <w:r>
        <w:t>The partner-funded vs borrower-funded models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partner-funded vs borrower-funded models.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Partner-funded vs borrower-funded models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CEO + Finance</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03.3 Pricing principles</w:t>
      </w:r>
    </w:p>
    <w:p>
      <w:r>
        <w:t>The pricing principles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pricing principles.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03.4 Unit economics framework</w:t>
      </w:r>
    </w:p>
    <w:p>
      <w:r>
        <w:t>The unit economics framework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unit economics framework.</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03.5 Revenue safeguards</w:t>
      </w:r>
    </w:p>
    <w:p>
      <w:r>
        <w:t>The revenue safeguards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revenue safeguards.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04. Customer and Partner Personas</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Marketing + Product</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customer and partner personas.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04.1 Borrower segments</w:t>
      </w:r>
    </w:p>
    <w:p>
      <w:r>
        <w:t>The borrower segments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borrower segments.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04.2 Mortgage loan officer persona</w:t>
      </w:r>
    </w:p>
    <w:p>
      <w:r>
        <w:t>The mortgage loan officer persona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mortgage loan officer persona.</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Mortgage loan officer persona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Marketing + Product</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04.3 Broker-owner persona</w:t>
      </w:r>
    </w:p>
    <w:p>
      <w:r>
        <w:t>The broker-owner persona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broker-owner persona.</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04.4 Realtor persona</w:t>
      </w:r>
    </w:p>
    <w:p>
      <w:r>
        <w:t>The realtor persona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realtor persona.</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04.5 Credit union and bank persona</w:t>
      </w:r>
    </w:p>
    <w:p>
      <w:r>
        <w:t>The credit union and bank persona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credit union and bank persona.</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05. Service Catalog and Program Design</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Operations + Compliance</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service catalog and program design.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05.1 Credit readiness assessment</w:t>
      </w:r>
    </w:p>
    <w:p>
      <w:r>
        <w:t>The assessment collects consumer goals, identity and consent records, available credit reports, current obligations, timeline, and partner authorization. It produces a plain-language readiness summary and prioritized action plan.</w:t>
      </w:r>
    </w:p>
    <w:p>
      <w:r>
        <w:t>It must distinguish verified report data, consumer statements, system inferences, and items requiring human or legal review.</w:t>
      </w:r>
    </w:p>
    <w:p>
      <w:pPr>
        <w:pStyle w:val="ListBullet"/>
      </w:pPr>
      <w:r>
        <w:t>Define the approved input, output, owner, service level, and record of completion for credit readiness assessment.</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05.2 Mortgage readiness program</w:t>
      </w:r>
    </w:p>
    <w:p>
      <w:r>
        <w:t>The mortgage readiness program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mortgage readiness program.</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Mortgage readiness program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Operations + Compliance</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05.3 Auto lending readiness</w:t>
      </w:r>
    </w:p>
    <w:p>
      <w:r>
        <w:t>The auto lending readiness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auto lending readiness.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05.4 Business lending readiness</w:t>
      </w:r>
    </w:p>
    <w:p>
      <w:r>
        <w:t>The business lending readiness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business lending readiness.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05.5 Coaching and education</w:t>
      </w:r>
    </w:p>
    <w:p>
      <w:r>
        <w:t>The coaching and education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coaching and education.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06. Borrower Journey and Experience Blueprint</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Product + Operations</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borrower journey and experience blueprint.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06.1 Awareness to enrollment</w:t>
      </w:r>
    </w:p>
    <w:p>
      <w:r>
        <w:t>The awareness to enrollment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awareness to enrollment.</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06.2 Consent and intake</w:t>
      </w:r>
    </w:p>
    <w:p>
      <w:r>
        <w:t>The consent and intake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consent and intake.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Consent and intake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Product + Operations</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06.3 Analysis and action plan</w:t>
      </w:r>
    </w:p>
    <w:p>
      <w:r>
        <w:t>The analysis and action plan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analysis and action plan.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06.4 Progress management</w:t>
      </w:r>
    </w:p>
    <w:p>
      <w:r>
        <w:t>The progress management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progress management.</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06.5 Graduation and referral return</w:t>
      </w:r>
    </w:p>
    <w:p>
      <w:r>
        <w:t>The graduation and referral return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graduation and referral return.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07. Lender Partner Program</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Partner Success</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lender partner program.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07.1 Partner qualification</w:t>
      </w:r>
    </w:p>
    <w:p>
      <w:r>
        <w:t>The partner qualification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partner qualification.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07.2 Referral workflow</w:t>
      </w:r>
    </w:p>
    <w:p>
      <w:r>
        <w:t>The referring professional submits only minimum necessary information and confirms that the consumer has requested contact or has provided permission. LRP contacts the borrower, obtains its own agreements and consents, and controls the service relationship.</w:t>
      </w:r>
    </w:p>
    <w:p>
      <w:r>
        <w:t>The partner receives only authorized progress information. Detailed credit data must never be shared merely because the partner made the referral.</w:t>
      </w:r>
    </w:p>
    <w:p>
      <w:pPr>
        <w:pStyle w:val="ListBullet"/>
      </w:pPr>
      <w:r>
        <w:t>Define the approved input, output, owner, service level, and record of completion for referral workflow.</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Referral workflow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Partner Success</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07.3 Status communications</w:t>
      </w:r>
    </w:p>
    <w:p>
      <w:r>
        <w:t>The status communications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status communications.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07.4 Service levels</w:t>
      </w:r>
    </w:p>
    <w:p>
      <w:r>
        <w:t>The service levels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service levels.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07.5 Partner retention</w:t>
      </w:r>
    </w:p>
    <w:p>
      <w:r>
        <w:t>The partner retention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partner retention.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08. Realtor Partner Program</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Partner Success</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realtor partner program.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08.1 Buyer rescue positioning</w:t>
      </w:r>
    </w:p>
    <w:p>
      <w:r>
        <w:t>The buyer rescue positioning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buyer rescue positioning.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08.2 Referral workflow</w:t>
      </w:r>
    </w:p>
    <w:p>
      <w:r>
        <w:t>The referring professional submits only minimum necessary information and confirms that the consumer has requested contact or has provided permission. LRP contacts the borrower, obtains its own agreements and consents, and controls the service relationship.</w:t>
      </w:r>
    </w:p>
    <w:p>
      <w:r>
        <w:t>The partner receives only authorized progress information. Detailed credit data must never be shared merely because the partner made the referral.</w:t>
      </w:r>
    </w:p>
    <w:p>
      <w:pPr>
        <w:pStyle w:val="ListBullet"/>
      </w:pPr>
      <w:r>
        <w:t>Define the approved input, output, owner, service level, and record of completion for referral workflow.</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Referral workflow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Partner Success</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08.3 Co-branded education</w:t>
      </w:r>
    </w:p>
    <w:p>
      <w:r>
        <w:t>The co-branded education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co-branded education.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08.4 Transaction protection</w:t>
      </w:r>
    </w:p>
    <w:p>
      <w:r>
        <w:t>The transaction protection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transaction protection.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08.5 Realtor reporting</w:t>
      </w:r>
    </w:p>
    <w:p>
      <w:r>
        <w:t>The realtor reporting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realtor reporting.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09. Sales Playbook</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Sales Lead</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sales playbook.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09.1 Prospecting strategy</w:t>
      </w:r>
    </w:p>
    <w:p>
      <w:r>
        <w:t>The prospecting strategy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prospecting strategy.</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09.2 Discovery calls</w:t>
      </w:r>
    </w:p>
    <w:p>
      <w:r>
        <w:t>The discovery calls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discovery calls.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Discovery calls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Sales Lead</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09.3 Demonstration structure</w:t>
      </w:r>
    </w:p>
    <w:p>
      <w:r>
        <w:t>The demonstration structure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demonstration structure.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09.4 Objection handling</w:t>
      </w:r>
    </w:p>
    <w:p>
      <w:r>
        <w:t>The objection handling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objection handling.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09.5 Follow-up cadence</w:t>
      </w:r>
    </w:p>
    <w:p>
      <w:r>
        <w:t>The follow-up cadence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follow-up cadence.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10. Marketing Strategy and Campaign System</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Marketing Lead</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marketing strategy and campaign system.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10.1 Content pillars</w:t>
      </w:r>
    </w:p>
    <w:p>
      <w:r>
        <w:t>The content pillars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content pillars.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10.2 Channel strategy</w:t>
      </w:r>
    </w:p>
    <w:p>
      <w:r>
        <w:t>The channel strategy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channel strategy.</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Channel strategy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Marketing Lead</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10.3 Lead magnets</w:t>
      </w:r>
    </w:p>
    <w:p>
      <w:r>
        <w:t>The lead magnets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lead magnets.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10.4 Campaign calendar</w:t>
      </w:r>
    </w:p>
    <w:p>
      <w:r>
        <w:t>The campaign calendar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campaign calendar.</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10.5 Measurement</w:t>
      </w:r>
    </w:p>
    <w:p>
      <w:r>
        <w:t>The measurement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measurement.</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11. Public Website Product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Product + Engineering</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public website product requirements.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11.1 Information architecture</w:t>
      </w:r>
    </w:p>
    <w:p>
      <w:r>
        <w:t>The information architecture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information architecture.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11.2 Page specifications</w:t>
      </w:r>
    </w:p>
    <w:p>
      <w:r>
        <w:t>The page specifications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page specifications.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Page specifications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Product + Engineering</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11.3 Conversion paths</w:t>
      </w:r>
    </w:p>
    <w:p>
      <w:r>
        <w:t>The conversion paths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conversion paths.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11.4 SEO and accessibility</w:t>
      </w:r>
    </w:p>
    <w:p>
      <w:r>
        <w:t>The seo and accessibility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seo and accessibility.</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11.5 Analytics</w:t>
      </w:r>
    </w:p>
    <w:p>
      <w:r>
        <w:t>The analytics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analytics.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12. Borrower Portal Product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Product + Engineering</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borrower portal product requirements.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12.1 Dashboard</w:t>
      </w:r>
    </w:p>
    <w:p>
      <w:r>
        <w:t>The dashboard displays current readiness stage, next three actions, overdue items, recent updates, report availability, messages, and education progress. It should avoid presenting raw complexity before the consumer understands it.</w:t>
      </w:r>
    </w:p>
    <w:p>
      <w:r>
        <w:t>Every score or status must include an explanation, date, data source, and limitation statement.</w:t>
      </w:r>
    </w:p>
    <w:p>
      <w:pPr>
        <w:pStyle w:val="ListBullet"/>
      </w:pPr>
      <w:r>
        <w:t>Define the approved input, output, owner, service level, and record of completion for dashboard.</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12.2 Tasks and milestones</w:t>
      </w:r>
    </w:p>
    <w:p>
      <w:r>
        <w:t>The tasks and milestones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tasks and milestones.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Tasks and milestones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Product + Engineering</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12.3 Documents and reports</w:t>
      </w:r>
    </w:p>
    <w:p>
      <w:r>
        <w:t>The documents and reports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documents and reports.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12.4 Education and messaging</w:t>
      </w:r>
    </w:p>
    <w:p>
      <w:r>
        <w:t>The education and messaging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education and messaging.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12.5 Account controls</w:t>
      </w:r>
    </w:p>
    <w:p>
      <w:r>
        <w:t>The account controls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account controls.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13. Partner Portal Product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Product + Engineering</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partner portal product requirements.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13.1 Referral intake</w:t>
      </w:r>
    </w:p>
    <w:p>
      <w:r>
        <w:t>The referral intake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referral intake.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13.2 Pipeline tracking</w:t>
      </w:r>
    </w:p>
    <w:p>
      <w:r>
        <w:t>The pipeline tracking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pipeline tracking.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Pipeline tracking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Product + Engineering</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13.3 Borrower summaries</w:t>
      </w:r>
    </w:p>
    <w:p>
      <w:r>
        <w:t>The borrower summaries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borrower summaries.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13.4 Reports and communications</w:t>
      </w:r>
    </w:p>
    <w:p>
      <w:r>
        <w:t>The reports and communications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reports and communications.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13.5 Partner administration</w:t>
      </w:r>
    </w:p>
    <w:p>
      <w:r>
        <w:t>The partner administration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partner administration.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14. Internal CRM and Admin Console</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Operations + Engineering</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internal crm and admin console.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14.1 Lead and client records</w:t>
      </w:r>
    </w:p>
    <w:p>
      <w:r>
        <w:t>The lead and client records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lead and client records.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14.2 Partner records</w:t>
      </w:r>
    </w:p>
    <w:p>
      <w:r>
        <w:t>The partner records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partner records.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Partner records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Operations + Engineering</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14.3 Cases and tasks</w:t>
      </w:r>
    </w:p>
    <w:p>
      <w:r>
        <w:t>The cases and tasks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cases and tasks.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14.4 Automation rules</w:t>
      </w:r>
    </w:p>
    <w:p>
      <w:r>
        <w:t>The automation rules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automation rules.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14.5 Reporting and permissions</w:t>
      </w:r>
    </w:p>
    <w:p>
      <w:r>
        <w:t>The reporting and permissions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reporting and permissions.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15. AI Credit Analysis System</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Product + Compliance + Engineering</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AI may accelerate extraction, comparison, issue spotting, drafting, and explanation, but it may not independently make legal conclusions, guarantee score changes, fabricate evidence, or submit disputes without authorized human review.</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15.1 Report ingestion</w:t>
      </w:r>
    </w:p>
    <w:p>
      <w:r>
        <w:t>Accept supported reports through encrypted upload. Detect source, report date, bureaus, pages, and extraction quality. Preserve the original file, a normalized data representation, and a complete processing log.</w:t>
      </w:r>
    </w:p>
    <w:p>
      <w:r>
        <w:t>Low-confidence text, conflicting identifiers, missing pages, or unsupported formats must be routed for human review rather than silently completed.</w:t>
      </w:r>
    </w:p>
    <w:p>
      <w:pPr>
        <w:pStyle w:val="ListBullet"/>
      </w:pPr>
      <w:r>
        <w:t>Define the approved input, output, owner, service level, and record of completion for report ingestion.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15.2 Tradeline normalization</w:t>
      </w:r>
    </w:p>
    <w:p>
      <w:r>
        <w:t>The tradeline normalization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tradeline normalization.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Tradeline normalization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Product + Compliance + Engineering</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15.3 Issue detection</w:t>
      </w:r>
    </w:p>
    <w:p>
      <w:r>
        <w:t>The issue detection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issue detection.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15.4 Recommendation controls</w:t>
      </w:r>
    </w:p>
    <w:p>
      <w:r>
        <w:t>The recommendation controls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recommendation controls.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15.5 Human review</w:t>
      </w:r>
    </w:p>
    <w:p>
      <w:r>
        <w:t>The human review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human review.</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16. Readiness Scoring Framework</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Risk / Compliance + Product</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The LRP Readiness Score is an internal educational indicator of preparation and task completion. It is not a credit score, underwriting score, probability of approval, or lender decision.</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16.1 Purpose and limitations</w:t>
      </w:r>
    </w:p>
    <w:p>
      <w:r>
        <w:t>The Readiness Score organizes actions and communicates progress. It may include credit-data completeness, utilization management, payment stability, derogatory-account status, inquiry/new-credit activity, documentation readiness, education completion, and goal-specific requirements.</w:t>
      </w:r>
    </w:p>
    <w:p>
      <w:r>
        <w:t>The score cannot be described as a FICO score, mortgage score, approval likelihood, underwriting recommendation, or guarantee.</w:t>
      </w:r>
    </w:p>
    <w:p>
      <w:pPr>
        <w:pStyle w:val="ListBullet"/>
      </w:pPr>
      <w:r>
        <w:t>Define the approved input, output, owner, service level, and record of completion for purpose and limitations.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16.2 Dimensions and weights</w:t>
      </w:r>
    </w:p>
    <w:p>
      <w:r>
        <w:t>The dimensions and weights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dimensions and weights.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Dimensions and weights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Risk / Compliance + Product</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16.3 Confidence and data quality</w:t>
      </w:r>
    </w:p>
    <w:p>
      <w:r>
        <w:t>The confidence and data quality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confidence and data quality.</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16.4 Score explanations</w:t>
      </w:r>
    </w:p>
    <w:p>
      <w:r>
        <w:t>The score explanations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score explanations.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16.5 Governance</w:t>
      </w:r>
    </w:p>
    <w:p>
      <w:r>
        <w:t>The governance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governance.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17. Reporting and Document Generation</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Operations + Product</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reporting and document generation.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17.1 Borrower report</w:t>
      </w:r>
    </w:p>
    <w:p>
      <w:r>
        <w:t>The borrower report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borrower report.</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17.2 Partner summary</w:t>
      </w:r>
    </w:p>
    <w:p>
      <w:r>
        <w:t>The partner summary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partner summary.</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Partner summary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Operations + Product</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17.3 Progress report</w:t>
      </w:r>
    </w:p>
    <w:p>
      <w:r>
        <w:t>The progress report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progress report.</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17.4 Final readiness report</w:t>
      </w:r>
    </w:p>
    <w:p>
      <w:r>
        <w:t>The final readiness report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final readiness report.</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17.5 Evidence and version control</w:t>
      </w:r>
    </w:p>
    <w:p>
      <w:r>
        <w:t>The evidence and version control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evidence and version control.</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18. Operations Manual</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COO / Operations</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operations manual.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18.1 Daily operating cadence</w:t>
      </w:r>
    </w:p>
    <w:p>
      <w:r>
        <w:t>The daily operating cadence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daily operating cadence.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18.2 Work queues</w:t>
      </w:r>
    </w:p>
    <w:p>
      <w:r>
        <w:t>The work queues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work queues.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Work queues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COO / Operations</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18.3 Escalations</w:t>
      </w:r>
    </w:p>
    <w:p>
      <w:r>
        <w:t>The escalations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escalations.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18.4 Quality review</w:t>
      </w:r>
    </w:p>
    <w:p>
      <w:r>
        <w:t>The quality review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quality review.</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18.5 Capacity planning</w:t>
      </w:r>
    </w:p>
    <w:p>
      <w:r>
        <w:t>The capacity planning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capacity planning.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19. Standard Operating Procedures</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Operations + Compliance</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standard operating procedures.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19.1 Intake SOP</w:t>
      </w:r>
    </w:p>
    <w:p>
      <w:r>
        <w:t>The intake sop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intake sop.</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19.2 Analysis SOP</w:t>
      </w:r>
    </w:p>
    <w:p>
      <w:r>
        <w:t>The analysis sop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analysis sop.</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Analysis SOP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Operations + Compliance</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19.3 Dispute support SOP</w:t>
      </w:r>
    </w:p>
    <w:p>
      <w:r>
        <w:t>The dispute support sop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dispute support sop.</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19.4 Partner update SOP</w:t>
      </w:r>
    </w:p>
    <w:p>
      <w:r>
        <w:t>The partner update sop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partner update sop.</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19.5 Offboarding SOP</w:t>
      </w:r>
    </w:p>
    <w:p>
      <w:r>
        <w:t>The offboarding sop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offboarding sop.</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20. Customer Service and Communications</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Customer Success</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customer service and communications.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20.1 Communication standards</w:t>
      </w:r>
    </w:p>
    <w:p>
      <w:r>
        <w:t>The communication standards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communication standards.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20.2 Response times</w:t>
      </w:r>
    </w:p>
    <w:p>
      <w:r>
        <w:t>The response times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response times.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Response times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Customer Success</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20.3 Difficult conversations</w:t>
      </w:r>
    </w:p>
    <w:p>
      <w:r>
        <w:t>The difficult conversations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difficult conversations.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20.4 Complaint handling</w:t>
      </w:r>
    </w:p>
    <w:p>
      <w:r>
        <w:t>The complaint handling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complaint handling.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20.5 Templates</w:t>
      </w:r>
    </w:p>
    <w:p>
      <w:r>
        <w:t>The templates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templates.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21. Compliance and Legal Guardrails</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Compliance Counsel</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Compliance is a product requirement, not a footer. Federal and state credit-services laws, privacy obligations, advertising rules, mortgage-licensing boundaries, and referral-fee restrictions must be reviewed by qualified counsel before commercialization.</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21.1 Business boundaries</w:t>
      </w:r>
    </w:p>
    <w:p>
      <w:r>
        <w:t>Georgia regulates mortgage lenders, brokers, processors, and mortgage loan originators. LRP's activities and advertising must stay outside regulated mortgage origination and brokering functions unless the company later obtains appropriate legal advice and licensing.</w:t>
      </w:r>
    </w:p>
    <w:p>
      <w:r>
        <w:t>The Credit Repair Organizations Act imposes restrictions and disclosure, written-contract, payment, and cancellation requirements on covered credit-repair services. State credit-services laws may add separate registration, bonding, contract, and operating duties.</w:t>
      </w:r>
    </w:p>
    <w:p>
      <w:pPr>
        <w:pStyle w:val="ListBullet"/>
      </w:pPr>
      <w:r>
        <w:t>Define the approved input, output, owner, service level, and record of completion for business boundaries.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21.2 Credit services compliance</w:t>
      </w:r>
    </w:p>
    <w:p>
      <w:r>
        <w:t>The credit services compliance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credit services compliance.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Credit services compliance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Compliance Counsel</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21.3 Advertising and claims</w:t>
      </w:r>
    </w:p>
    <w:p>
      <w:r>
        <w:t>The advertising and claims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advertising and claims.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21.4 Privacy and consent</w:t>
      </w:r>
    </w:p>
    <w:p>
      <w:r>
        <w:t>The privacy and consent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privacy and consent.</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21.5 Partner compensation</w:t>
      </w:r>
    </w:p>
    <w:p>
      <w:r>
        <w:t>The partner compensation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partner compensation.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22. Security, Privacy, and Data Governance</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Security / Engineering</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security, privacy, and data governance.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22.1 Data classification</w:t>
      </w:r>
    </w:p>
    <w:p>
      <w:r>
        <w:t>Classify data as public, internal, confidential, or restricted. Credit reports, identity documents, Social Security numbers, account numbers, dispute evidence, authentication secrets, and partner-shared borrower data are restricted.</w:t>
      </w:r>
    </w:p>
    <w:p>
      <w:r>
        <w:t>Restricted data requires encryption, role-based access, event logging, approved storage, retention limits, and secure deletion.</w:t>
      </w:r>
    </w:p>
    <w:p>
      <w:pPr>
        <w:pStyle w:val="ListBullet"/>
      </w:pPr>
      <w:r>
        <w:t>Define the approved input, output, owner, service level, and record of completion for data classification.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22.2 Access control</w:t>
      </w:r>
    </w:p>
    <w:p>
      <w:r>
        <w:t>The access control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access control.</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Access control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Security / Engineering</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22.3 Retention and deletion</w:t>
      </w:r>
    </w:p>
    <w:p>
      <w:r>
        <w:t>The retention and deletion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retention and deletion.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22.4 Incident response</w:t>
      </w:r>
    </w:p>
    <w:p>
      <w:r>
        <w:t>The incident response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incident response.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22.5 Vendor management</w:t>
      </w:r>
    </w:p>
    <w:p>
      <w:r>
        <w:t>The vendor management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vendor management.</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23. Technology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CTO / Engineering</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technology architecture.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23.1 Monorepo design</w:t>
      </w:r>
    </w:p>
    <w:p>
      <w:r>
        <w:t>Recommended structure: apps for website, borrower portal, partner portal, and admin; packages for UI, auth, database, reporting, analytics, and shared configuration; docs for product, security, architecture decisions, and runbooks.</w:t>
      </w:r>
    </w:p>
    <w:p>
      <w:r>
        <w:t>Use strict TypeScript, shared schemas, database migrations, environment validation, automated tests, and documented release procedures.</w:t>
      </w:r>
    </w:p>
    <w:p>
      <w:pPr>
        <w:pStyle w:val="ListBullet"/>
      </w:pPr>
      <w:r>
        <w:t>Define the approved input, output, owner, service level, and record of completion for monorepo design.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23.2 Frontend and backend</w:t>
      </w:r>
    </w:p>
    <w:p>
      <w:r>
        <w:t>The frontend and backend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frontend and backend.</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Frontend and backend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CTO / Engineering</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23.3 Database and storage</w:t>
      </w:r>
    </w:p>
    <w:p>
      <w:r>
        <w:t>The database and storage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database and storage.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23.4 Integration layer</w:t>
      </w:r>
    </w:p>
    <w:p>
      <w:r>
        <w:t>The integration layer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integration layer.</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23.5 Observability</w:t>
      </w:r>
    </w:p>
    <w:p>
      <w:r>
        <w:t>The observability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observability.</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24. Design System and Accessibility</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Design + Engineering</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design system and accessibility.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24.1 Visual tokens</w:t>
      </w:r>
    </w:p>
    <w:p>
      <w:r>
        <w:t>The visual tokens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visual tokens.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24.2 Components</w:t>
      </w:r>
    </w:p>
    <w:p>
      <w:r>
        <w:t>The components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components.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Components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Design + Engineering</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24.3 Responsive behavior</w:t>
      </w:r>
    </w:p>
    <w:p>
      <w:r>
        <w:t>The responsive behavior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responsive behavior.</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24.4 Accessibility standard</w:t>
      </w:r>
    </w:p>
    <w:p>
      <w:r>
        <w:t>The accessibility standard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accessibility standard.</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24.5 Design QA</w:t>
      </w:r>
    </w:p>
    <w:p>
      <w:r>
        <w:t>The design qa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design qa.</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25. Quality Assurance and Testing</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Engineering + QA</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quality assurance and testing.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25.1 Test strategy</w:t>
      </w:r>
    </w:p>
    <w:p>
      <w:r>
        <w:t>The test strategy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test strategy.</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25.2 Release gates</w:t>
      </w:r>
    </w:p>
    <w:p>
      <w:r>
        <w:t>The release gates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release gates.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Release gates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Engineering + QA</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25.3 Security testing</w:t>
      </w:r>
    </w:p>
    <w:p>
      <w:r>
        <w:t>The security testing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security testing.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25.4 AI evaluation</w:t>
      </w:r>
    </w:p>
    <w:p>
      <w:r>
        <w:t>The ai evaluation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ai evaluation.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25.5 Acceptance criteria</w:t>
      </w:r>
    </w:p>
    <w:p>
      <w:r>
        <w:t>The acceptance criteria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acceptance criteria.</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26. Training and Certification</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Operations + HR</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training and certification.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26.1 New-hire training</w:t>
      </w:r>
    </w:p>
    <w:p>
      <w:r>
        <w:t>The new-hire training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new-hire training.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26.2 Analyst certification</w:t>
      </w:r>
    </w:p>
    <w:p>
      <w:r>
        <w:t>The analyst certification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analyst certification.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Analyst certification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Operations + HR</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26.3 Partner success training</w:t>
      </w:r>
    </w:p>
    <w:p>
      <w:r>
        <w:t>The partner success training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partner success training.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26.4 Compliance refreshers</w:t>
      </w:r>
    </w:p>
    <w:p>
      <w:r>
        <w:t>The compliance refreshers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compliance refreshers.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26.5 Performance coaching</w:t>
      </w:r>
    </w:p>
    <w:p>
      <w:r>
        <w:t>The performance coaching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performance coaching.</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27. Financial Planning and KPI Framework</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CEO + Finance</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financial planning and kpi framework.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27.1 Financial model inputs</w:t>
      </w:r>
    </w:p>
    <w:p>
      <w:r>
        <w:t>The financial model inputs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financial model inputs.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27.2 Operating metrics</w:t>
      </w:r>
    </w:p>
    <w:p>
      <w:r>
        <w:t>The operating metrics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operating metrics.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Operating metrics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CEO + Finance</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27.3 Partner metrics</w:t>
      </w:r>
    </w:p>
    <w:p>
      <w:r>
        <w:t>The partner metrics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partner metrics.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27.4 Borrower outcomes</w:t>
      </w:r>
    </w:p>
    <w:p>
      <w:r>
        <w:t>The borrower outcomes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borrower outcomes.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27.5 Executive dashboard</w:t>
      </w:r>
    </w:p>
    <w:p>
      <w:r>
        <w:t>The executive dashboard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executive dashboard.</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28. Launch and Go-to-Market Plan</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CEO + Marketing + Sales</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launch and go-to-market plan.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28.1 Prelaunch</w:t>
      </w:r>
    </w:p>
    <w:p>
      <w:r>
        <w:t>The prelaunch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prelaunch.</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28.2 Pilot cohort</w:t>
      </w:r>
    </w:p>
    <w:p>
      <w:r>
        <w:t>The pilot cohort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pilot cohort.</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Pilot cohort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CEO + Marketing + Sales</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28.3 Public launch</w:t>
      </w:r>
    </w:p>
    <w:p>
      <w:r>
        <w:t>The public launch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public launch.</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28.4 First 90 days</w:t>
      </w:r>
    </w:p>
    <w:p>
      <w:r>
        <w:t>The first 90 days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first 90 days.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28.5 Scale gates</w:t>
      </w:r>
    </w:p>
    <w:p>
      <w:r>
        <w:t>The scale gates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scale gates.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29. Cursor Implementation System</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CTO / Product</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cursor implementation system.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29.1 Project constitution</w:t>
      </w:r>
    </w:p>
    <w:p>
      <w:r>
        <w:t>Cursor must treat this Build Bible as the controlling specification. It must inspect the repository before changes, produce a plan, implement the smallest coherent slice, test it, document it, and report any conflict rather than inventing requirements.</w:t>
      </w:r>
    </w:p>
    <w:p>
      <w:r>
        <w:t>Cursor must not implement misleading claims, unreviewed legal advice, approval guarantees, hidden data sharing, insecure defaults, or automated adverse decisions.</w:t>
      </w:r>
    </w:p>
    <w:p>
      <w:pPr>
        <w:pStyle w:val="ListBullet"/>
      </w:pPr>
      <w:r>
        <w:t>Define the approved input, output, owner, service level, and record of completion for project constitution.</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29.2 Prompt sequence</w:t>
      </w:r>
    </w:p>
    <w:p>
      <w:r>
        <w:t>The prompt sequence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prompt sequence.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Prompt sequence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CTO / Product</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29.3 Coding rules</w:t>
      </w:r>
    </w:p>
    <w:p>
      <w:r>
        <w:t>The coding rules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coding rules.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29.4 Review workflow</w:t>
      </w:r>
    </w:p>
    <w:p>
      <w:r>
        <w:t>The review workflow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review workflow.</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29.5 Definition of done</w:t>
      </w:r>
    </w:p>
    <w:p>
      <w:r>
        <w:t>The definition of done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definition of done.</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30. Canva Production System and Asset Library</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Control</w:t>
            </w:r>
          </w:p>
        </w:tc>
        <w:tc>
          <w:tcPr>
            <w:tcW w:type="dxa" w:w="5040"/>
            <w:shd w:fill="143A63"/>
            <w:tcMar>
              <w:top w:w="100" w:type="dxa"/>
              <w:start w:w="120" w:type="dxa"/>
              <w:bottom w:w="100" w:type="dxa"/>
              <w:end w:w="120" w:type="dxa"/>
            </w:tcMar>
            <w:vAlign w:val="center"/>
          </w:tcPr>
          <w:p>
            <w:pPr>
              <w:jc w:val="center"/>
            </w:pPr>
            <w:r>
              <w:rPr>
                <w:b/>
                <w:color w:val="FFFFFF"/>
                <w:sz w:val="18"/>
              </w:rPr>
              <w:t>Specification</w:t>
            </w:r>
          </w:p>
        </w:tc>
      </w:tr>
      <w:tr>
        <w:tc>
          <w:tcPr>
            <w:tcW w:type="dxa" w:w="5040"/>
            <w:tcMar>
              <w:top w:w="100" w:type="dxa"/>
              <w:start w:w="120" w:type="dxa"/>
              <w:bottom w:w="100" w:type="dxa"/>
              <w:end w:w="120" w:type="dxa"/>
            </w:tcMar>
            <w:vAlign w:val="center"/>
          </w:tcPr>
          <w:p>
            <w:pPr>
              <w:spacing w:after="0"/>
            </w:pPr>
            <w:r>
              <w:rPr>
                <w:sz w:val="18"/>
              </w:rPr>
              <w:t>Executive owner</w:t>
            </w:r>
          </w:p>
        </w:tc>
        <w:tc>
          <w:tcPr>
            <w:tcW w:type="dxa" w:w="5040"/>
            <w:tcMar>
              <w:top w:w="100" w:type="dxa"/>
              <w:start w:w="120" w:type="dxa"/>
              <w:bottom w:w="100" w:type="dxa"/>
              <w:end w:w="120" w:type="dxa"/>
            </w:tcMar>
            <w:vAlign w:val="center"/>
          </w:tcPr>
          <w:p>
            <w:pPr>
              <w:spacing w:after="0"/>
            </w:pPr>
            <w:r>
              <w:rPr>
                <w:sz w:val="18"/>
              </w:rPr>
              <w:t>Brand + Marketing</w:t>
            </w:r>
          </w:p>
        </w:tc>
      </w:tr>
      <w:tr>
        <w:tc>
          <w:tcPr>
            <w:tcW w:type="dxa" w:w="5040"/>
            <w:tcMar>
              <w:top w:w="100" w:type="dxa"/>
              <w:start w:w="120" w:type="dxa"/>
              <w:bottom w:w="100" w:type="dxa"/>
              <w:end w:w="120" w:type="dxa"/>
            </w:tcMar>
            <w:vAlign w:val="center"/>
          </w:tcPr>
          <w:p>
            <w:pPr>
              <w:spacing w:after="0"/>
            </w:pPr>
            <w:r>
              <w:rPr>
                <w:sz w:val="18"/>
              </w:rPr>
              <w:t>Review frequency</w:t>
            </w:r>
          </w:p>
        </w:tc>
        <w:tc>
          <w:tcPr>
            <w:tcW w:type="dxa" w:w="5040"/>
            <w:tcMar>
              <w:top w:w="100" w:type="dxa"/>
              <w:start w:w="120" w:type="dxa"/>
              <w:bottom w:w="100" w:type="dxa"/>
              <w:end w:w="120" w:type="dxa"/>
            </w:tcMar>
            <w:vAlign w:val="center"/>
          </w:tcPr>
          <w:p>
            <w:pPr>
              <w:spacing w:after="0"/>
            </w:pPr>
            <w:r>
              <w:rPr>
                <w:sz w:val="18"/>
              </w:rPr>
              <w:t>Quarterly; immediately after a material change</w:t>
            </w:r>
          </w:p>
        </w:tc>
      </w:tr>
      <w:tr>
        <w:tc>
          <w:tcPr>
            <w:tcW w:type="dxa" w:w="5040"/>
            <w:tcMar>
              <w:top w:w="100" w:type="dxa"/>
              <w:start w:w="120" w:type="dxa"/>
              <w:bottom w:w="100" w:type="dxa"/>
              <w:end w:w="120" w:type="dxa"/>
            </w:tcMar>
            <w:vAlign w:val="center"/>
          </w:tcPr>
          <w:p>
            <w:pPr>
              <w:spacing w:after="0"/>
            </w:pPr>
            <w:r>
              <w:rPr>
                <w:sz w:val="18"/>
              </w:rPr>
              <w:t>Required evidence</w:t>
            </w:r>
          </w:p>
        </w:tc>
        <w:tc>
          <w:tcPr>
            <w:tcW w:type="dxa" w:w="5040"/>
            <w:tcMar>
              <w:top w:w="100" w:type="dxa"/>
              <w:start w:w="120" w:type="dxa"/>
              <w:bottom w:w="100" w:type="dxa"/>
              <w:end w:w="120" w:type="dxa"/>
            </w:tcMar>
            <w:vAlign w:val="center"/>
          </w:tcPr>
          <w:p>
            <w:pPr>
              <w:spacing w:after="0"/>
            </w:pPr>
            <w:r>
              <w:rPr>
                <w:sz w:val="18"/>
              </w:rPr>
              <w:t>Approved documents, workflow records, QA results, and change log</w:t>
            </w:r>
          </w:p>
        </w:tc>
      </w:tr>
      <w:tr>
        <w:tc>
          <w:tcPr>
            <w:tcW w:type="dxa" w:w="5040"/>
            <w:tcMar>
              <w:top w:w="100" w:type="dxa"/>
              <w:start w:w="120" w:type="dxa"/>
              <w:bottom w:w="100" w:type="dxa"/>
              <w:end w:w="120" w:type="dxa"/>
            </w:tcMar>
            <w:vAlign w:val="center"/>
          </w:tcPr>
          <w:p>
            <w:pPr>
              <w:spacing w:after="0"/>
            </w:pPr>
            <w:r>
              <w:rPr>
                <w:sz w:val="18"/>
              </w:rPr>
              <w:t>Definition of done</w:t>
            </w:r>
          </w:p>
        </w:tc>
        <w:tc>
          <w:tcPr>
            <w:tcW w:type="dxa" w:w="5040"/>
            <w:tcMar>
              <w:top w:w="100" w:type="dxa"/>
              <w:start w:w="120" w:type="dxa"/>
              <w:bottom w:w="100" w:type="dxa"/>
              <w:end w:w="120" w:type="dxa"/>
            </w:tcMar>
            <w:vAlign w:val="center"/>
          </w:tcPr>
          <w:p>
            <w:pPr>
              <w:spacing w:after="0"/>
            </w:pPr>
            <w:r>
              <w:rPr>
                <w:sz w:val="18"/>
              </w:rPr>
              <w:t>The section is approved, implemented, trained, measured, and auditable</w:t>
            </w:r>
          </w:p>
        </w:tc>
      </w:tr>
    </w:tbl>
    <w:p/>
    <w:p>
      <w:r>
        <w:t>This volume defines the operating standard for canva production system and asset library. It converts the company vision into specific decisions, workflows, controls, and measurable outputs.</w:t>
      </w:r>
    </w:p>
    <w:tbl>
      <w:tblPr>
        <w:tblW w:type="auto" w:w="0"/>
        <w:jc w:val="center"/>
        <w:tblLook w:firstColumn="1" w:firstRow="1" w:lastColumn="0" w:lastRow="0" w:noHBand="0" w:noVBand="1" w:val="04A0"/>
      </w:tblPr>
      <w:tblGrid>
        <w:gridCol w:w="10080"/>
      </w:tblGrid>
      <w:tr>
        <w:tc>
          <w:tcPr>
            <w:tcW w:type="dxa" w:w="10080"/>
            <w:shd w:fill="EAF5EF"/>
            <w:tcMar>
              <w:top w:w="160" w:type="dxa"/>
              <w:start w:w="180" w:type="dxa"/>
              <w:bottom w:w="160" w:type="dxa"/>
              <w:end w:w="180" w:type="dxa"/>
            </w:tcMar>
          </w:tcPr>
          <w:p>
            <w:r>
              <w:rPr>
                <w:b/>
                <w:color w:val="2A8F62"/>
                <w:sz w:val="22"/>
              </w:rPr>
              <w:t>Operating principle</w:t>
              <w:br/>
            </w:r>
            <w:r>
              <w:rPr>
                <w:sz w:val="20"/>
              </w:rPr>
              <w:t>No team or software feature may depart from this volume without a documented owner, rationale, compliance review when applicable, approval date, and version update.</w:t>
            </w:r>
          </w:p>
        </w:tc>
      </w:tr>
    </w:tbl>
    <w:p/>
    <w:p>
      <w:pPr>
        <w:pStyle w:val="Heading1"/>
      </w:pPr>
      <w:r>
        <w:t>30.1 Brand kit setup</w:t>
      </w:r>
    </w:p>
    <w:p>
      <w:r>
        <w:t>Create the Canva Brand Kit with the approved logo variants, navy #143A63, green #2A8F62, gold #D4AF37, light gray #F4F6F8, dark gray #3D4650, and white. Use professional sans-serif typography such as Montserrat or Aptos for headings and Inter or Aptos for body copy.</w:t>
      </w:r>
    </w:p>
    <w:p>
      <w:r>
        <w:t>Store approved master templates separately from campaign copies. Lock logos, disclosure zones, grids, page numbers, and brand colors where Canva supports locking.</w:t>
      </w:r>
    </w:p>
    <w:p>
      <w:pPr>
        <w:pStyle w:val="ListBullet"/>
      </w:pPr>
      <w:r>
        <w:t>Define the approved input, output, owner, service level, and record of completion for brand kit setup.</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30.2 Template families</w:t>
      </w:r>
    </w:p>
    <w:p>
      <w:r>
        <w:t>The template families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template families.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Artifact</w:t>
            </w:r>
          </w:p>
        </w:tc>
        <w:tc>
          <w:tcPr>
            <w:tcW w:type="dxa" w:w="3360"/>
            <w:shd w:fill="143A63"/>
            <w:tcMar>
              <w:top w:w="100" w:type="dxa"/>
              <w:start w:w="120" w:type="dxa"/>
              <w:bottom w:w="100" w:type="dxa"/>
              <w:end w:w="120" w:type="dxa"/>
            </w:tcMar>
            <w:vAlign w:val="center"/>
          </w:tcPr>
          <w:p>
            <w:pPr>
              <w:jc w:val="center"/>
            </w:pPr>
            <w:r>
              <w:rPr>
                <w:b/>
                <w:color w:val="FFFFFF"/>
                <w:sz w:val="18"/>
              </w:rPr>
              <w:t>Minimum content</w:t>
            </w:r>
          </w:p>
        </w:tc>
        <w:tc>
          <w:tcPr>
            <w:tcW w:type="dxa" w:w="3360"/>
            <w:shd w:fill="143A63"/>
            <w:tcMar>
              <w:top w:w="100" w:type="dxa"/>
              <w:start w:w="120" w:type="dxa"/>
              <w:bottom w:w="100" w:type="dxa"/>
              <w:end w:w="120" w:type="dxa"/>
            </w:tcMar>
            <w:vAlign w:val="center"/>
          </w:tcPr>
          <w:p>
            <w:pPr>
              <w:jc w:val="center"/>
            </w:pPr>
            <w:r>
              <w:rPr>
                <w:b/>
                <w:color w:val="FFFFFF"/>
                <w:sz w:val="18"/>
              </w:rPr>
              <w:t>Approval</w:t>
            </w:r>
          </w:p>
        </w:tc>
      </w:tr>
      <w:tr>
        <w:tc>
          <w:tcPr>
            <w:tcW w:type="dxa" w:w="3360"/>
            <w:tcMar>
              <w:top w:w="100" w:type="dxa"/>
              <w:start w:w="120" w:type="dxa"/>
              <w:bottom w:w="100" w:type="dxa"/>
              <w:end w:w="120" w:type="dxa"/>
            </w:tcMar>
            <w:vAlign w:val="center"/>
          </w:tcPr>
          <w:p>
            <w:pPr>
              <w:spacing w:after="0"/>
            </w:pPr>
            <w:r>
              <w:rPr>
                <w:sz w:val="18"/>
              </w:rPr>
              <w:t>Template families policy</w:t>
            </w:r>
          </w:p>
        </w:tc>
        <w:tc>
          <w:tcPr>
            <w:tcW w:type="dxa" w:w="3360"/>
            <w:tcMar>
              <w:top w:w="100" w:type="dxa"/>
              <w:start w:w="120" w:type="dxa"/>
              <w:bottom w:w="100" w:type="dxa"/>
              <w:end w:w="120" w:type="dxa"/>
            </w:tcMar>
            <w:vAlign w:val="center"/>
          </w:tcPr>
          <w:p>
            <w:pPr>
              <w:spacing w:after="0"/>
            </w:pPr>
            <w:r>
              <w:rPr>
                <w:sz w:val="18"/>
              </w:rPr>
              <w:t>Purpose, scope, roles, workflow, controls, exceptions, records</w:t>
            </w:r>
          </w:p>
        </w:tc>
        <w:tc>
          <w:tcPr>
            <w:tcW w:type="dxa" w:w="3360"/>
            <w:tcMar>
              <w:top w:w="100" w:type="dxa"/>
              <w:start w:w="120" w:type="dxa"/>
              <w:bottom w:w="100" w:type="dxa"/>
              <w:end w:w="120" w:type="dxa"/>
            </w:tcMar>
            <w:vAlign w:val="center"/>
          </w:tcPr>
          <w:p>
            <w:pPr>
              <w:spacing w:after="0"/>
            </w:pPr>
            <w:r>
              <w:rPr>
                <w:sz w:val="18"/>
              </w:rPr>
              <w:t>Brand + Marketing</w:t>
            </w:r>
          </w:p>
        </w:tc>
      </w:tr>
      <w:tr>
        <w:tc>
          <w:tcPr>
            <w:tcW w:type="dxa" w:w="3360"/>
            <w:tcMar>
              <w:top w:w="100" w:type="dxa"/>
              <w:start w:w="120" w:type="dxa"/>
              <w:bottom w:w="100" w:type="dxa"/>
              <w:end w:w="120" w:type="dxa"/>
            </w:tcMar>
            <w:vAlign w:val="center"/>
          </w:tcPr>
          <w:p>
            <w:pPr>
              <w:spacing w:after="0"/>
            </w:pPr>
            <w:r>
              <w:rPr>
                <w:sz w:val="18"/>
              </w:rPr>
              <w:t>Operating checklist</w:t>
            </w:r>
          </w:p>
        </w:tc>
        <w:tc>
          <w:tcPr>
            <w:tcW w:type="dxa" w:w="3360"/>
            <w:tcMar>
              <w:top w:w="100" w:type="dxa"/>
              <w:start w:w="120" w:type="dxa"/>
              <w:bottom w:w="100" w:type="dxa"/>
              <w:end w:w="120" w:type="dxa"/>
            </w:tcMar>
            <w:vAlign w:val="center"/>
          </w:tcPr>
          <w:p>
            <w:pPr>
              <w:spacing w:after="0"/>
            </w:pPr>
            <w:r>
              <w:rPr>
                <w:sz w:val="18"/>
              </w:rPr>
              <w:t>Step-by-step execution and completion evidence</w:t>
            </w:r>
          </w:p>
        </w:tc>
        <w:tc>
          <w:tcPr>
            <w:tcW w:type="dxa" w:w="3360"/>
            <w:tcMar>
              <w:top w:w="100" w:type="dxa"/>
              <w:start w:w="120" w:type="dxa"/>
              <w:bottom w:w="100" w:type="dxa"/>
              <w:end w:w="120" w:type="dxa"/>
            </w:tcMar>
            <w:vAlign w:val="center"/>
          </w:tcPr>
          <w:p>
            <w:pPr>
              <w:spacing w:after="0"/>
            </w:pPr>
            <w:r>
              <w:rPr>
                <w:sz w:val="18"/>
              </w:rPr>
              <w:t>Operations</w:t>
            </w:r>
          </w:p>
        </w:tc>
      </w:tr>
      <w:tr>
        <w:tc>
          <w:tcPr>
            <w:tcW w:type="dxa" w:w="3360"/>
            <w:tcMar>
              <w:top w:w="100" w:type="dxa"/>
              <w:start w:w="120" w:type="dxa"/>
              <w:bottom w:w="100" w:type="dxa"/>
              <w:end w:w="120" w:type="dxa"/>
            </w:tcMar>
            <w:vAlign w:val="center"/>
          </w:tcPr>
          <w:p>
            <w:pPr>
              <w:spacing w:after="0"/>
            </w:pPr>
            <w:r>
              <w:rPr>
                <w:sz w:val="18"/>
              </w:rPr>
              <w:t>QA checklist</w:t>
            </w:r>
          </w:p>
        </w:tc>
        <w:tc>
          <w:tcPr>
            <w:tcW w:type="dxa" w:w="3360"/>
            <w:tcMar>
              <w:top w:w="100" w:type="dxa"/>
              <w:start w:w="120" w:type="dxa"/>
              <w:bottom w:w="100" w:type="dxa"/>
              <w:end w:w="120" w:type="dxa"/>
            </w:tcMar>
            <w:vAlign w:val="center"/>
          </w:tcPr>
          <w:p>
            <w:pPr>
              <w:spacing w:after="0"/>
            </w:pPr>
            <w:r>
              <w:rPr>
                <w:sz w:val="18"/>
              </w:rPr>
              <w:t>Accuracy, clarity, privacy, claims, accessibility</w:t>
            </w:r>
          </w:p>
        </w:tc>
        <w:tc>
          <w:tcPr>
            <w:tcW w:type="dxa" w:w="3360"/>
            <w:tcMar>
              <w:top w:w="100" w:type="dxa"/>
              <w:start w:w="120" w:type="dxa"/>
              <w:bottom w:w="100" w:type="dxa"/>
              <w:end w:w="120" w:type="dxa"/>
            </w:tcMar>
            <w:vAlign w:val="center"/>
          </w:tcPr>
          <w:p>
            <w:pPr>
              <w:spacing w:after="0"/>
            </w:pPr>
            <w:r>
              <w:rPr>
                <w:sz w:val="18"/>
              </w:rPr>
              <w:t>Quality / Compliance</w:t>
            </w:r>
          </w:p>
        </w:tc>
      </w:tr>
      <w:tr>
        <w:tc>
          <w:tcPr>
            <w:tcW w:type="dxa" w:w="3360"/>
            <w:tcMar>
              <w:top w:w="100" w:type="dxa"/>
              <w:start w:w="120" w:type="dxa"/>
              <w:bottom w:w="100" w:type="dxa"/>
              <w:end w:w="120" w:type="dxa"/>
            </w:tcMar>
            <w:vAlign w:val="center"/>
          </w:tcPr>
          <w:p>
            <w:pPr>
              <w:spacing w:after="0"/>
            </w:pPr>
            <w:r>
              <w:rPr>
                <w:sz w:val="18"/>
              </w:rPr>
              <w:t>Change log</w:t>
            </w:r>
          </w:p>
        </w:tc>
        <w:tc>
          <w:tcPr>
            <w:tcW w:type="dxa" w:w="3360"/>
            <w:tcMar>
              <w:top w:w="100" w:type="dxa"/>
              <w:start w:w="120" w:type="dxa"/>
              <w:bottom w:w="100" w:type="dxa"/>
              <w:end w:w="120" w:type="dxa"/>
            </w:tcMar>
            <w:vAlign w:val="center"/>
          </w:tcPr>
          <w:p>
            <w:pPr>
              <w:spacing w:after="0"/>
            </w:pPr>
            <w:r>
              <w:rPr>
                <w:sz w:val="18"/>
              </w:rPr>
              <w:t>Version, date, owner, reason, reviewer</w:t>
            </w:r>
          </w:p>
        </w:tc>
        <w:tc>
          <w:tcPr>
            <w:tcW w:type="dxa" w:w="3360"/>
            <w:tcMar>
              <w:top w:w="100" w:type="dxa"/>
              <w:start w:w="120" w:type="dxa"/>
              <w:bottom w:w="100" w:type="dxa"/>
              <w:end w:w="120" w:type="dxa"/>
            </w:tcMar>
            <w:vAlign w:val="center"/>
          </w:tcPr>
          <w:p>
            <w:pPr>
              <w:spacing w:after="0"/>
            </w:pPr>
            <w:r>
              <w:rPr>
                <w:sz w:val="18"/>
              </w:rPr>
              <w:t>Document owner</w:t>
            </w:r>
          </w:p>
        </w:tc>
      </w:tr>
    </w:tbl>
    <w:p/>
    <w:p>
      <w:pPr>
        <w:pStyle w:val="Heading1"/>
      </w:pPr>
      <w:r>
        <w:t>30.3 Print assets</w:t>
      </w:r>
    </w:p>
    <w:p>
      <w:r>
        <w:t>The print assets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print assets.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30.4 Social assets</w:t>
      </w:r>
    </w:p>
    <w:p>
      <w:r>
        <w:t>The social assets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social assets.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30.5 Export and naming rules</w:t>
      </w:r>
    </w:p>
    <w:p>
      <w:r>
        <w:t>The export and naming rules standard must be documented in plain language, assigned to a named owner, supported by a repeatable workflow, and verified through measurable evidence.</w:t>
      </w:r>
    </w:p>
    <w:p>
      <w:r>
        <w:t>Implementation must include normal, exception, escalation, and audit scenarios. Any consumer-facing output must be understandable without industry knowledge and must avoid guaranteed outcomes.</w:t>
      </w:r>
    </w:p>
    <w:p>
      <w:pPr>
        <w:pStyle w:val="ListBullet"/>
      </w:pPr>
      <w:r>
        <w:t>Define the approved input, output, owner, service level, and record of completion for export and naming rules.</w:t>
      </w:r>
    </w:p>
    <w:p>
      <w:pPr>
        <w:pStyle w:val="ListBullet"/>
      </w:pPr>
      <w:r>
        <w:t>Use minimum-necessary data and role-based access.</w:t>
      </w:r>
    </w:p>
    <w:p>
      <w:pPr>
        <w:pStyle w:val="ListBullet"/>
      </w:pPr>
      <w:r>
        <w:t>Provide a consumer-readable explanation where the process affects a borrower.</w:t>
      </w:r>
    </w:p>
    <w:p>
      <w:pPr>
        <w:pStyle w:val="ListBullet"/>
      </w:pPr>
      <w:r>
        <w:t>Log material actions, approvals, overrides, and exceptions.</w:t>
      </w:r>
    </w:p>
    <w:p>
      <w:pPr>
        <w:pStyle w:val="ListBullet"/>
      </w:pPr>
      <w:r>
        <w:t>Measure quality and revise the standard when outcomes or regulations change.</w:t>
      </w:r>
    </w:p>
    <w:p>
      <w:pPr>
        <w:pStyle w:val="Heading1"/>
      </w:pPr>
      <w:r>
        <w:t>Implementation Checklist</w:t>
      </w:r>
    </w:p>
    <w:p>
      <w:pPr>
        <w:pStyle w:val="ListBullet"/>
      </w:pPr>
      <w:r>
        <w:t>☐ Approve policy and named owner</w:t>
      </w:r>
    </w:p>
    <w:p>
      <w:pPr>
        <w:pStyle w:val="ListBullet"/>
      </w:pPr>
      <w:r>
        <w:t>☐ Create workflow diagram</w:t>
      </w:r>
    </w:p>
    <w:p>
      <w:pPr>
        <w:pStyle w:val="ListBullet"/>
      </w:pPr>
      <w:r>
        <w:t>☐ Create staff checklist and scripts</w:t>
      </w:r>
    </w:p>
    <w:p>
      <w:pPr>
        <w:pStyle w:val="ListBullet"/>
      </w:pPr>
      <w:r>
        <w:t>☐ Configure product and CRM controls</w:t>
      </w:r>
    </w:p>
    <w:p>
      <w:pPr>
        <w:pStyle w:val="ListBullet"/>
      </w:pPr>
      <w:r>
        <w:t>☐ Train affected roles</w:t>
      </w:r>
    </w:p>
    <w:p>
      <w:pPr>
        <w:pStyle w:val="ListBullet"/>
      </w:pPr>
      <w:r>
        <w:t>☐ Run pilot cases</w:t>
      </w:r>
    </w:p>
    <w:p>
      <w:pPr>
        <w:pStyle w:val="ListBullet"/>
      </w:pPr>
      <w:r>
        <w:t>☐ Audit results and exceptions</w:t>
      </w:r>
    </w:p>
    <w:p>
      <w:pPr>
        <w:pStyle w:val="ListBullet"/>
      </w:pPr>
      <w:r>
        <w:t>☐ Approve production release</w:t>
      </w:r>
    </w:p>
    <w:p>
      <w:pPr>
        <w:pStyle w:val="Heading1"/>
      </w:pPr>
      <w:r>
        <w:t>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Criterion</w:t>
            </w:r>
          </w:p>
        </w:tc>
        <w:tc>
          <w:tcPr>
            <w:tcW w:type="dxa" w:w="5040"/>
            <w:shd w:fill="143A63"/>
            <w:tcMar>
              <w:top w:w="100" w:type="dxa"/>
              <w:start w:w="120" w:type="dxa"/>
              <w:bottom w:w="100" w:type="dxa"/>
              <w:end w:w="120" w:type="dxa"/>
            </w:tcMar>
            <w:vAlign w:val="center"/>
          </w:tcPr>
          <w:p>
            <w:pPr>
              <w:jc w:val="center"/>
            </w:pPr>
            <w:r>
              <w:rPr>
                <w:b/>
                <w:color w:val="FFFFFF"/>
                <w:sz w:val="18"/>
              </w:rPr>
              <w:t>Pass condition</w:t>
            </w:r>
          </w:p>
        </w:tc>
      </w:tr>
      <w:tr>
        <w:tc>
          <w:tcPr>
            <w:tcW w:type="dxa" w:w="5040"/>
            <w:tcMar>
              <w:top w:w="100" w:type="dxa"/>
              <w:start w:w="120" w:type="dxa"/>
              <w:bottom w:w="100" w:type="dxa"/>
              <w:end w:w="120" w:type="dxa"/>
            </w:tcMar>
            <w:vAlign w:val="center"/>
          </w:tcPr>
          <w:p>
            <w:pPr>
              <w:spacing w:after="0"/>
            </w:pPr>
            <w:r>
              <w:rPr>
                <w:sz w:val="18"/>
              </w:rPr>
              <w:t>Clarity</w:t>
            </w:r>
          </w:p>
        </w:tc>
        <w:tc>
          <w:tcPr>
            <w:tcW w:type="dxa" w:w="5040"/>
            <w:tcMar>
              <w:top w:w="100" w:type="dxa"/>
              <w:start w:w="120" w:type="dxa"/>
              <w:bottom w:w="100" w:type="dxa"/>
              <w:end w:w="120" w:type="dxa"/>
            </w:tcMar>
            <w:vAlign w:val="center"/>
          </w:tcPr>
          <w:p>
            <w:pPr>
              <w:spacing w:after="0"/>
            </w:pPr>
            <w:r>
              <w:rPr>
                <w:sz w:val="18"/>
              </w:rPr>
              <w:t>A trained employee can execute the workflow without inventing steps.</w:t>
            </w:r>
          </w:p>
        </w:tc>
      </w:tr>
      <w:tr>
        <w:tc>
          <w:tcPr>
            <w:tcW w:type="dxa" w:w="5040"/>
            <w:tcMar>
              <w:top w:w="100" w:type="dxa"/>
              <w:start w:w="120" w:type="dxa"/>
              <w:bottom w:w="100" w:type="dxa"/>
              <w:end w:w="120" w:type="dxa"/>
            </w:tcMar>
            <w:vAlign w:val="center"/>
          </w:tcPr>
          <w:p>
            <w:pPr>
              <w:spacing w:after="0"/>
            </w:pPr>
            <w:r>
              <w:rPr>
                <w:sz w:val="18"/>
              </w:rPr>
              <w:t>Compliance</w:t>
            </w:r>
          </w:p>
        </w:tc>
        <w:tc>
          <w:tcPr>
            <w:tcW w:type="dxa" w:w="5040"/>
            <w:tcMar>
              <w:top w:w="100" w:type="dxa"/>
              <w:start w:w="120" w:type="dxa"/>
              <w:bottom w:w="100" w:type="dxa"/>
              <w:end w:w="120" w:type="dxa"/>
            </w:tcMar>
            <w:vAlign w:val="center"/>
          </w:tcPr>
          <w:p>
            <w:pPr>
              <w:spacing w:after="0"/>
            </w:pPr>
            <w:r>
              <w:rPr>
                <w:sz w:val="18"/>
              </w:rPr>
              <w:t>Required counsel/compliance review is documented; prohibited activities are blocked.</w:t>
            </w:r>
          </w:p>
        </w:tc>
      </w:tr>
      <w:tr>
        <w:tc>
          <w:tcPr>
            <w:tcW w:type="dxa" w:w="5040"/>
            <w:tcMar>
              <w:top w:w="100" w:type="dxa"/>
              <w:start w:w="120" w:type="dxa"/>
              <w:bottom w:w="100" w:type="dxa"/>
              <w:end w:w="120" w:type="dxa"/>
            </w:tcMar>
            <w:vAlign w:val="center"/>
          </w:tcPr>
          <w:p>
            <w:pPr>
              <w:spacing w:after="0"/>
            </w:pPr>
            <w:r>
              <w:rPr>
                <w:sz w:val="18"/>
              </w:rPr>
              <w:t>Security</w:t>
            </w:r>
          </w:p>
        </w:tc>
        <w:tc>
          <w:tcPr>
            <w:tcW w:type="dxa" w:w="5040"/>
            <w:tcMar>
              <w:top w:w="100" w:type="dxa"/>
              <w:start w:w="120" w:type="dxa"/>
              <w:bottom w:w="100" w:type="dxa"/>
              <w:end w:w="120" w:type="dxa"/>
            </w:tcMar>
            <w:vAlign w:val="center"/>
          </w:tcPr>
          <w:p>
            <w:pPr>
              <w:spacing w:after="0"/>
            </w:pPr>
            <w:r>
              <w:rPr>
                <w:sz w:val="18"/>
              </w:rPr>
              <w:t>Data access and retention match classification and business need.</w:t>
            </w:r>
          </w:p>
        </w:tc>
      </w:tr>
      <w:tr>
        <w:tc>
          <w:tcPr>
            <w:tcW w:type="dxa" w:w="5040"/>
            <w:tcMar>
              <w:top w:w="100" w:type="dxa"/>
              <w:start w:w="120" w:type="dxa"/>
              <w:bottom w:w="100" w:type="dxa"/>
              <w:end w:w="120" w:type="dxa"/>
            </w:tcMar>
            <w:vAlign w:val="center"/>
          </w:tcPr>
          <w:p>
            <w:pPr>
              <w:spacing w:after="0"/>
            </w:pPr>
            <w:r>
              <w:rPr>
                <w:sz w:val="18"/>
              </w:rPr>
              <w:t>Experience</w:t>
            </w:r>
          </w:p>
        </w:tc>
        <w:tc>
          <w:tcPr>
            <w:tcW w:type="dxa" w:w="5040"/>
            <w:tcMar>
              <w:top w:w="100" w:type="dxa"/>
              <w:start w:w="120" w:type="dxa"/>
              <w:bottom w:w="100" w:type="dxa"/>
              <w:end w:w="120" w:type="dxa"/>
            </w:tcMar>
            <w:vAlign w:val="center"/>
          </w:tcPr>
          <w:p>
            <w:pPr>
              <w:spacing w:after="0"/>
            </w:pPr>
            <w:r>
              <w:rPr>
                <w:sz w:val="18"/>
              </w:rPr>
              <w:t>Borrower and partner communications are understandable, timely, and accurately scoped.</w:t>
            </w:r>
          </w:p>
        </w:tc>
      </w:tr>
      <w:tr>
        <w:tc>
          <w:tcPr>
            <w:tcW w:type="dxa" w:w="5040"/>
            <w:tcMar>
              <w:top w:w="100" w:type="dxa"/>
              <w:start w:w="120" w:type="dxa"/>
              <w:bottom w:w="100" w:type="dxa"/>
              <w:end w:w="120" w:type="dxa"/>
            </w:tcMar>
            <w:vAlign w:val="center"/>
          </w:tcPr>
          <w:p>
            <w:pPr>
              <w:spacing w:after="0"/>
            </w:pPr>
            <w:r>
              <w:rPr>
                <w:sz w:val="18"/>
              </w:rPr>
              <w:t>Auditability</w:t>
            </w:r>
          </w:p>
        </w:tc>
        <w:tc>
          <w:tcPr>
            <w:tcW w:type="dxa" w:w="5040"/>
            <w:tcMar>
              <w:top w:w="100" w:type="dxa"/>
              <w:start w:w="120" w:type="dxa"/>
              <w:bottom w:w="100" w:type="dxa"/>
              <w:end w:w="120" w:type="dxa"/>
            </w:tcMar>
            <w:vAlign w:val="center"/>
          </w:tcPr>
          <w:p>
            <w:pPr>
              <w:spacing w:after="0"/>
            </w:pPr>
            <w:r>
              <w:rPr>
                <w:sz w:val="18"/>
              </w:rPr>
              <w:t>Inputs, outputs, approvals, changes, and exceptions can be reconstructed.</w:t>
            </w:r>
          </w:p>
        </w:tc>
      </w:tr>
      <w:tr>
        <w:tc>
          <w:tcPr>
            <w:tcW w:type="dxa" w:w="5040"/>
            <w:tcMar>
              <w:top w:w="100" w:type="dxa"/>
              <w:start w:w="120" w:type="dxa"/>
              <w:bottom w:w="100" w:type="dxa"/>
              <w:end w:w="120" w:type="dxa"/>
            </w:tcMar>
            <w:vAlign w:val="center"/>
          </w:tcPr>
          <w:p>
            <w:pPr>
              <w:spacing w:after="0"/>
            </w:pPr>
            <w:r>
              <w:rPr>
                <w:sz w:val="18"/>
              </w:rPr>
              <w:t>Measurement</w:t>
            </w:r>
          </w:p>
        </w:tc>
        <w:tc>
          <w:tcPr>
            <w:tcW w:type="dxa" w:w="5040"/>
            <w:tcMar>
              <w:top w:w="100" w:type="dxa"/>
              <w:start w:w="120" w:type="dxa"/>
              <w:bottom w:w="100" w:type="dxa"/>
              <w:end w:w="120" w:type="dxa"/>
            </w:tcMar>
            <w:vAlign w:val="center"/>
          </w:tcPr>
          <w:p>
            <w:pPr>
              <w:spacing w:after="0"/>
            </w:pPr>
            <w:r>
              <w:rPr>
                <w:sz w:val="18"/>
              </w:rPr>
              <w:t>At least one quality, speed, outcome, and risk metric is tracked.</w:t>
            </w:r>
          </w:p>
        </w:tc>
      </w:tr>
    </w:tbl>
    <w:p/>
    <w:p>
      <w:r>
        <w:br w:type="page"/>
      </w:r>
    </w:p>
    <w:p>
      <w:pPr>
        <w:pStyle w:val="Title"/>
      </w:pPr>
      <w:r>
        <w:t>Appendix A - Approved Language Library</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Item</w:t>
            </w:r>
          </w:p>
        </w:tc>
        <w:tc>
          <w:tcPr>
            <w:tcW w:type="dxa" w:w="5040"/>
            <w:shd w:fill="143A63"/>
            <w:tcMar>
              <w:top w:w="100" w:type="dxa"/>
              <w:start w:w="120" w:type="dxa"/>
              <w:bottom w:w="100" w:type="dxa"/>
              <w:end w:w="120" w:type="dxa"/>
            </w:tcMar>
            <w:vAlign w:val="center"/>
          </w:tcPr>
          <w:p>
            <w:pPr>
              <w:jc w:val="center"/>
            </w:pPr>
            <w:r>
              <w:rPr>
                <w:b/>
                <w:color w:val="FFFFFF"/>
                <w:sz w:val="18"/>
              </w:rPr>
              <w:t>Standard</w:t>
            </w:r>
          </w:p>
        </w:tc>
      </w:tr>
      <w:tr>
        <w:tc>
          <w:tcPr>
            <w:tcW w:type="dxa" w:w="5040"/>
            <w:tcMar>
              <w:top w:w="100" w:type="dxa"/>
              <w:start w:w="120" w:type="dxa"/>
              <w:bottom w:w="100" w:type="dxa"/>
              <w:end w:w="120" w:type="dxa"/>
            </w:tcMar>
            <w:vAlign w:val="center"/>
          </w:tcPr>
          <w:p>
            <w:pPr>
              <w:spacing w:after="0"/>
            </w:pPr>
            <w:r>
              <w:rPr>
                <w:sz w:val="18"/>
              </w:rPr>
              <w:t>Company description</w:t>
            </w:r>
          </w:p>
        </w:tc>
        <w:tc>
          <w:tcPr>
            <w:tcW w:type="dxa" w:w="5040"/>
            <w:tcMar>
              <w:top w:w="100" w:type="dxa"/>
              <w:start w:w="120" w:type="dxa"/>
              <w:bottom w:w="100" w:type="dxa"/>
              <w:end w:w="120" w:type="dxa"/>
            </w:tcMar>
            <w:vAlign w:val="center"/>
          </w:tcPr>
          <w:p>
            <w:pPr>
              <w:spacing w:after="0"/>
            </w:pPr>
            <w:r>
              <w:rPr>
                <w:sz w:val="18"/>
              </w:rPr>
              <w:t>Lending Readiness Partners helps consumers understand and strengthen their readiness for future financing opportunities through education, analysis, personalized action plans, and progress tracking.</w:t>
            </w:r>
          </w:p>
        </w:tc>
      </w:tr>
      <w:tr>
        <w:tc>
          <w:tcPr>
            <w:tcW w:type="dxa" w:w="5040"/>
            <w:tcMar>
              <w:top w:w="100" w:type="dxa"/>
              <w:start w:w="120" w:type="dxa"/>
              <w:bottom w:w="100" w:type="dxa"/>
              <w:end w:w="120" w:type="dxa"/>
            </w:tcMar>
            <w:vAlign w:val="center"/>
          </w:tcPr>
          <w:p>
            <w:pPr>
              <w:spacing w:after="0"/>
            </w:pPr>
            <w:r>
              <w:rPr>
                <w:sz w:val="18"/>
              </w:rPr>
              <w:t>Partner description</w:t>
            </w:r>
          </w:p>
        </w:tc>
        <w:tc>
          <w:tcPr>
            <w:tcW w:type="dxa" w:w="5040"/>
            <w:tcMar>
              <w:top w:w="100" w:type="dxa"/>
              <w:start w:w="120" w:type="dxa"/>
              <w:bottom w:w="100" w:type="dxa"/>
              <w:end w:w="120" w:type="dxa"/>
            </w:tcMar>
            <w:vAlign w:val="center"/>
          </w:tcPr>
          <w:p>
            <w:pPr>
              <w:spacing w:after="0"/>
            </w:pPr>
            <w:r>
              <w:rPr>
                <w:sz w:val="18"/>
              </w:rPr>
              <w:t>We help your not-yet-ready applicants follow a structured readiness plan and return to your team when they choose to reapply.</w:t>
            </w:r>
          </w:p>
        </w:tc>
      </w:tr>
      <w:tr>
        <w:tc>
          <w:tcPr>
            <w:tcW w:type="dxa" w:w="5040"/>
            <w:tcMar>
              <w:top w:w="100" w:type="dxa"/>
              <w:start w:w="120" w:type="dxa"/>
              <w:bottom w:w="100" w:type="dxa"/>
              <w:end w:w="120" w:type="dxa"/>
            </w:tcMar>
            <w:vAlign w:val="center"/>
          </w:tcPr>
          <w:p>
            <w:pPr>
              <w:spacing w:after="0"/>
            </w:pPr>
            <w:r>
              <w:rPr>
                <w:sz w:val="18"/>
              </w:rPr>
              <w:t>Required disclaimer</w:t>
            </w:r>
          </w:p>
        </w:tc>
        <w:tc>
          <w:tcPr>
            <w:tcW w:type="dxa" w:w="5040"/>
            <w:tcMar>
              <w:top w:w="100" w:type="dxa"/>
              <w:start w:w="120" w:type="dxa"/>
              <w:bottom w:w="100" w:type="dxa"/>
              <w:end w:w="120" w:type="dxa"/>
            </w:tcMar>
            <w:vAlign w:val="center"/>
          </w:tcPr>
          <w:p>
            <w:pPr>
              <w:spacing w:after="0"/>
            </w:pPr>
            <w:r>
              <w:rPr>
                <w:sz w:val="18"/>
              </w:rPr>
              <w:t>Lending Readiness Partners is not a lender, mortgage broker, mortgage loan originator, credit bureau, law firm, or financial advisor. Services do not guarantee score increases, loan approval, rates, terms, or timing.</w:t>
            </w:r>
          </w:p>
        </w:tc>
      </w:tr>
      <w:tr>
        <w:tc>
          <w:tcPr>
            <w:tcW w:type="dxa" w:w="5040"/>
            <w:tcMar>
              <w:top w:w="100" w:type="dxa"/>
              <w:start w:w="120" w:type="dxa"/>
              <w:bottom w:w="100" w:type="dxa"/>
              <w:end w:w="120" w:type="dxa"/>
            </w:tcMar>
            <w:vAlign w:val="center"/>
          </w:tcPr>
          <w:p>
            <w:pPr>
              <w:spacing w:after="0"/>
            </w:pPr>
            <w:r>
              <w:rPr>
                <w:sz w:val="18"/>
              </w:rPr>
              <w:t>Prohibited claim</w:t>
            </w:r>
          </w:p>
        </w:tc>
        <w:tc>
          <w:tcPr>
            <w:tcW w:type="dxa" w:w="5040"/>
            <w:tcMar>
              <w:top w:w="100" w:type="dxa"/>
              <w:start w:w="120" w:type="dxa"/>
              <w:bottom w:w="100" w:type="dxa"/>
              <w:end w:w="120" w:type="dxa"/>
            </w:tcMar>
            <w:vAlign w:val="center"/>
          </w:tcPr>
          <w:p>
            <w:pPr>
              <w:spacing w:after="0"/>
            </w:pPr>
            <w:r>
              <w:rPr>
                <w:sz w:val="18"/>
              </w:rPr>
              <w:t>We guarantee a 100-point increase and mortgage approval.</w:t>
            </w:r>
          </w:p>
        </w:tc>
      </w:tr>
      <w:tr>
        <w:tc>
          <w:tcPr>
            <w:tcW w:type="dxa" w:w="5040"/>
            <w:tcMar>
              <w:top w:w="100" w:type="dxa"/>
              <w:start w:w="120" w:type="dxa"/>
              <w:bottom w:w="100" w:type="dxa"/>
              <w:end w:w="120" w:type="dxa"/>
            </w:tcMar>
            <w:vAlign w:val="center"/>
          </w:tcPr>
          <w:p>
            <w:pPr>
              <w:spacing w:after="0"/>
            </w:pPr>
            <w:r>
              <w:rPr>
                <w:sz w:val="18"/>
              </w:rPr>
              <w:t>Approved alternative</w:t>
            </w:r>
          </w:p>
        </w:tc>
        <w:tc>
          <w:tcPr>
            <w:tcW w:type="dxa" w:w="5040"/>
            <w:tcMar>
              <w:top w:w="100" w:type="dxa"/>
              <w:start w:w="120" w:type="dxa"/>
              <w:bottom w:w="100" w:type="dxa"/>
              <w:end w:w="120" w:type="dxa"/>
            </w:tcMar>
            <w:vAlign w:val="center"/>
          </w:tcPr>
          <w:p>
            <w:pPr>
              <w:spacing w:after="0"/>
            </w:pPr>
            <w:r>
              <w:rPr>
                <w:sz w:val="18"/>
              </w:rPr>
              <w:t>We identify factors affecting readiness, explain available actions, and track progress. Results vary by individual circumstances and reporting changes.</w:t>
            </w:r>
          </w:p>
        </w:tc>
      </w:tr>
    </w:tbl>
    <w:p/>
    <w:p>
      <w:r>
        <w:br w:type="page"/>
      </w:r>
    </w:p>
    <w:p>
      <w:pPr>
        <w:pStyle w:val="Title"/>
      </w:pPr>
      <w:r>
        <w:t>Appendix B - Master KPI Catalog</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Item</w:t>
            </w:r>
          </w:p>
        </w:tc>
        <w:tc>
          <w:tcPr>
            <w:tcW w:type="dxa" w:w="5040"/>
            <w:shd w:fill="143A63"/>
            <w:tcMar>
              <w:top w:w="100" w:type="dxa"/>
              <w:start w:w="120" w:type="dxa"/>
              <w:bottom w:w="100" w:type="dxa"/>
              <w:end w:w="120" w:type="dxa"/>
            </w:tcMar>
            <w:vAlign w:val="center"/>
          </w:tcPr>
          <w:p>
            <w:pPr>
              <w:jc w:val="center"/>
            </w:pPr>
            <w:r>
              <w:rPr>
                <w:b/>
                <w:color w:val="FFFFFF"/>
                <w:sz w:val="18"/>
              </w:rPr>
              <w:t>Standard</w:t>
            </w:r>
          </w:p>
        </w:tc>
      </w:tr>
      <w:tr>
        <w:tc>
          <w:tcPr>
            <w:tcW w:type="dxa" w:w="5040"/>
            <w:tcMar>
              <w:top w:w="100" w:type="dxa"/>
              <w:start w:w="120" w:type="dxa"/>
              <w:bottom w:w="100" w:type="dxa"/>
              <w:end w:w="120" w:type="dxa"/>
            </w:tcMar>
            <w:vAlign w:val="center"/>
          </w:tcPr>
          <w:p>
            <w:pPr>
              <w:spacing w:after="0"/>
            </w:pPr>
            <w:r>
              <w:rPr>
                <w:sz w:val="18"/>
              </w:rPr>
              <w:t>Lead response time</w:t>
            </w:r>
          </w:p>
        </w:tc>
        <w:tc>
          <w:tcPr>
            <w:tcW w:type="dxa" w:w="5040"/>
            <w:tcMar>
              <w:top w:w="100" w:type="dxa"/>
              <w:start w:w="120" w:type="dxa"/>
              <w:bottom w:w="100" w:type="dxa"/>
              <w:end w:w="120" w:type="dxa"/>
            </w:tcMar>
            <w:vAlign w:val="center"/>
          </w:tcPr>
          <w:p>
            <w:pPr>
              <w:spacing w:after="0"/>
            </w:pPr>
            <w:r>
              <w:rPr>
                <w:sz w:val="18"/>
              </w:rPr>
              <w:t>Median time from inquiry to first human contact</w:t>
            </w:r>
          </w:p>
        </w:tc>
      </w:tr>
      <w:tr>
        <w:tc>
          <w:tcPr>
            <w:tcW w:type="dxa" w:w="5040"/>
            <w:tcMar>
              <w:top w:w="100" w:type="dxa"/>
              <w:start w:w="120" w:type="dxa"/>
              <w:bottom w:w="100" w:type="dxa"/>
              <w:end w:w="120" w:type="dxa"/>
            </w:tcMar>
            <w:vAlign w:val="center"/>
          </w:tcPr>
          <w:p>
            <w:pPr>
              <w:spacing w:after="0"/>
            </w:pPr>
            <w:r>
              <w:rPr>
                <w:sz w:val="18"/>
              </w:rPr>
              <w:t>Enrollment conversion</w:t>
            </w:r>
          </w:p>
        </w:tc>
        <w:tc>
          <w:tcPr>
            <w:tcW w:type="dxa" w:w="5040"/>
            <w:tcMar>
              <w:top w:w="100" w:type="dxa"/>
              <w:start w:w="120" w:type="dxa"/>
              <w:bottom w:w="100" w:type="dxa"/>
              <w:end w:w="120" w:type="dxa"/>
            </w:tcMar>
            <w:vAlign w:val="center"/>
          </w:tcPr>
          <w:p>
            <w:pPr>
              <w:spacing w:after="0"/>
            </w:pPr>
            <w:r>
              <w:rPr>
                <w:sz w:val="18"/>
              </w:rPr>
              <w:t>Eligible consultations converting to signed enrollment</w:t>
            </w:r>
          </w:p>
        </w:tc>
      </w:tr>
      <w:tr>
        <w:tc>
          <w:tcPr>
            <w:tcW w:type="dxa" w:w="5040"/>
            <w:tcMar>
              <w:top w:w="100" w:type="dxa"/>
              <w:start w:w="120" w:type="dxa"/>
              <w:bottom w:w="100" w:type="dxa"/>
              <w:end w:w="120" w:type="dxa"/>
            </w:tcMar>
            <w:vAlign w:val="center"/>
          </w:tcPr>
          <w:p>
            <w:pPr>
              <w:spacing w:after="0"/>
            </w:pPr>
            <w:r>
              <w:rPr>
                <w:sz w:val="18"/>
              </w:rPr>
              <w:t>Initial plan turnaround</w:t>
            </w:r>
          </w:p>
        </w:tc>
        <w:tc>
          <w:tcPr>
            <w:tcW w:type="dxa" w:w="5040"/>
            <w:tcMar>
              <w:top w:w="100" w:type="dxa"/>
              <w:start w:w="120" w:type="dxa"/>
              <w:bottom w:w="100" w:type="dxa"/>
              <w:end w:w="120" w:type="dxa"/>
            </w:tcMar>
            <w:vAlign w:val="center"/>
          </w:tcPr>
          <w:p>
            <w:pPr>
              <w:spacing w:after="0"/>
            </w:pPr>
            <w:r>
              <w:rPr>
                <w:sz w:val="18"/>
              </w:rPr>
              <w:t>Time from complete intake to approved action plan</w:t>
            </w:r>
          </w:p>
        </w:tc>
      </w:tr>
      <w:tr>
        <w:tc>
          <w:tcPr>
            <w:tcW w:type="dxa" w:w="5040"/>
            <w:tcMar>
              <w:top w:w="100" w:type="dxa"/>
              <w:start w:w="120" w:type="dxa"/>
              <w:bottom w:w="100" w:type="dxa"/>
              <w:end w:w="120" w:type="dxa"/>
            </w:tcMar>
            <w:vAlign w:val="center"/>
          </w:tcPr>
          <w:p>
            <w:pPr>
              <w:spacing w:after="0"/>
            </w:pPr>
            <w:r>
              <w:rPr>
                <w:sz w:val="18"/>
              </w:rPr>
              <w:t>Task completion</w:t>
            </w:r>
          </w:p>
        </w:tc>
        <w:tc>
          <w:tcPr>
            <w:tcW w:type="dxa" w:w="5040"/>
            <w:tcMar>
              <w:top w:w="100" w:type="dxa"/>
              <w:start w:w="120" w:type="dxa"/>
              <w:bottom w:w="100" w:type="dxa"/>
              <w:end w:w="120" w:type="dxa"/>
            </w:tcMar>
            <w:vAlign w:val="center"/>
          </w:tcPr>
          <w:p>
            <w:pPr>
              <w:spacing w:after="0"/>
            </w:pPr>
            <w:r>
              <w:rPr>
                <w:sz w:val="18"/>
              </w:rPr>
              <w:t>Percentage of assigned borrower actions completed on time</w:t>
            </w:r>
          </w:p>
        </w:tc>
      </w:tr>
      <w:tr>
        <w:tc>
          <w:tcPr>
            <w:tcW w:type="dxa" w:w="5040"/>
            <w:tcMar>
              <w:top w:w="100" w:type="dxa"/>
              <w:start w:w="120" w:type="dxa"/>
              <w:bottom w:w="100" w:type="dxa"/>
              <w:end w:w="120" w:type="dxa"/>
            </w:tcMar>
            <w:vAlign w:val="center"/>
          </w:tcPr>
          <w:p>
            <w:pPr>
              <w:spacing w:after="0"/>
            </w:pPr>
            <w:r>
              <w:rPr>
                <w:sz w:val="18"/>
              </w:rPr>
              <w:t>Partner update SLA</w:t>
            </w:r>
          </w:p>
        </w:tc>
        <w:tc>
          <w:tcPr>
            <w:tcW w:type="dxa" w:w="5040"/>
            <w:tcMar>
              <w:top w:w="100" w:type="dxa"/>
              <w:start w:w="120" w:type="dxa"/>
              <w:bottom w:w="100" w:type="dxa"/>
              <w:end w:w="120" w:type="dxa"/>
            </w:tcMar>
            <w:vAlign w:val="center"/>
          </w:tcPr>
          <w:p>
            <w:pPr>
              <w:spacing w:after="0"/>
            </w:pPr>
            <w:r>
              <w:rPr>
                <w:sz w:val="18"/>
              </w:rPr>
              <w:t>Authorized partner updates delivered on schedule</w:t>
            </w:r>
          </w:p>
        </w:tc>
      </w:tr>
      <w:tr>
        <w:tc>
          <w:tcPr>
            <w:tcW w:type="dxa" w:w="5040"/>
            <w:tcMar>
              <w:top w:w="100" w:type="dxa"/>
              <w:start w:w="120" w:type="dxa"/>
              <w:bottom w:w="100" w:type="dxa"/>
              <w:end w:w="120" w:type="dxa"/>
            </w:tcMar>
            <w:vAlign w:val="center"/>
          </w:tcPr>
          <w:p>
            <w:pPr>
              <w:spacing w:after="0"/>
            </w:pPr>
            <w:r>
              <w:rPr>
                <w:sz w:val="18"/>
              </w:rPr>
              <w:t>Report QA pass rate</w:t>
            </w:r>
          </w:p>
        </w:tc>
        <w:tc>
          <w:tcPr>
            <w:tcW w:type="dxa" w:w="5040"/>
            <w:tcMar>
              <w:top w:w="100" w:type="dxa"/>
              <w:start w:w="120" w:type="dxa"/>
              <w:bottom w:w="100" w:type="dxa"/>
              <w:end w:w="120" w:type="dxa"/>
            </w:tcMar>
            <w:vAlign w:val="center"/>
          </w:tcPr>
          <w:p>
            <w:pPr>
              <w:spacing w:after="0"/>
            </w:pPr>
            <w:r>
              <w:rPr>
                <w:sz w:val="18"/>
              </w:rPr>
              <w:t>Reports passing first quality review</w:t>
            </w:r>
          </w:p>
        </w:tc>
      </w:tr>
      <w:tr>
        <w:tc>
          <w:tcPr>
            <w:tcW w:type="dxa" w:w="5040"/>
            <w:tcMar>
              <w:top w:w="100" w:type="dxa"/>
              <w:start w:w="120" w:type="dxa"/>
              <w:bottom w:w="100" w:type="dxa"/>
              <w:end w:w="120" w:type="dxa"/>
            </w:tcMar>
            <w:vAlign w:val="center"/>
          </w:tcPr>
          <w:p>
            <w:pPr>
              <w:spacing w:after="0"/>
            </w:pPr>
            <w:r>
              <w:rPr>
                <w:sz w:val="18"/>
              </w:rPr>
              <w:t>Complaint rate</w:t>
            </w:r>
          </w:p>
        </w:tc>
        <w:tc>
          <w:tcPr>
            <w:tcW w:type="dxa" w:w="5040"/>
            <w:tcMar>
              <w:top w:w="100" w:type="dxa"/>
              <w:start w:w="120" w:type="dxa"/>
              <w:bottom w:w="100" w:type="dxa"/>
              <w:end w:w="120" w:type="dxa"/>
            </w:tcMar>
            <w:vAlign w:val="center"/>
          </w:tcPr>
          <w:p>
            <w:pPr>
              <w:spacing w:after="0"/>
            </w:pPr>
            <w:r>
              <w:rPr>
                <w:sz w:val="18"/>
              </w:rPr>
              <w:t>Complaints per 100 active clients</w:t>
            </w:r>
          </w:p>
        </w:tc>
      </w:tr>
      <w:tr>
        <w:tc>
          <w:tcPr>
            <w:tcW w:type="dxa" w:w="5040"/>
            <w:tcMar>
              <w:top w:w="100" w:type="dxa"/>
              <w:start w:w="120" w:type="dxa"/>
              <w:bottom w:w="100" w:type="dxa"/>
              <w:end w:w="120" w:type="dxa"/>
            </w:tcMar>
            <w:vAlign w:val="center"/>
          </w:tcPr>
          <w:p>
            <w:pPr>
              <w:spacing w:after="0"/>
            </w:pPr>
            <w:r>
              <w:rPr>
                <w:sz w:val="18"/>
              </w:rPr>
              <w:t>Privacy incidents</w:t>
            </w:r>
          </w:p>
        </w:tc>
        <w:tc>
          <w:tcPr>
            <w:tcW w:type="dxa" w:w="5040"/>
            <w:tcMar>
              <w:top w:w="100" w:type="dxa"/>
              <w:start w:w="120" w:type="dxa"/>
              <w:bottom w:w="100" w:type="dxa"/>
              <w:end w:w="120" w:type="dxa"/>
            </w:tcMar>
            <w:vAlign w:val="center"/>
          </w:tcPr>
          <w:p>
            <w:pPr>
              <w:spacing w:after="0"/>
            </w:pPr>
            <w:r>
              <w:rPr>
                <w:sz w:val="18"/>
              </w:rPr>
              <w:t>Confirmed unauthorized disclosures or access events</w:t>
            </w:r>
          </w:p>
        </w:tc>
      </w:tr>
      <w:tr>
        <w:tc>
          <w:tcPr>
            <w:tcW w:type="dxa" w:w="5040"/>
            <w:tcMar>
              <w:top w:w="100" w:type="dxa"/>
              <w:start w:w="120" w:type="dxa"/>
              <w:bottom w:w="100" w:type="dxa"/>
              <w:end w:w="120" w:type="dxa"/>
            </w:tcMar>
            <w:vAlign w:val="center"/>
          </w:tcPr>
          <w:p>
            <w:pPr>
              <w:spacing w:after="0"/>
            </w:pPr>
            <w:r>
              <w:rPr>
                <w:sz w:val="18"/>
              </w:rPr>
              <w:t>Partner retention</w:t>
            </w:r>
          </w:p>
        </w:tc>
        <w:tc>
          <w:tcPr>
            <w:tcW w:type="dxa" w:w="5040"/>
            <w:tcMar>
              <w:top w:w="100" w:type="dxa"/>
              <w:start w:w="120" w:type="dxa"/>
              <w:bottom w:w="100" w:type="dxa"/>
              <w:end w:w="120" w:type="dxa"/>
            </w:tcMar>
            <w:vAlign w:val="center"/>
          </w:tcPr>
          <w:p>
            <w:pPr>
              <w:spacing w:after="0"/>
            </w:pPr>
            <w:r>
              <w:rPr>
                <w:sz w:val="18"/>
              </w:rPr>
              <w:t>Active partners referring again within target period</w:t>
            </w:r>
          </w:p>
        </w:tc>
      </w:tr>
      <w:tr>
        <w:tc>
          <w:tcPr>
            <w:tcW w:type="dxa" w:w="5040"/>
            <w:tcMar>
              <w:top w:w="100" w:type="dxa"/>
              <w:start w:w="120" w:type="dxa"/>
              <w:bottom w:w="100" w:type="dxa"/>
              <w:end w:w="120" w:type="dxa"/>
            </w:tcMar>
            <w:vAlign w:val="center"/>
          </w:tcPr>
          <w:p>
            <w:pPr>
              <w:spacing w:after="0"/>
            </w:pPr>
            <w:r>
              <w:rPr>
                <w:sz w:val="18"/>
              </w:rPr>
              <w:t>Readiness graduation</w:t>
            </w:r>
          </w:p>
        </w:tc>
        <w:tc>
          <w:tcPr>
            <w:tcW w:type="dxa" w:w="5040"/>
            <w:tcMar>
              <w:top w:w="100" w:type="dxa"/>
              <w:start w:w="120" w:type="dxa"/>
              <w:bottom w:w="100" w:type="dxa"/>
              <w:end w:w="120" w:type="dxa"/>
            </w:tcMar>
            <w:vAlign w:val="center"/>
          </w:tcPr>
          <w:p>
            <w:pPr>
              <w:spacing w:after="0"/>
            </w:pPr>
            <w:r>
              <w:rPr>
                <w:sz w:val="18"/>
              </w:rPr>
              <w:t>Clients completing defined readiness milestones; not a loan-approval metric</w:t>
            </w:r>
          </w:p>
        </w:tc>
      </w:tr>
    </w:tbl>
    <w:p/>
    <w:p>
      <w:r>
        <w:br w:type="page"/>
      </w:r>
    </w:p>
    <w:p>
      <w:pPr>
        <w:pStyle w:val="Title"/>
      </w:pPr>
      <w:r>
        <w:t>Appendix C - Risk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Risk</w:t>
            </w:r>
          </w:p>
        </w:tc>
        <w:tc>
          <w:tcPr>
            <w:tcW w:type="dxa" w:w="3360"/>
            <w:shd w:fill="143A63"/>
            <w:tcMar>
              <w:top w:w="100" w:type="dxa"/>
              <w:start w:w="120" w:type="dxa"/>
              <w:bottom w:w="100" w:type="dxa"/>
              <w:end w:w="120" w:type="dxa"/>
            </w:tcMar>
            <w:vAlign w:val="center"/>
          </w:tcPr>
          <w:p>
            <w:pPr>
              <w:jc w:val="center"/>
            </w:pPr>
            <w:r>
              <w:rPr>
                <w:b/>
                <w:color w:val="FFFFFF"/>
                <w:sz w:val="18"/>
              </w:rPr>
              <w:t>Severity</w:t>
            </w:r>
          </w:p>
        </w:tc>
        <w:tc>
          <w:tcPr>
            <w:tcW w:type="dxa" w:w="3360"/>
            <w:shd w:fill="143A63"/>
            <w:tcMar>
              <w:top w:w="100" w:type="dxa"/>
              <w:start w:w="120" w:type="dxa"/>
              <w:bottom w:w="100" w:type="dxa"/>
              <w:end w:w="120" w:type="dxa"/>
            </w:tcMar>
            <w:vAlign w:val="center"/>
          </w:tcPr>
          <w:p>
            <w:pPr>
              <w:jc w:val="center"/>
            </w:pPr>
            <w:r>
              <w:rPr>
                <w:b/>
                <w:color w:val="FFFFFF"/>
                <w:sz w:val="18"/>
              </w:rPr>
              <w:t>Control</w:t>
            </w:r>
          </w:p>
        </w:tc>
      </w:tr>
      <w:tr>
        <w:tc>
          <w:tcPr>
            <w:tcW w:type="dxa" w:w="3360"/>
            <w:tcMar>
              <w:top w:w="100" w:type="dxa"/>
              <w:start w:w="120" w:type="dxa"/>
              <w:bottom w:w="100" w:type="dxa"/>
              <w:end w:w="120" w:type="dxa"/>
            </w:tcMar>
            <w:vAlign w:val="center"/>
          </w:tcPr>
          <w:p>
            <w:pPr>
              <w:spacing w:after="0"/>
            </w:pPr>
            <w:r>
              <w:rPr>
                <w:sz w:val="18"/>
              </w:rPr>
              <w:t>Misleading lender implication</w:t>
            </w:r>
          </w:p>
        </w:tc>
        <w:tc>
          <w:tcPr>
            <w:tcW w:type="dxa" w:w="3360"/>
            <w:tcMar>
              <w:top w:w="100" w:type="dxa"/>
              <w:start w:w="120" w:type="dxa"/>
              <w:bottom w:w="100" w:type="dxa"/>
              <w:end w:w="120" w:type="dxa"/>
            </w:tcMar>
            <w:vAlign w:val="center"/>
          </w:tcPr>
          <w:p>
            <w:pPr>
              <w:spacing w:after="0"/>
            </w:pPr>
            <w:r>
              <w:rPr>
                <w:sz w:val="18"/>
              </w:rPr>
              <w:t>High</w:t>
            </w:r>
          </w:p>
        </w:tc>
        <w:tc>
          <w:tcPr>
            <w:tcW w:type="dxa" w:w="3360"/>
            <w:tcMar>
              <w:top w:w="100" w:type="dxa"/>
              <w:start w:w="120" w:type="dxa"/>
              <w:bottom w:w="100" w:type="dxa"/>
              <w:end w:w="120" w:type="dxa"/>
            </w:tcMar>
            <w:vAlign w:val="center"/>
          </w:tcPr>
          <w:p>
            <w:pPr>
              <w:spacing w:after="0"/>
            </w:pPr>
            <w:r>
              <w:rPr>
                <w:sz w:val="18"/>
              </w:rPr>
              <w:t>Brand and copy review; required non-lender disclosure</w:t>
            </w:r>
          </w:p>
        </w:tc>
      </w:tr>
      <w:tr>
        <w:tc>
          <w:tcPr>
            <w:tcW w:type="dxa" w:w="3360"/>
            <w:tcMar>
              <w:top w:w="100" w:type="dxa"/>
              <w:start w:w="120" w:type="dxa"/>
              <w:bottom w:w="100" w:type="dxa"/>
              <w:end w:w="120" w:type="dxa"/>
            </w:tcMar>
            <w:vAlign w:val="center"/>
          </w:tcPr>
          <w:p>
            <w:pPr>
              <w:spacing w:after="0"/>
            </w:pPr>
            <w:r>
              <w:rPr>
                <w:sz w:val="18"/>
              </w:rPr>
              <w:t>Credit-services law noncompliance</w:t>
            </w:r>
          </w:p>
        </w:tc>
        <w:tc>
          <w:tcPr>
            <w:tcW w:type="dxa" w:w="3360"/>
            <w:tcMar>
              <w:top w:w="100" w:type="dxa"/>
              <w:start w:w="120" w:type="dxa"/>
              <w:bottom w:w="100" w:type="dxa"/>
              <w:end w:w="120" w:type="dxa"/>
            </w:tcMar>
            <w:vAlign w:val="center"/>
          </w:tcPr>
          <w:p>
            <w:pPr>
              <w:spacing w:after="0"/>
            </w:pPr>
            <w:r>
              <w:rPr>
                <w:sz w:val="18"/>
              </w:rPr>
              <w:t>High</w:t>
            </w:r>
          </w:p>
        </w:tc>
        <w:tc>
          <w:tcPr>
            <w:tcW w:type="dxa" w:w="3360"/>
            <w:tcMar>
              <w:top w:w="100" w:type="dxa"/>
              <w:start w:w="120" w:type="dxa"/>
              <w:bottom w:w="100" w:type="dxa"/>
              <w:end w:w="120" w:type="dxa"/>
            </w:tcMar>
            <w:vAlign w:val="center"/>
          </w:tcPr>
          <w:p>
            <w:pPr>
              <w:spacing w:after="0"/>
            </w:pPr>
            <w:r>
              <w:rPr>
                <w:sz w:val="18"/>
              </w:rPr>
              <w:t>Counsel analysis by state; contract and payment controls</w:t>
            </w:r>
          </w:p>
        </w:tc>
      </w:tr>
      <w:tr>
        <w:tc>
          <w:tcPr>
            <w:tcW w:type="dxa" w:w="3360"/>
            <w:tcMar>
              <w:top w:w="100" w:type="dxa"/>
              <w:start w:w="120" w:type="dxa"/>
              <w:bottom w:w="100" w:type="dxa"/>
              <w:end w:w="120" w:type="dxa"/>
            </w:tcMar>
            <w:vAlign w:val="center"/>
          </w:tcPr>
          <w:p>
            <w:pPr>
              <w:spacing w:after="0"/>
            </w:pPr>
            <w:r>
              <w:rPr>
                <w:sz w:val="18"/>
              </w:rPr>
              <w:t>Unlawful referral compensation</w:t>
            </w:r>
          </w:p>
        </w:tc>
        <w:tc>
          <w:tcPr>
            <w:tcW w:type="dxa" w:w="3360"/>
            <w:tcMar>
              <w:top w:w="100" w:type="dxa"/>
              <w:start w:w="120" w:type="dxa"/>
              <w:bottom w:w="100" w:type="dxa"/>
              <w:end w:w="120" w:type="dxa"/>
            </w:tcMar>
            <w:vAlign w:val="center"/>
          </w:tcPr>
          <w:p>
            <w:pPr>
              <w:spacing w:after="0"/>
            </w:pPr>
            <w:r>
              <w:rPr>
                <w:sz w:val="18"/>
              </w:rPr>
              <w:t>High</w:t>
            </w:r>
          </w:p>
        </w:tc>
        <w:tc>
          <w:tcPr>
            <w:tcW w:type="dxa" w:w="3360"/>
            <w:tcMar>
              <w:top w:w="100" w:type="dxa"/>
              <w:start w:w="120" w:type="dxa"/>
              <w:bottom w:w="100" w:type="dxa"/>
              <w:end w:w="120" w:type="dxa"/>
            </w:tcMar>
            <w:vAlign w:val="center"/>
          </w:tcPr>
          <w:p>
            <w:pPr>
              <w:spacing w:after="0"/>
            </w:pPr>
            <w:r>
              <w:rPr>
                <w:sz w:val="18"/>
              </w:rPr>
              <w:t>No referral payments without documented legal approval</w:t>
            </w:r>
          </w:p>
        </w:tc>
      </w:tr>
      <w:tr>
        <w:tc>
          <w:tcPr>
            <w:tcW w:type="dxa" w:w="3360"/>
            <w:tcMar>
              <w:top w:w="100" w:type="dxa"/>
              <w:start w:w="120" w:type="dxa"/>
              <w:bottom w:w="100" w:type="dxa"/>
              <w:end w:w="120" w:type="dxa"/>
            </w:tcMar>
            <w:vAlign w:val="center"/>
          </w:tcPr>
          <w:p>
            <w:pPr>
              <w:spacing w:after="0"/>
            </w:pPr>
            <w:r>
              <w:rPr>
                <w:sz w:val="18"/>
              </w:rPr>
              <w:t>Unauthorized partner disclosure</w:t>
            </w:r>
          </w:p>
        </w:tc>
        <w:tc>
          <w:tcPr>
            <w:tcW w:type="dxa" w:w="3360"/>
            <w:tcMar>
              <w:top w:w="100" w:type="dxa"/>
              <w:start w:w="120" w:type="dxa"/>
              <w:bottom w:w="100" w:type="dxa"/>
              <w:end w:w="120" w:type="dxa"/>
            </w:tcMar>
            <w:vAlign w:val="center"/>
          </w:tcPr>
          <w:p>
            <w:pPr>
              <w:spacing w:after="0"/>
            </w:pPr>
            <w:r>
              <w:rPr>
                <w:sz w:val="18"/>
              </w:rPr>
              <w:t>High</w:t>
            </w:r>
          </w:p>
        </w:tc>
        <w:tc>
          <w:tcPr>
            <w:tcW w:type="dxa" w:w="3360"/>
            <w:tcMar>
              <w:top w:w="100" w:type="dxa"/>
              <w:start w:w="120" w:type="dxa"/>
              <w:bottom w:w="100" w:type="dxa"/>
              <w:end w:w="120" w:type="dxa"/>
            </w:tcMar>
            <w:vAlign w:val="center"/>
          </w:tcPr>
          <w:p>
            <w:pPr>
              <w:spacing w:after="0"/>
            </w:pPr>
            <w:r>
              <w:rPr>
                <w:sz w:val="18"/>
              </w:rPr>
              <w:t>Consumer authorization, minimum necessary fields, access logs</w:t>
            </w:r>
          </w:p>
        </w:tc>
      </w:tr>
      <w:tr>
        <w:tc>
          <w:tcPr>
            <w:tcW w:type="dxa" w:w="3360"/>
            <w:tcMar>
              <w:top w:w="100" w:type="dxa"/>
              <w:start w:w="120" w:type="dxa"/>
              <w:bottom w:w="100" w:type="dxa"/>
              <w:end w:w="120" w:type="dxa"/>
            </w:tcMar>
            <w:vAlign w:val="center"/>
          </w:tcPr>
          <w:p>
            <w:pPr>
              <w:spacing w:after="0"/>
            </w:pPr>
            <w:r>
              <w:rPr>
                <w:sz w:val="18"/>
              </w:rPr>
              <w:t>AI hallucination or incorrect issue flag</w:t>
            </w:r>
          </w:p>
        </w:tc>
        <w:tc>
          <w:tcPr>
            <w:tcW w:type="dxa" w:w="3360"/>
            <w:tcMar>
              <w:top w:w="100" w:type="dxa"/>
              <w:start w:w="120" w:type="dxa"/>
              <w:bottom w:w="100" w:type="dxa"/>
              <w:end w:w="120" w:type="dxa"/>
            </w:tcMar>
            <w:vAlign w:val="center"/>
          </w:tcPr>
          <w:p>
            <w:pPr>
              <w:spacing w:after="0"/>
            </w:pPr>
            <w:r>
              <w:rPr>
                <w:sz w:val="18"/>
              </w:rPr>
              <w:t>High</w:t>
            </w:r>
          </w:p>
        </w:tc>
        <w:tc>
          <w:tcPr>
            <w:tcW w:type="dxa" w:w="3360"/>
            <w:tcMar>
              <w:top w:w="100" w:type="dxa"/>
              <w:start w:w="120" w:type="dxa"/>
              <w:bottom w:w="100" w:type="dxa"/>
              <w:end w:w="120" w:type="dxa"/>
            </w:tcMar>
            <w:vAlign w:val="center"/>
          </w:tcPr>
          <w:p>
            <w:pPr>
              <w:spacing w:after="0"/>
            </w:pPr>
            <w:r>
              <w:rPr>
                <w:sz w:val="18"/>
              </w:rPr>
              <w:t>Confidence thresholds and human review</w:t>
            </w:r>
          </w:p>
        </w:tc>
      </w:tr>
      <w:tr>
        <w:tc>
          <w:tcPr>
            <w:tcW w:type="dxa" w:w="3360"/>
            <w:tcMar>
              <w:top w:w="100" w:type="dxa"/>
              <w:start w:w="120" w:type="dxa"/>
              <w:bottom w:w="100" w:type="dxa"/>
              <w:end w:w="120" w:type="dxa"/>
            </w:tcMar>
            <w:vAlign w:val="center"/>
          </w:tcPr>
          <w:p>
            <w:pPr>
              <w:spacing w:after="0"/>
            </w:pPr>
            <w:r>
              <w:rPr>
                <w:sz w:val="18"/>
              </w:rPr>
              <w:t>Sensitive document breach</w:t>
            </w:r>
          </w:p>
        </w:tc>
        <w:tc>
          <w:tcPr>
            <w:tcW w:type="dxa" w:w="3360"/>
            <w:tcMar>
              <w:top w:w="100" w:type="dxa"/>
              <w:start w:w="120" w:type="dxa"/>
              <w:bottom w:w="100" w:type="dxa"/>
              <w:end w:w="120" w:type="dxa"/>
            </w:tcMar>
            <w:vAlign w:val="center"/>
          </w:tcPr>
          <w:p>
            <w:pPr>
              <w:spacing w:after="0"/>
            </w:pPr>
            <w:r>
              <w:rPr>
                <w:sz w:val="18"/>
              </w:rPr>
              <w:t>High</w:t>
            </w:r>
          </w:p>
        </w:tc>
        <w:tc>
          <w:tcPr>
            <w:tcW w:type="dxa" w:w="3360"/>
            <w:tcMar>
              <w:top w:w="100" w:type="dxa"/>
              <w:start w:w="120" w:type="dxa"/>
              <w:bottom w:w="100" w:type="dxa"/>
              <w:end w:w="120" w:type="dxa"/>
            </w:tcMar>
            <w:vAlign w:val="center"/>
          </w:tcPr>
          <w:p>
            <w:pPr>
              <w:spacing w:after="0"/>
            </w:pPr>
            <w:r>
              <w:rPr>
                <w:sz w:val="18"/>
              </w:rPr>
              <w:t>Encryption, least privilege, retention, monitoring</w:t>
            </w:r>
          </w:p>
        </w:tc>
      </w:tr>
      <w:tr>
        <w:tc>
          <w:tcPr>
            <w:tcW w:type="dxa" w:w="3360"/>
            <w:tcMar>
              <w:top w:w="100" w:type="dxa"/>
              <w:start w:w="120" w:type="dxa"/>
              <w:bottom w:w="100" w:type="dxa"/>
              <w:end w:w="120" w:type="dxa"/>
            </w:tcMar>
            <w:vAlign w:val="center"/>
          </w:tcPr>
          <w:p>
            <w:pPr>
              <w:spacing w:after="0"/>
            </w:pPr>
            <w:r>
              <w:rPr>
                <w:sz w:val="18"/>
              </w:rPr>
              <w:t>Outcome guarantee claims</w:t>
            </w:r>
          </w:p>
        </w:tc>
        <w:tc>
          <w:tcPr>
            <w:tcW w:type="dxa" w:w="3360"/>
            <w:tcMar>
              <w:top w:w="100" w:type="dxa"/>
              <w:start w:w="120" w:type="dxa"/>
              <w:bottom w:w="100" w:type="dxa"/>
              <w:end w:w="120" w:type="dxa"/>
            </w:tcMar>
            <w:vAlign w:val="center"/>
          </w:tcPr>
          <w:p>
            <w:pPr>
              <w:spacing w:after="0"/>
            </w:pPr>
            <w:r>
              <w:rPr>
                <w:sz w:val="18"/>
              </w:rPr>
              <w:t>High</w:t>
            </w:r>
          </w:p>
        </w:tc>
        <w:tc>
          <w:tcPr>
            <w:tcW w:type="dxa" w:w="3360"/>
            <w:tcMar>
              <w:top w:w="100" w:type="dxa"/>
              <w:start w:w="120" w:type="dxa"/>
              <w:bottom w:w="100" w:type="dxa"/>
              <w:end w:w="120" w:type="dxa"/>
            </w:tcMar>
            <w:vAlign w:val="center"/>
          </w:tcPr>
          <w:p>
            <w:pPr>
              <w:spacing w:after="0"/>
            </w:pPr>
            <w:r>
              <w:rPr>
                <w:sz w:val="18"/>
              </w:rPr>
              <w:t>Approved language library and campaign review</w:t>
            </w:r>
          </w:p>
        </w:tc>
      </w:tr>
      <w:tr>
        <w:tc>
          <w:tcPr>
            <w:tcW w:type="dxa" w:w="3360"/>
            <w:tcMar>
              <w:top w:w="100" w:type="dxa"/>
              <w:start w:w="120" w:type="dxa"/>
              <w:bottom w:w="100" w:type="dxa"/>
              <w:end w:w="120" w:type="dxa"/>
            </w:tcMar>
            <w:vAlign w:val="center"/>
          </w:tcPr>
          <w:p>
            <w:pPr>
              <w:spacing w:after="0"/>
            </w:pPr>
            <w:r>
              <w:rPr>
                <w:sz w:val="18"/>
              </w:rPr>
              <w:t>Operational backlog</w:t>
            </w:r>
          </w:p>
        </w:tc>
        <w:tc>
          <w:tcPr>
            <w:tcW w:type="dxa" w:w="3360"/>
            <w:tcMar>
              <w:top w:w="100" w:type="dxa"/>
              <w:start w:w="120" w:type="dxa"/>
              <w:bottom w:w="100" w:type="dxa"/>
              <w:end w:w="120" w:type="dxa"/>
            </w:tcMar>
            <w:vAlign w:val="center"/>
          </w:tcPr>
          <w:p>
            <w:pPr>
              <w:spacing w:after="0"/>
            </w:pPr>
            <w:r>
              <w:rPr>
                <w:sz w:val="18"/>
              </w:rPr>
              <w:t>Medium</w:t>
            </w:r>
          </w:p>
        </w:tc>
        <w:tc>
          <w:tcPr>
            <w:tcW w:type="dxa" w:w="3360"/>
            <w:tcMar>
              <w:top w:w="100" w:type="dxa"/>
              <w:start w:w="120" w:type="dxa"/>
              <w:bottom w:w="100" w:type="dxa"/>
              <w:end w:w="120" w:type="dxa"/>
            </w:tcMar>
            <w:vAlign w:val="center"/>
          </w:tcPr>
          <w:p>
            <w:pPr>
              <w:spacing w:after="0"/>
            </w:pPr>
            <w:r>
              <w:rPr>
                <w:sz w:val="18"/>
              </w:rPr>
              <w:t>Capacity limits, queue dashboards, escalation rules</w:t>
            </w:r>
          </w:p>
        </w:tc>
      </w:tr>
    </w:tbl>
    <w:p/>
    <w:p>
      <w:r>
        <w:br w:type="page"/>
      </w:r>
    </w:p>
    <w:p>
      <w:pPr>
        <w:pStyle w:val="Title"/>
      </w:pPr>
      <w:r>
        <w:t>Appendix D - Compliance Research Sources</w:t>
      </w:r>
    </w:p>
    <w:p>
      <w:r>
        <w:t>This list is a research starting point. It is not a legal opinion. The company should engage qualified counsel for a state-by-state analysis before selling credit-related services or entering partner compensation arrangements.</w:t>
      </w:r>
    </w:p>
    <w:tbl>
      <w:tblPr>
        <w:tblStyle w:val="TableGrid"/>
        <w:tblW w:type="auto" w:w="0"/>
        <w:jc w:val="center"/>
        <w:tblLook w:firstColumn="1" w:firstRow="1" w:lastColumn="0" w:lastRow="0" w:noHBand="0" w:noVBand="1" w:val="04A0"/>
      </w:tblPr>
      <w:tblGrid>
        <w:gridCol w:w="5040"/>
        <w:gridCol w:w="5040"/>
      </w:tblGrid>
      <w:tr>
        <w:tc>
          <w:tcPr>
            <w:tcW w:type="dxa" w:w="5040"/>
            <w:shd w:fill="143A63"/>
            <w:tcMar>
              <w:top w:w="100" w:type="dxa"/>
              <w:start w:w="120" w:type="dxa"/>
              <w:bottom w:w="100" w:type="dxa"/>
              <w:end w:w="120" w:type="dxa"/>
            </w:tcMar>
            <w:vAlign w:val="center"/>
          </w:tcPr>
          <w:p>
            <w:pPr>
              <w:jc w:val="center"/>
            </w:pPr>
            <w:r>
              <w:rPr>
                <w:b/>
                <w:color w:val="FFFFFF"/>
                <w:sz w:val="18"/>
              </w:rPr>
              <w:t>Source</w:t>
            </w:r>
          </w:p>
        </w:tc>
        <w:tc>
          <w:tcPr>
            <w:tcW w:type="dxa" w:w="5040"/>
            <w:shd w:fill="143A63"/>
            <w:tcMar>
              <w:top w:w="100" w:type="dxa"/>
              <w:start w:w="120" w:type="dxa"/>
              <w:bottom w:w="100" w:type="dxa"/>
              <w:end w:w="120" w:type="dxa"/>
            </w:tcMar>
            <w:vAlign w:val="center"/>
          </w:tcPr>
          <w:p>
            <w:pPr>
              <w:jc w:val="center"/>
            </w:pPr>
            <w:r>
              <w:rPr>
                <w:b/>
                <w:color w:val="FFFFFF"/>
                <w:sz w:val="18"/>
              </w:rPr>
              <w:t>Use</w:t>
            </w:r>
          </w:p>
        </w:tc>
      </w:tr>
      <w:tr>
        <w:tc>
          <w:tcPr>
            <w:tcW w:type="dxa" w:w="5040"/>
            <w:tcMar>
              <w:top w:w="100" w:type="dxa"/>
              <w:start w:w="120" w:type="dxa"/>
              <w:bottom w:w="100" w:type="dxa"/>
              <w:end w:w="120" w:type="dxa"/>
            </w:tcMar>
            <w:vAlign w:val="center"/>
          </w:tcPr>
          <w:p>
            <w:pPr>
              <w:spacing w:after="0"/>
            </w:pPr>
            <w:r>
              <w:rPr>
                <w:sz w:val="18"/>
              </w:rPr>
              <w:t>Federal Trade Commission - Credit Repair Organizations Act</w:t>
            </w:r>
          </w:p>
        </w:tc>
        <w:tc>
          <w:tcPr>
            <w:tcW w:type="dxa" w:w="5040"/>
            <w:tcMar>
              <w:top w:w="100" w:type="dxa"/>
              <w:start w:w="120" w:type="dxa"/>
              <w:bottom w:w="100" w:type="dxa"/>
              <w:end w:w="120" w:type="dxa"/>
            </w:tcMar>
            <w:vAlign w:val="center"/>
          </w:tcPr>
          <w:p>
            <w:pPr>
              <w:spacing w:after="0"/>
            </w:pPr>
            <w:r>
              <w:rPr>
                <w:sz w:val="18"/>
              </w:rPr>
              <w:t>15 U.S.C. §§ 1679-1679j; FTC summary notes prohibitions on misleading representations, advance-payment restrictions, written contracts, disclosures, and cancellation rights.</w:t>
            </w:r>
          </w:p>
        </w:tc>
      </w:tr>
      <w:tr>
        <w:tc>
          <w:tcPr>
            <w:tcW w:type="dxa" w:w="5040"/>
            <w:tcMar>
              <w:top w:w="100" w:type="dxa"/>
              <w:start w:w="120" w:type="dxa"/>
              <w:bottom w:w="100" w:type="dxa"/>
              <w:end w:w="120" w:type="dxa"/>
            </w:tcMar>
            <w:vAlign w:val="center"/>
          </w:tcPr>
          <w:p>
            <w:pPr>
              <w:spacing w:after="0"/>
            </w:pPr>
            <w:r>
              <w:rPr>
                <w:sz w:val="18"/>
              </w:rPr>
              <w:t>Georgia Department of Banking and Finance - Mortgage Brokers and Mortgage Lenders</w:t>
            </w:r>
          </w:p>
        </w:tc>
        <w:tc>
          <w:tcPr>
            <w:tcW w:type="dxa" w:w="5040"/>
            <w:tcMar>
              <w:top w:w="100" w:type="dxa"/>
              <w:start w:w="120" w:type="dxa"/>
              <w:bottom w:w="100" w:type="dxa"/>
              <w:end w:w="120" w:type="dxa"/>
            </w:tcMar>
            <w:vAlign w:val="center"/>
          </w:tcPr>
          <w:p>
            <w:pPr>
              <w:spacing w:after="0"/>
            </w:pPr>
            <w:r>
              <w:rPr>
                <w:sz w:val="18"/>
              </w:rPr>
              <w:t>Defines regulated mortgage lender and broker activity and notes licensing through NMLS for covered Georgia activity.</w:t>
            </w:r>
          </w:p>
        </w:tc>
      </w:tr>
      <w:tr>
        <w:tc>
          <w:tcPr>
            <w:tcW w:type="dxa" w:w="5040"/>
            <w:tcMar>
              <w:top w:w="100" w:type="dxa"/>
              <w:start w:w="120" w:type="dxa"/>
              <w:bottom w:w="100" w:type="dxa"/>
              <w:end w:w="120" w:type="dxa"/>
            </w:tcMar>
            <w:vAlign w:val="center"/>
          </w:tcPr>
          <w:p>
            <w:pPr>
              <w:spacing w:after="0"/>
            </w:pPr>
            <w:r>
              <w:rPr>
                <w:sz w:val="18"/>
              </w:rPr>
              <w:t>Georgia Department of Banking and Finance - Mortgage FAQ</w:t>
            </w:r>
          </w:p>
        </w:tc>
        <w:tc>
          <w:tcPr>
            <w:tcW w:type="dxa" w:w="5040"/>
            <w:tcMar>
              <w:top w:w="100" w:type="dxa"/>
              <w:start w:w="120" w:type="dxa"/>
              <w:bottom w:w="100" w:type="dxa"/>
              <w:end w:w="120" w:type="dxa"/>
            </w:tcMar>
            <w:vAlign w:val="center"/>
          </w:tcPr>
          <w:p>
            <w:pPr>
              <w:spacing w:after="0"/>
            </w:pPr>
            <w:r>
              <w:rPr>
                <w:sz w:val="18"/>
              </w:rPr>
              <w:t>Explains mortgage loan originator activities and Georgia licensing expectations.</w:t>
            </w:r>
          </w:p>
        </w:tc>
      </w:tr>
      <w:tr>
        <w:tc>
          <w:tcPr>
            <w:tcW w:type="dxa" w:w="5040"/>
            <w:tcMar>
              <w:top w:w="100" w:type="dxa"/>
              <w:start w:w="120" w:type="dxa"/>
              <w:bottom w:w="100" w:type="dxa"/>
              <w:end w:w="120" w:type="dxa"/>
            </w:tcMar>
            <w:vAlign w:val="center"/>
          </w:tcPr>
          <w:p>
            <w:pPr>
              <w:spacing w:after="0"/>
            </w:pPr>
            <w:r>
              <w:rPr>
                <w:sz w:val="18"/>
              </w:rPr>
              <w:t>Consumer Financial Protection Bureau</w:t>
            </w:r>
          </w:p>
        </w:tc>
        <w:tc>
          <w:tcPr>
            <w:tcW w:type="dxa" w:w="5040"/>
            <w:tcMar>
              <w:top w:w="100" w:type="dxa"/>
              <w:start w:w="120" w:type="dxa"/>
              <w:bottom w:w="100" w:type="dxa"/>
              <w:end w:w="120" w:type="dxa"/>
            </w:tcMar>
            <w:vAlign w:val="center"/>
          </w:tcPr>
          <w:p>
            <w:pPr>
              <w:spacing w:after="0"/>
            </w:pPr>
            <w:r>
              <w:rPr>
                <w:sz w:val="18"/>
              </w:rPr>
              <w:t>Use current official consumer reporting, dispute, privacy, and complaint resources during policy drafting and training.</w:t>
            </w:r>
          </w:p>
        </w:tc>
      </w:tr>
      <w:tr>
        <w:tc>
          <w:tcPr>
            <w:tcW w:type="dxa" w:w="5040"/>
            <w:tcMar>
              <w:top w:w="100" w:type="dxa"/>
              <w:start w:w="120" w:type="dxa"/>
              <w:bottom w:w="100" w:type="dxa"/>
              <w:end w:w="120" w:type="dxa"/>
            </w:tcMar>
            <w:vAlign w:val="center"/>
          </w:tcPr>
          <w:p>
            <w:pPr>
              <w:spacing w:after="0"/>
            </w:pPr>
            <w:r>
              <w:rPr>
                <w:sz w:val="18"/>
              </w:rPr>
              <w:t>Georgia Secretary of State and Georgia General Assembly</w:t>
            </w:r>
          </w:p>
        </w:tc>
        <w:tc>
          <w:tcPr>
            <w:tcW w:type="dxa" w:w="5040"/>
            <w:tcMar>
              <w:top w:w="100" w:type="dxa"/>
              <w:start w:w="120" w:type="dxa"/>
              <w:bottom w:w="100" w:type="dxa"/>
              <w:end w:w="120" w:type="dxa"/>
            </w:tcMar>
            <w:vAlign w:val="center"/>
          </w:tcPr>
          <w:p>
            <w:pPr>
              <w:spacing w:after="0"/>
            </w:pPr>
            <w:r>
              <w:rPr>
                <w:sz w:val="18"/>
              </w:rPr>
              <w:t>Confirm entity, trade name, state statutory, and current filing requirements before launch.</w:t>
            </w:r>
          </w:p>
        </w:tc>
      </w:tr>
    </w:tbl>
    <w:p/>
    <w:p>
      <w:pPr>
        <w:pStyle w:val="Title"/>
      </w:pPr>
      <w:r>
        <w:t>Appendix E - 180-Day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3A63"/>
            <w:tcMar>
              <w:top w:w="100" w:type="dxa"/>
              <w:start w:w="120" w:type="dxa"/>
              <w:bottom w:w="100" w:type="dxa"/>
              <w:end w:w="120" w:type="dxa"/>
            </w:tcMar>
            <w:vAlign w:val="center"/>
          </w:tcPr>
          <w:p>
            <w:pPr>
              <w:jc w:val="center"/>
            </w:pPr>
            <w:r>
              <w:rPr>
                <w:b/>
                <w:color w:val="FFFFFF"/>
                <w:sz w:val="18"/>
              </w:rPr>
              <w:t>Period</w:t>
            </w:r>
          </w:p>
        </w:tc>
        <w:tc>
          <w:tcPr>
            <w:tcW w:type="dxa" w:w="3360"/>
            <w:shd w:fill="143A63"/>
            <w:tcMar>
              <w:top w:w="100" w:type="dxa"/>
              <w:start w:w="120" w:type="dxa"/>
              <w:bottom w:w="100" w:type="dxa"/>
              <w:end w:w="120" w:type="dxa"/>
            </w:tcMar>
            <w:vAlign w:val="center"/>
          </w:tcPr>
          <w:p>
            <w:pPr>
              <w:jc w:val="center"/>
            </w:pPr>
            <w:r>
              <w:rPr>
                <w:b/>
                <w:color w:val="FFFFFF"/>
                <w:sz w:val="18"/>
              </w:rPr>
              <w:t>Primary outcome</w:t>
            </w:r>
          </w:p>
        </w:tc>
        <w:tc>
          <w:tcPr>
            <w:tcW w:type="dxa" w:w="3360"/>
            <w:shd w:fill="143A63"/>
            <w:tcMar>
              <w:top w:w="100" w:type="dxa"/>
              <w:start w:w="120" w:type="dxa"/>
              <w:bottom w:w="100" w:type="dxa"/>
              <w:end w:w="120" w:type="dxa"/>
            </w:tcMar>
            <w:vAlign w:val="center"/>
          </w:tcPr>
          <w:p>
            <w:pPr>
              <w:jc w:val="center"/>
            </w:pPr>
            <w:r>
              <w:rPr>
                <w:b/>
                <w:color w:val="FFFFFF"/>
                <w:sz w:val="18"/>
              </w:rPr>
              <w:t>Key deliverables</w:t>
            </w:r>
          </w:p>
        </w:tc>
      </w:tr>
      <w:tr>
        <w:tc>
          <w:tcPr>
            <w:tcW w:type="dxa" w:w="3360"/>
            <w:tcMar>
              <w:top w:w="100" w:type="dxa"/>
              <w:start w:w="120" w:type="dxa"/>
              <w:bottom w:w="100" w:type="dxa"/>
              <w:end w:w="120" w:type="dxa"/>
            </w:tcMar>
            <w:vAlign w:val="center"/>
          </w:tcPr>
          <w:p>
            <w:pPr>
              <w:spacing w:after="0"/>
            </w:pPr>
            <w:r>
              <w:rPr>
                <w:sz w:val="18"/>
              </w:rPr>
              <w:t>Days 1-30</w:t>
            </w:r>
          </w:p>
        </w:tc>
        <w:tc>
          <w:tcPr>
            <w:tcW w:type="dxa" w:w="3360"/>
            <w:tcMar>
              <w:top w:w="100" w:type="dxa"/>
              <w:start w:w="120" w:type="dxa"/>
              <w:bottom w:w="100" w:type="dxa"/>
              <w:end w:w="120" w:type="dxa"/>
            </w:tcMar>
            <w:vAlign w:val="center"/>
          </w:tcPr>
          <w:p>
            <w:pPr>
              <w:spacing w:after="0"/>
            </w:pPr>
            <w:r>
              <w:rPr>
                <w:sz w:val="18"/>
              </w:rPr>
              <w:t>Legal and brand foundation</w:t>
            </w:r>
          </w:p>
        </w:tc>
        <w:tc>
          <w:tcPr>
            <w:tcW w:type="dxa" w:w="3360"/>
            <w:tcMar>
              <w:top w:w="100" w:type="dxa"/>
              <w:start w:w="120" w:type="dxa"/>
              <w:bottom w:w="100" w:type="dxa"/>
              <w:end w:w="120" w:type="dxa"/>
            </w:tcMar>
            <w:vAlign w:val="center"/>
          </w:tcPr>
          <w:p>
            <w:pPr>
              <w:spacing w:after="0"/>
            </w:pPr>
            <w:r>
              <w:rPr>
                <w:sz w:val="18"/>
              </w:rPr>
              <w:t>Entity/name confirmation, counsel scope memo, brand kit, approved language, service boundaries, pilot offer</w:t>
            </w:r>
          </w:p>
        </w:tc>
      </w:tr>
      <w:tr>
        <w:tc>
          <w:tcPr>
            <w:tcW w:type="dxa" w:w="3360"/>
            <w:tcMar>
              <w:top w:w="100" w:type="dxa"/>
              <w:start w:w="120" w:type="dxa"/>
              <w:bottom w:w="100" w:type="dxa"/>
              <w:end w:w="120" w:type="dxa"/>
            </w:tcMar>
            <w:vAlign w:val="center"/>
          </w:tcPr>
          <w:p>
            <w:pPr>
              <w:spacing w:after="0"/>
            </w:pPr>
            <w:r>
              <w:rPr>
                <w:sz w:val="18"/>
              </w:rPr>
              <w:t>Days 31-60</w:t>
            </w:r>
          </w:p>
        </w:tc>
        <w:tc>
          <w:tcPr>
            <w:tcW w:type="dxa" w:w="3360"/>
            <w:tcMar>
              <w:top w:w="100" w:type="dxa"/>
              <w:start w:w="120" w:type="dxa"/>
              <w:bottom w:w="100" w:type="dxa"/>
              <w:end w:w="120" w:type="dxa"/>
            </w:tcMar>
            <w:vAlign w:val="center"/>
          </w:tcPr>
          <w:p>
            <w:pPr>
              <w:spacing w:after="0"/>
            </w:pPr>
            <w:r>
              <w:rPr>
                <w:sz w:val="18"/>
              </w:rPr>
              <w:t>Marketing and operations readiness</w:t>
            </w:r>
          </w:p>
        </w:tc>
        <w:tc>
          <w:tcPr>
            <w:tcW w:type="dxa" w:w="3360"/>
            <w:tcMar>
              <w:top w:w="100" w:type="dxa"/>
              <w:start w:w="120" w:type="dxa"/>
              <w:bottom w:w="100" w:type="dxa"/>
              <w:end w:w="120" w:type="dxa"/>
            </w:tcMar>
            <w:vAlign w:val="center"/>
          </w:tcPr>
          <w:p>
            <w:pPr>
              <w:spacing w:after="0"/>
            </w:pPr>
            <w:r>
              <w:rPr>
                <w:sz w:val="18"/>
              </w:rPr>
              <w:t>Website copy, partner kit, borrower packet, CRM pipeline, contracts/consents, intake SOP, QA checklists</w:t>
            </w:r>
          </w:p>
        </w:tc>
      </w:tr>
      <w:tr>
        <w:tc>
          <w:tcPr>
            <w:tcW w:type="dxa" w:w="3360"/>
            <w:tcMar>
              <w:top w:w="100" w:type="dxa"/>
              <w:start w:w="120" w:type="dxa"/>
              <w:bottom w:w="100" w:type="dxa"/>
              <w:end w:w="120" w:type="dxa"/>
            </w:tcMar>
            <w:vAlign w:val="center"/>
          </w:tcPr>
          <w:p>
            <w:pPr>
              <w:spacing w:after="0"/>
            </w:pPr>
            <w:r>
              <w:rPr>
                <w:sz w:val="18"/>
              </w:rPr>
              <w:t>Days 61-90</w:t>
            </w:r>
          </w:p>
        </w:tc>
        <w:tc>
          <w:tcPr>
            <w:tcW w:type="dxa" w:w="3360"/>
            <w:tcMar>
              <w:top w:w="100" w:type="dxa"/>
              <w:start w:w="120" w:type="dxa"/>
              <w:bottom w:w="100" w:type="dxa"/>
              <w:end w:w="120" w:type="dxa"/>
            </w:tcMar>
            <w:vAlign w:val="center"/>
          </w:tcPr>
          <w:p>
            <w:pPr>
              <w:spacing w:after="0"/>
            </w:pPr>
            <w:r>
              <w:rPr>
                <w:sz w:val="18"/>
              </w:rPr>
              <w:t>Pilot launch</w:t>
            </w:r>
          </w:p>
        </w:tc>
        <w:tc>
          <w:tcPr>
            <w:tcW w:type="dxa" w:w="3360"/>
            <w:tcMar>
              <w:top w:w="100" w:type="dxa"/>
              <w:start w:w="120" w:type="dxa"/>
              <w:bottom w:w="100" w:type="dxa"/>
              <w:end w:w="120" w:type="dxa"/>
            </w:tcMar>
            <w:vAlign w:val="center"/>
          </w:tcPr>
          <w:p>
            <w:pPr>
              <w:spacing w:after="0"/>
            </w:pPr>
            <w:r>
              <w:rPr>
                <w:sz w:val="18"/>
              </w:rPr>
              <w:t>5-10 vetted partners, controlled borrower cohort, weekly quality review, baseline metrics</w:t>
            </w:r>
          </w:p>
        </w:tc>
      </w:tr>
      <w:tr>
        <w:tc>
          <w:tcPr>
            <w:tcW w:type="dxa" w:w="3360"/>
            <w:tcMar>
              <w:top w:w="100" w:type="dxa"/>
              <w:start w:w="120" w:type="dxa"/>
              <w:bottom w:w="100" w:type="dxa"/>
              <w:end w:w="120" w:type="dxa"/>
            </w:tcMar>
            <w:vAlign w:val="center"/>
          </w:tcPr>
          <w:p>
            <w:pPr>
              <w:spacing w:after="0"/>
            </w:pPr>
            <w:r>
              <w:rPr>
                <w:sz w:val="18"/>
              </w:rPr>
              <w:t>Days 91-120</w:t>
            </w:r>
          </w:p>
        </w:tc>
        <w:tc>
          <w:tcPr>
            <w:tcW w:type="dxa" w:w="3360"/>
            <w:tcMar>
              <w:top w:w="100" w:type="dxa"/>
              <w:start w:w="120" w:type="dxa"/>
              <w:bottom w:w="100" w:type="dxa"/>
              <w:end w:w="120" w:type="dxa"/>
            </w:tcMar>
            <w:vAlign w:val="center"/>
          </w:tcPr>
          <w:p>
            <w:pPr>
              <w:spacing w:after="0"/>
            </w:pPr>
            <w:r>
              <w:rPr>
                <w:sz w:val="18"/>
              </w:rPr>
              <w:t>Portal MVP</w:t>
            </w:r>
          </w:p>
        </w:tc>
        <w:tc>
          <w:tcPr>
            <w:tcW w:type="dxa" w:w="3360"/>
            <w:tcMar>
              <w:top w:w="100" w:type="dxa"/>
              <w:start w:w="120" w:type="dxa"/>
              <w:bottom w:w="100" w:type="dxa"/>
              <w:end w:w="120" w:type="dxa"/>
            </w:tcMar>
            <w:vAlign w:val="center"/>
          </w:tcPr>
          <w:p>
            <w:pPr>
              <w:spacing w:after="0"/>
            </w:pPr>
            <w:r>
              <w:rPr>
                <w:sz w:val="18"/>
              </w:rPr>
              <w:t>Borrower dashboard, partner referral intake, admin case management, secure documents, reports</w:t>
            </w:r>
          </w:p>
        </w:tc>
      </w:tr>
      <w:tr>
        <w:tc>
          <w:tcPr>
            <w:tcW w:type="dxa" w:w="3360"/>
            <w:tcMar>
              <w:top w:w="100" w:type="dxa"/>
              <w:start w:w="120" w:type="dxa"/>
              <w:bottom w:w="100" w:type="dxa"/>
              <w:end w:w="120" w:type="dxa"/>
            </w:tcMar>
            <w:vAlign w:val="center"/>
          </w:tcPr>
          <w:p>
            <w:pPr>
              <w:spacing w:after="0"/>
            </w:pPr>
            <w:r>
              <w:rPr>
                <w:sz w:val="18"/>
              </w:rPr>
              <w:t>Days 121-150</w:t>
            </w:r>
          </w:p>
        </w:tc>
        <w:tc>
          <w:tcPr>
            <w:tcW w:type="dxa" w:w="3360"/>
            <w:tcMar>
              <w:top w:w="100" w:type="dxa"/>
              <w:start w:w="120" w:type="dxa"/>
              <w:bottom w:w="100" w:type="dxa"/>
              <w:end w:w="120" w:type="dxa"/>
            </w:tcMar>
            <w:vAlign w:val="center"/>
          </w:tcPr>
          <w:p>
            <w:pPr>
              <w:spacing w:after="0"/>
            </w:pPr>
            <w:r>
              <w:rPr>
                <w:sz w:val="18"/>
              </w:rPr>
              <w:t>Analysis automation</w:t>
            </w:r>
          </w:p>
        </w:tc>
        <w:tc>
          <w:tcPr>
            <w:tcW w:type="dxa" w:w="3360"/>
            <w:tcMar>
              <w:top w:w="100" w:type="dxa"/>
              <w:start w:w="120" w:type="dxa"/>
              <w:bottom w:w="100" w:type="dxa"/>
              <w:end w:w="120" w:type="dxa"/>
            </w:tcMar>
            <w:vAlign w:val="center"/>
          </w:tcPr>
          <w:p>
            <w:pPr>
              <w:spacing w:after="0"/>
            </w:pPr>
            <w:r>
              <w:rPr>
                <w:sz w:val="18"/>
              </w:rPr>
              <w:t>Report parsing, normalized tradelines, issue flags, human review queue, progress reports</w:t>
            </w:r>
          </w:p>
        </w:tc>
      </w:tr>
      <w:tr>
        <w:tc>
          <w:tcPr>
            <w:tcW w:type="dxa" w:w="3360"/>
            <w:tcMar>
              <w:top w:w="100" w:type="dxa"/>
              <w:start w:w="120" w:type="dxa"/>
              <w:bottom w:w="100" w:type="dxa"/>
              <w:end w:w="120" w:type="dxa"/>
            </w:tcMar>
            <w:vAlign w:val="center"/>
          </w:tcPr>
          <w:p>
            <w:pPr>
              <w:spacing w:after="0"/>
            </w:pPr>
            <w:r>
              <w:rPr>
                <w:sz w:val="18"/>
              </w:rPr>
              <w:t>Days 151-180</w:t>
            </w:r>
          </w:p>
        </w:tc>
        <w:tc>
          <w:tcPr>
            <w:tcW w:type="dxa" w:w="3360"/>
            <w:tcMar>
              <w:top w:w="100" w:type="dxa"/>
              <w:start w:w="120" w:type="dxa"/>
              <w:bottom w:w="100" w:type="dxa"/>
              <w:end w:w="120" w:type="dxa"/>
            </w:tcMar>
            <w:vAlign w:val="center"/>
          </w:tcPr>
          <w:p>
            <w:pPr>
              <w:spacing w:after="0"/>
            </w:pPr>
            <w:r>
              <w:rPr>
                <w:sz w:val="18"/>
              </w:rPr>
              <w:t>Scale gate</w:t>
            </w:r>
          </w:p>
        </w:tc>
        <w:tc>
          <w:tcPr>
            <w:tcW w:type="dxa" w:w="3360"/>
            <w:tcMar>
              <w:top w:w="100" w:type="dxa"/>
              <w:start w:w="120" w:type="dxa"/>
              <w:bottom w:w="100" w:type="dxa"/>
              <w:end w:w="120" w:type="dxa"/>
            </w:tcMar>
            <w:vAlign w:val="center"/>
          </w:tcPr>
          <w:p>
            <w:pPr>
              <w:spacing w:after="0"/>
            </w:pPr>
            <w:r>
              <w:rPr>
                <w:sz w:val="18"/>
              </w:rPr>
              <w:t>Pilot audit, retention review, security test, pricing validation, hiring plan, next-market decision</w:t>
            </w:r>
          </w:p>
        </w:tc>
      </w:tr>
    </w:tbl>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Lending Readiness Partners | Enterprise Build Bible v2.0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43A63"/>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A8F62"/>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3D46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43A6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val="0"/>
      <w:i/>
      <w:iCs/>
      <w:color w:val="2A8F6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