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CODEBOOK AND DATA COLLECTION PROTOCOL</w:t>
      </w:r>
    </w:p>
    <w:p>
      <w:pPr>
        <w:spacing w:after="60"/>
      </w:pPr>
      <w:r>
        <w:rPr>
          <w:rFonts w:ascii="Arial" w:cs="Arial" w:eastAsia="Arial" w:hAnsi="Arial"/>
          <w:i/>
          <w:iCs/>
          <w:color w:val="2E75B6"/>
          <w:sz w:val="24"/>
          <w:szCs w:val="24"/>
        </w:rPr>
        <w:t xml:space="preserve">Strategic Communication and Immigration Enforcement: Twin Cities Nonprofit Multi-Platform Digital Communication</w:t>
      </w:r>
    </w:p>
    <w:p>
      <w:pPr>
        <w:pBdr>
          <w:bottom w:val="single" w:color="2E75B6" w:sz="6" w:space="1"/>
        </w:pBdr>
        <w:spacing w:after="300"/>
      </w:pPr>
      <w:r>
        <w:rPr>
          <w:rFonts w:ascii="Arial" w:cs="Arial" w:eastAsia="Arial" w:hAnsi="Arial"/>
          <w:color w:val="595959"/>
          <w:sz w:val="20"/>
          <w:szCs w:val="20"/>
        </w:rPr>
        <w:t xml:space="preserve">Study Period: October 1, 2025 – March 26, 2026   |   Version 1.0 — Pre-Pilot Draft</w:t>
      </w:r>
    </w:p>
    <w:p>
      <w:pPr>
        <w:pStyle w:val="Heading1"/>
        <w:spacing w:before="320" w:after="160"/>
      </w:pPr>
      <w:r>
        <w:rPr>
          <w:rFonts w:ascii="Arial" w:cs="Arial" w:eastAsia="Arial" w:hAnsi="Arial"/>
          <w:b/>
          <w:bCs/>
          <w:color w:val="1F3864"/>
          <w:sz w:val="32"/>
          <w:szCs w:val="32"/>
        </w:rPr>
        <w:t xml:space="preserve">PART A: DATA COLLECTION PROTOCOL</w:t>
      </w:r>
    </w:p>
    <w:p>
      <w:pPr>
        <w:pStyle w:val="Heading2"/>
        <w:spacing w:before="240" w:after="120"/>
      </w:pPr>
      <w:r>
        <w:rPr>
          <w:rFonts w:ascii="Arial" w:cs="Arial" w:eastAsia="Arial" w:hAnsi="Arial"/>
          <w:b/>
          <w:bCs/>
          <w:color w:val="2E75B6"/>
          <w:sz w:val="26"/>
          <w:szCs w:val="26"/>
        </w:rPr>
        <w:t xml:space="preserve">A1. Organizational Registry</w:t>
      </w:r>
    </w:p>
    <w:p>
      <w:pPr>
        <w:spacing w:after="140"/>
      </w:pPr>
      <w:r>
        <w:rPr>
          <w:rFonts w:ascii="Arial" w:cs="Arial" w:eastAsia="Arial" w:hAnsi="Arial"/>
          <w:sz w:val="22"/>
          <w:szCs w:val="22"/>
        </w:rPr>
        <w:t xml:space="preserve">Seven organizations constitute the primary sample. A potential eighth (Catholic Charities of St. Paul and Minneapolis) will be confirmed before data collection pending verification of active enforcement-related digital communication within the study period. All social media handles marked [v] require pre-collection verification.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100"/>
        <w:gridCol w:w="2080"/>
        <w:gridCol w:w="208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Organization</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Website News URL</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Facebook</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X / Twitter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ILCM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Legal-Service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ilcm.org/news/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immigrantlawcenterMN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@ILCM_MN [v]</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 Advocates for Human Rights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Legal-Svc + Adv</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theadvocatesforhumanrights.org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Unidos MN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Advocacy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unidos-mn.org/media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ICOM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Advocacy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mnicom.org/news/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IIMN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Direct-Service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iimn.org/news/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KOM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Direct-Service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mnkaren.org/resources/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Arrive Ministries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Direct-Svc (Faith)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arriveministries.org/news-stories/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arriveministries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[verify]</w:t>
            </w:r>
          </w:p>
        </w:tc>
      </w:tr>
    </w:tbl>
    <w:p>
      <w:pPr>
        <w:spacing w:after="100"/>
      </w:pPr>
      <w:r>
        <w:t xml:space="preserve"/>
      </w:r>
    </w:p>
    <w:p>
      <w:pPr>
        <w:pStyle w:val="Heading2"/>
        <w:spacing w:before="240" w:after="120"/>
      </w:pPr>
      <w:r>
        <w:rPr>
          <w:rFonts w:ascii="Arial" w:cs="Arial" w:eastAsia="Arial" w:hAnsi="Arial"/>
          <w:b/>
          <w:bCs/>
          <w:color w:val="2E75B6"/>
          <w:sz w:val="26"/>
          <w:szCs w:val="26"/>
        </w:rPr>
        <w:t xml:space="preserve">A2. Study Period and Temporal Scope</w:t>
      </w:r>
    </w:p>
    <w:p>
      <w:pPr>
        <w:spacing w:after="140"/>
      </w:pPr>
      <w:r>
        <w:rPr>
          <w:rFonts w:ascii="Arial" w:cs="Arial" w:eastAsia="Arial" w:hAnsi="Arial"/>
          <w:sz w:val="22"/>
          <w:szCs w:val="22"/>
        </w:rPr>
        <w:t xml:space="preserve">The study period is October 1, 2025 through March 26, 2026, divided into three phases:</w:t>
      </w:r>
    </w:p>
    <w:p>
      <w:pPr>
        <w:pStyle w:val="ListParagraph"/>
        <w:numPr>
          <w:ilvl w:val="0"/>
          <w:numId w:val="2"/>
        </w:numPr>
        <w:spacing w:after="80"/>
      </w:pPr>
      <w:r>
        <w:rPr>
          <w:rFonts w:ascii="Arial" w:cs="Arial" w:eastAsia="Arial" w:hAnsi="Arial"/>
          <w:sz w:val="22"/>
          <w:szCs w:val="22"/>
        </w:rPr>
        <w:t xml:space="preserve">Phase 1 — Pre-surge (Oct 1 – Nov 30, 2025): Baseline communication before concentrated enforcement began in the Twin Cities.</w:t>
      </w:r>
    </w:p>
    <w:p>
      <w:pPr>
        <w:pStyle w:val="ListParagraph"/>
        <w:numPr>
          <w:ilvl w:val="0"/>
          <w:numId w:val="2"/>
        </w:numPr>
        <w:spacing w:after="80"/>
      </w:pPr>
      <w:r>
        <w:rPr>
          <w:rFonts w:ascii="Arial" w:cs="Arial" w:eastAsia="Arial" w:hAnsi="Arial"/>
          <w:sz w:val="22"/>
          <w:szCs w:val="22"/>
        </w:rPr>
        <w:t xml:space="preserve">Phase 2 — Operation Metro Surge (Dec 1, 2025 – Feb 12, 2026): Peak enforcement period, concurrent with Operation PARRIS targeting lawfully present refugees.</w:t>
      </w:r>
    </w:p>
    <w:p>
      <w:pPr>
        <w:pStyle w:val="ListParagraph"/>
        <w:numPr>
          <w:ilvl w:val="0"/>
          <w:numId w:val="2"/>
        </w:numPr>
        <w:spacing w:after="80"/>
      </w:pPr>
      <w:r>
        <w:rPr>
          <w:rFonts w:ascii="Arial" w:cs="Arial" w:eastAsia="Arial" w:hAnsi="Arial"/>
          <w:sz w:val="22"/>
          <w:szCs w:val="22"/>
        </w:rPr>
        <w:t xml:space="preserve">Phase 3 — Aftermath (Feb 13 – Mar 26, 2026): Post-withdrawal organizational communication and institutional consolidation.</w:t>
      </w:r>
    </w:p>
    <w:p>
      <w:pPr>
        <w:spacing w:after="140"/>
      </w:pPr>
      <w:r>
        <w:rPr>
          <w:rFonts w:ascii="Arial" w:cs="Arial" w:eastAsia="Arial" w:hAnsi="Arial"/>
          <w:sz w:val="22"/>
          <w:szCs w:val="22"/>
        </w:rPr>
        <w:t xml:space="preserve">All units must carry a publication date within this window. Undated content is excluded unless the date can be confirmed through Internet Archive or metadata inspection.</w:t>
      </w:r>
    </w:p>
    <w:p>
      <w:pPr>
        <w:spacing w:after="100"/>
      </w:pPr>
      <w:r>
        <w:t xml:space="preserve"/>
      </w:r>
    </w:p>
    <w:p>
      <w:pPr>
        <w:pStyle w:val="Heading2"/>
        <w:spacing w:before="240" w:after="120"/>
      </w:pPr>
      <w:r>
        <w:rPr>
          <w:rFonts w:ascii="Arial" w:cs="Arial" w:eastAsia="Arial" w:hAnsi="Arial"/>
          <w:b/>
          <w:bCs/>
          <w:color w:val="2E75B6"/>
          <w:sz w:val="26"/>
          <w:szCs w:val="26"/>
        </w:rPr>
        <w:t xml:space="preserve">A3. Website Data Collection Procedure</w:t>
      </w:r>
    </w:p>
    <w:p>
      <w:pPr>
        <w:spacing w:before="160" w:after="80"/>
      </w:pPr>
      <w:r>
        <w:rPr>
          <w:rFonts w:ascii="Arial" w:cs="Arial" w:eastAsia="Arial" w:hAnsi="Arial"/>
          <w:b/>
          <w:bCs/>
          <w:sz w:val="22"/>
          <w:szCs w:val="22"/>
        </w:rPr>
        <w:t xml:space="preserve">Step 1 — Keyword Search</w:t>
      </w:r>
    </w:p>
    <w:p>
      <w:pPr>
        <w:spacing w:after="140"/>
      </w:pPr>
      <w:r>
        <w:rPr>
          <w:rFonts w:ascii="Arial" w:cs="Arial" w:eastAsia="Arial" w:hAnsi="Arial"/>
          <w:sz w:val="22"/>
          <w:szCs w:val="22"/>
        </w:rPr>
        <w:t xml:space="preserve">Apply the following terms to each organization’s news or media page using the site’s built-in search, or browser-level Ctrl+F on paginated archives. Log all returned pages before screening.</w:t>
      </w:r>
    </w:p>
    <w:p>
      <w:pPr>
        <w:pStyle w:val="ListParagraph"/>
        <w:numPr>
          <w:ilvl w:val="0"/>
          <w:numId w:val="2"/>
        </w:numPr>
        <w:spacing w:after="80"/>
      </w:pPr>
      <w:r>
        <w:rPr>
          <w:rFonts w:ascii="Arial" w:cs="Arial" w:eastAsia="Arial" w:hAnsi="Arial"/>
          <w:sz w:val="22"/>
          <w:szCs w:val="22"/>
        </w:rPr>
        <w:t xml:space="preserve">Primary: immigration, immigrant, ICE, raid, deportation, detention, enforcement</w:t>
      </w:r>
    </w:p>
    <w:p>
      <w:pPr>
        <w:pStyle w:val="ListParagraph"/>
        <w:numPr>
          <w:ilvl w:val="0"/>
          <w:numId w:val="2"/>
        </w:numPr>
        <w:spacing w:after="80"/>
      </w:pPr>
      <w:r>
        <w:rPr>
          <w:rFonts w:ascii="Arial" w:cs="Arial" w:eastAsia="Arial" w:hAnsi="Arial"/>
          <w:sz w:val="22"/>
          <w:szCs w:val="22"/>
        </w:rPr>
        <w:t xml:space="preserve">Secondary: asylum, undocumented, rapid response, know your rights, refugee, TPS, DACA, detainee</w:t>
      </w:r>
    </w:p>
    <w:p>
      <w:pPr>
        <w:pStyle w:val="ListParagraph"/>
        <w:numPr>
          <w:ilvl w:val="0"/>
          <w:numId w:val="2"/>
        </w:numPr>
        <w:spacing w:after="80"/>
      </w:pPr>
      <w:r>
        <w:rPr>
          <w:rFonts w:ascii="Arial" w:cs="Arial" w:eastAsia="Arial" w:hAnsi="Arial"/>
          <w:sz w:val="22"/>
          <w:szCs w:val="22"/>
        </w:rPr>
        <w:t xml:space="preserve">Event-specific: Operation Metro Surge, Operation PARRIS, Whipple, Renee Good</w:t>
      </w:r>
    </w:p>
    <w:p>
      <w:pPr>
        <w:spacing w:before="160" w:after="80"/>
      </w:pPr>
      <w:r>
        <w:rPr>
          <w:rFonts w:ascii="Arial" w:cs="Arial" w:eastAsia="Arial" w:hAnsi="Arial"/>
          <w:b/>
          <w:bCs/>
          <w:sz w:val="22"/>
          <w:szCs w:val="22"/>
        </w:rPr>
        <w:t xml:space="preserve">Step 2 — Relevance Screening (Three Gates)</w:t>
      </w:r>
    </w:p>
    <w:p>
      <w:pPr>
        <w:spacing w:after="140"/>
      </w:pPr>
      <w:r>
        <w:rPr>
          <w:rFonts w:ascii="Arial" w:cs="Arial" w:eastAsia="Arial" w:hAnsi="Arial"/>
          <w:sz w:val="22"/>
          <w:szCs w:val="22"/>
        </w:rPr>
        <w:t xml:space="preserve">Each candidate page must pass all three gates before inclusion:</w:t>
      </w:r>
    </w:p>
    <w:p>
      <w:pPr>
        <w:pStyle w:val="ListParagraph"/>
        <w:numPr>
          <w:ilvl w:val="0"/>
          <w:numId w:val="2"/>
        </w:numPr>
        <w:spacing w:after="80"/>
      </w:pPr>
      <w:r>
        <w:rPr>
          <w:rFonts w:ascii="Arial" w:cs="Arial" w:eastAsia="Arial" w:hAnsi="Arial"/>
          <w:sz w:val="22"/>
          <w:szCs w:val="22"/>
        </w:rPr>
        <w:t xml:space="preserve">GATE 1 — Topical: Page substantively addresses immigration enforcement, detention, deportation, legal rights of immigrants, rapid response, or community solidarity in an enforcement context. Incidental mentions (one sentence in a general page) are excluded.</w:t>
      </w:r>
    </w:p>
    <w:p>
      <w:pPr>
        <w:pStyle w:val="ListParagraph"/>
        <w:numPr>
          <w:ilvl w:val="0"/>
          <w:numId w:val="2"/>
        </w:numPr>
        <w:spacing w:after="80"/>
      </w:pPr>
      <w:r>
        <w:rPr>
          <w:rFonts w:ascii="Arial" w:cs="Arial" w:eastAsia="Arial" w:hAnsi="Arial"/>
          <w:sz w:val="22"/>
          <w:szCs w:val="22"/>
        </w:rPr>
        <w:t xml:space="preserve">GATE 2 — Temporal: Page was published or substantively updated between October 1, 2025 and March 26, 2026. Static pages unchanged within the study period are excluded unless they contain dated enforcement-specific content.</w:t>
      </w:r>
    </w:p>
    <w:p>
      <w:pPr>
        <w:pStyle w:val="ListParagraph"/>
        <w:numPr>
          <w:ilvl w:val="0"/>
          <w:numId w:val="2"/>
        </w:numPr>
        <w:spacing w:after="80"/>
      </w:pPr>
      <w:r>
        <w:rPr>
          <w:rFonts w:ascii="Arial" w:cs="Arial" w:eastAsia="Arial" w:hAnsi="Arial"/>
          <w:sz w:val="22"/>
          <w:szCs w:val="22"/>
        </w:rPr>
        <w:t xml:space="preserve">GATE 3 — Organizational: Content is produced and published by the sampled organization, not by a third party linked from the site. Organizational statements referencing external reports are included; embedded external documents are excluded.</w:t>
      </w:r>
    </w:p>
    <w:p>
      <w:pPr>
        <w:spacing w:before="160" w:after="80"/>
      </w:pPr>
      <w:r>
        <w:rPr>
          <w:rFonts w:ascii="Arial" w:cs="Arial" w:eastAsia="Arial" w:hAnsi="Arial"/>
          <w:b/>
          <w:bCs/>
          <w:sz w:val="22"/>
          <w:szCs w:val="22"/>
        </w:rPr>
        <w:t xml:space="preserve">Step 3 — Archiving</w:t>
      </w:r>
    </w:p>
    <w:p>
      <w:pPr>
        <w:spacing w:after="140"/>
      </w:pPr>
      <w:r>
        <w:rPr>
          <w:rFonts w:ascii="Arial" w:cs="Arial" w:eastAsia="Arial" w:hAnsi="Arial"/>
          <w:sz w:val="22"/>
          <w:szCs w:val="22"/>
        </w:rPr>
        <w:t xml:space="preserve">For all pages passing screening: capture a full-page screenshot, record the Internet Archive URL where available, and log all fields in the master data spreadsheet. Assign Unit_ID format: [ORG]-W-[NNN] (e.g., ILCM-W-001).</w:t>
      </w:r>
    </w:p>
    <w:p>
      <w:pPr>
        <w:spacing w:after="100"/>
      </w:pPr>
      <w:r>
        <w:t xml:space="preserve"/>
      </w:r>
    </w:p>
    <w:p>
      <w:pPr>
        <w:pStyle w:val="Heading2"/>
        <w:spacing w:before="240" w:after="120"/>
      </w:pPr>
      <w:r>
        <w:rPr>
          <w:rFonts w:ascii="Arial" w:cs="Arial" w:eastAsia="Arial" w:hAnsi="Arial"/>
          <w:b/>
          <w:bCs/>
          <w:color w:val="2E75B6"/>
          <w:sz w:val="26"/>
          <w:szCs w:val="26"/>
        </w:rPr>
        <w:t xml:space="preserve">A4. Social Media Data Collection Procedure</w:t>
      </w:r>
    </w:p>
    <w:p>
      <w:pPr>
        <w:spacing w:after="140"/>
      </w:pPr>
      <w:r>
        <w:rPr>
          <w:rFonts w:ascii="Arial" w:cs="Arial" w:eastAsia="Arial" w:hAnsi="Arial"/>
          <w:sz w:val="22"/>
          <w:szCs w:val="22"/>
        </w:rPr>
        <w:t xml:space="preserve">Collect from public Facebook pages and X accounts. Proceed by manual archiving of public content in reverse chronological order from March 26, 2026 backward through October 1, 2025. Apply the same three relevance gates used for website content.</w:t>
      </w:r>
    </w:p>
    <w:p>
      <w:pPr>
        <w:pStyle w:val="ListParagraph"/>
        <w:numPr>
          <w:ilvl w:val="0"/>
          <w:numId w:val="2"/>
        </w:numPr>
        <w:spacing w:after="80"/>
      </w:pPr>
      <w:r>
        <w:rPr>
          <w:rFonts w:ascii="Arial" w:cs="Arial" w:eastAsia="Arial" w:hAnsi="Arial"/>
          <w:sz w:val="22"/>
          <w:szCs w:val="22"/>
        </w:rPr>
        <w:t xml:space="preserve">For each relevant post: record full text, date/time, visible engagement metrics (reactions, shares, comments), and any embedded link description. Take a full screenshot.</w:t>
      </w:r>
    </w:p>
    <w:p>
      <w:pPr>
        <w:pStyle w:val="ListParagraph"/>
        <w:numPr>
          <w:ilvl w:val="0"/>
          <w:numId w:val="2"/>
        </w:numPr>
        <w:spacing w:after="80"/>
      </w:pPr>
      <w:r>
        <w:rPr>
          <w:rFonts w:ascii="Arial" w:cs="Arial" w:eastAsia="Arial" w:hAnsi="Arial"/>
          <w:sz w:val="22"/>
          <w:szCs w:val="22"/>
        </w:rPr>
        <w:t xml:space="preserve">Stop collection at 30 enforcement-relevant posts per platform per organization, OR at the beginning of the study period — whichever comes first.</w:t>
      </w:r>
    </w:p>
    <w:p>
      <w:pPr>
        <w:pStyle w:val="ListParagraph"/>
        <w:numPr>
          <w:ilvl w:val="0"/>
          <w:numId w:val="2"/>
        </w:numPr>
        <w:spacing w:after="80"/>
      </w:pPr>
      <w:r>
        <w:rPr>
          <w:rFonts w:ascii="Arial" w:cs="Arial" w:eastAsia="Arial" w:hAnsi="Arial"/>
          <w:sz w:val="22"/>
          <w:szCs w:val="22"/>
        </w:rPr>
        <w:t xml:space="preserve">Assign Unit_ID format: [ORG]-FB-[NNN] or [ORG]-X-[NNN] (e.g., ILCM-FB-001).</w:t>
      </w:r>
    </w:p>
    <w:p>
      <w:pPr>
        <w:pBdr>
          <w:left w:val="single" w:color="2E75B6" w:sz="6" w:space="6"/>
        </w:pBdr>
        <w:spacing w:before="80" w:after="140"/>
        <w:ind w:left="400"/>
      </w:pPr>
      <w:r>
        <w:rPr>
          <w:rFonts w:ascii="Arial" w:cs="Arial" w:eastAsia="Arial" w:hAnsi="Arial"/>
          <w:i/>
          <w:iCs/>
          <w:color w:val="2E75B6"/>
          <w:sz w:val="20"/>
          <w:szCs w:val="20"/>
        </w:rPr>
        <w:t xml:space="preserve">If an organization has fewer than 5 enforcement-relevant posts on a given platform within the study period, flag as “low-volume” in the master log. Do not exclude the organization from the sample.</w:t>
      </w:r>
    </w:p>
    <w:p>
      <w:pPr>
        <w:spacing w:after="100"/>
      </w:pPr>
      <w:r>
        <w:t xml:space="preserve"/>
      </w:r>
    </w:p>
    <w:p>
      <w:pPr>
        <w:pStyle w:val="Heading2"/>
        <w:spacing w:before="240" w:after="120"/>
      </w:pPr>
      <w:r>
        <w:rPr>
          <w:rFonts w:ascii="Arial" w:cs="Arial" w:eastAsia="Arial" w:hAnsi="Arial"/>
          <w:b/>
          <w:bCs/>
          <w:color w:val="2E75B6"/>
          <w:sz w:val="26"/>
          <w:szCs w:val="26"/>
        </w:rPr>
        <w:t xml:space="preserve">A5. Master Data Spreadsheet Structure</w:t>
      </w:r>
    </w:p>
    <w:p>
      <w:pPr>
        <w:spacing w:after="140"/>
      </w:pPr>
      <w:r>
        <w:rPr>
          <w:rFonts w:ascii="Arial" w:cs="Arial" w:eastAsia="Arial" w:hAnsi="Arial"/>
          <w:sz w:val="22"/>
          <w:szCs w:val="22"/>
        </w:rPr>
        <w:t xml:space="preserve">All units are logged in a single master spreadsheet before coding. Required fields:</w:t>
      </w:r>
    </w:p>
    <w:p>
      <w:pPr>
        <w:pStyle w:val="ListParagraph"/>
        <w:numPr>
          <w:ilvl w:val="0"/>
          <w:numId w:val="2"/>
        </w:numPr>
        <w:spacing w:after="80"/>
      </w:pPr>
      <w:r>
        <w:rPr>
          <w:rFonts w:ascii="Arial" w:cs="Arial" w:eastAsia="Arial" w:hAnsi="Arial"/>
          <w:sz w:val="22"/>
          <w:szCs w:val="22"/>
        </w:rPr>
        <w:t xml:space="preserve">Unit_ID — unique identifier ([ORG]-[PLATFORM]-[NNN])</w:t>
      </w:r>
    </w:p>
    <w:p>
      <w:pPr>
        <w:pStyle w:val="ListParagraph"/>
        <w:numPr>
          <w:ilvl w:val="0"/>
          <w:numId w:val="2"/>
        </w:numPr>
        <w:spacing w:after="80"/>
      </w:pPr>
      <w:r>
        <w:rPr>
          <w:rFonts w:ascii="Arial" w:cs="Arial" w:eastAsia="Arial" w:hAnsi="Arial"/>
          <w:sz w:val="22"/>
          <w:szCs w:val="22"/>
        </w:rPr>
        <w:t xml:space="preserve">Org_ID — organization code (ILCM / ADV / UMN / ICOM / IIMN / KOM / ARR)</w:t>
      </w:r>
    </w:p>
    <w:p>
      <w:pPr>
        <w:pStyle w:val="ListParagraph"/>
        <w:numPr>
          <w:ilvl w:val="0"/>
          <w:numId w:val="2"/>
        </w:numPr>
        <w:spacing w:after="80"/>
      </w:pPr>
      <w:r>
        <w:rPr>
          <w:rFonts w:ascii="Arial" w:cs="Arial" w:eastAsia="Arial" w:hAnsi="Arial"/>
          <w:sz w:val="22"/>
          <w:szCs w:val="22"/>
        </w:rPr>
        <w:t xml:space="preserve">Org_Type — LS (legal-service) / DS (direct-service) / AO (advocacy-oriented)</w:t>
      </w:r>
    </w:p>
    <w:p>
      <w:pPr>
        <w:pStyle w:val="ListParagraph"/>
        <w:numPr>
          <w:ilvl w:val="0"/>
          <w:numId w:val="2"/>
        </w:numPr>
        <w:spacing w:after="80"/>
      </w:pPr>
      <w:r>
        <w:rPr>
          <w:rFonts w:ascii="Arial" w:cs="Arial" w:eastAsia="Arial" w:hAnsi="Arial"/>
          <w:sz w:val="22"/>
          <w:szCs w:val="22"/>
        </w:rPr>
        <w:t xml:space="preserve">Platform — W (website) / FB (Facebook) / X</w:t>
      </w:r>
    </w:p>
    <w:p>
      <w:pPr>
        <w:pStyle w:val="ListParagraph"/>
        <w:numPr>
          <w:ilvl w:val="0"/>
          <w:numId w:val="2"/>
        </w:numPr>
        <w:spacing w:after="80"/>
      </w:pPr>
      <w:r>
        <w:rPr>
          <w:rFonts w:ascii="Arial" w:cs="Arial" w:eastAsia="Arial" w:hAnsi="Arial"/>
          <w:sz w:val="22"/>
          <w:szCs w:val="22"/>
        </w:rPr>
        <w:t xml:space="preserve">Date — publication date (YYYY-MM-DD)</w:t>
      </w:r>
    </w:p>
    <w:p>
      <w:pPr>
        <w:pStyle w:val="ListParagraph"/>
        <w:numPr>
          <w:ilvl w:val="0"/>
          <w:numId w:val="2"/>
        </w:numPr>
        <w:spacing w:after="80"/>
      </w:pPr>
      <w:r>
        <w:rPr>
          <w:rFonts w:ascii="Arial" w:cs="Arial" w:eastAsia="Arial" w:hAnsi="Arial"/>
          <w:sz w:val="22"/>
          <w:szCs w:val="22"/>
        </w:rPr>
        <w:t xml:space="preserve">Phase — 1 (pre-surge) / 2 (Metro Surge) / 3 (aftermath)</w:t>
      </w:r>
    </w:p>
    <w:p>
      <w:pPr>
        <w:pStyle w:val="ListParagraph"/>
        <w:numPr>
          <w:ilvl w:val="0"/>
          <w:numId w:val="2"/>
        </w:numPr>
        <w:spacing w:after="80"/>
      </w:pPr>
      <w:r>
        <w:rPr>
          <w:rFonts w:ascii="Arial" w:cs="Arial" w:eastAsia="Arial" w:hAnsi="Arial"/>
          <w:sz w:val="22"/>
          <w:szCs w:val="22"/>
        </w:rPr>
        <w:t xml:space="preserve">URL — full page or post URL</w:t>
      </w:r>
    </w:p>
    <w:p>
      <w:pPr>
        <w:pStyle w:val="ListParagraph"/>
        <w:numPr>
          <w:ilvl w:val="0"/>
          <w:numId w:val="2"/>
        </w:numPr>
        <w:spacing w:after="80"/>
      </w:pPr>
      <w:r>
        <w:rPr>
          <w:rFonts w:ascii="Arial" w:cs="Arial" w:eastAsia="Arial" w:hAnsi="Arial"/>
          <w:sz w:val="22"/>
          <w:szCs w:val="22"/>
        </w:rPr>
        <w:t xml:space="preserve">Title_or_First50 — page title or first 50 characters of post text</w:t>
      </w:r>
    </w:p>
    <w:p>
      <w:pPr>
        <w:pStyle w:val="ListParagraph"/>
        <w:numPr>
          <w:ilvl w:val="0"/>
          <w:numId w:val="2"/>
        </w:numPr>
        <w:spacing w:after="80"/>
      </w:pPr>
      <w:r>
        <w:rPr>
          <w:rFonts w:ascii="Arial" w:cs="Arial" w:eastAsia="Arial" w:hAnsi="Arial"/>
          <w:sz w:val="22"/>
          <w:szCs w:val="22"/>
        </w:rPr>
        <w:t xml:space="preserve">WordCount — approximate word count</w:t>
      </w:r>
    </w:p>
    <w:p>
      <w:pPr>
        <w:pStyle w:val="ListParagraph"/>
        <w:numPr>
          <w:ilvl w:val="0"/>
          <w:numId w:val="2"/>
        </w:numPr>
        <w:spacing w:after="80"/>
      </w:pPr>
      <w:r>
        <w:rPr>
          <w:rFonts w:ascii="Arial" w:cs="Arial" w:eastAsia="Arial" w:hAnsi="Arial"/>
          <w:sz w:val="22"/>
          <w:szCs w:val="22"/>
        </w:rPr>
        <w:t xml:space="preserve">Screenshot_File — filename of archived screenshot</w:t>
      </w:r>
    </w:p>
    <w:p>
      <w:pPr>
        <w:pStyle w:val="ListParagraph"/>
        <w:numPr>
          <w:ilvl w:val="0"/>
          <w:numId w:val="2"/>
        </w:numPr>
        <w:spacing w:after="80"/>
      </w:pPr>
      <w:r>
        <w:rPr>
          <w:rFonts w:ascii="Arial" w:cs="Arial" w:eastAsia="Arial" w:hAnsi="Arial"/>
          <w:sz w:val="22"/>
          <w:szCs w:val="22"/>
        </w:rPr>
        <w:t xml:space="preserve">FRAME1, FRAME2, TONE1, TONE2, TPUB, CTA, ROLE — coding fields (blank at collection stage)</w:t>
      </w:r>
    </w:p>
    <w:p>
      <w:pPr>
        <w:pStyle w:val="ListParagraph"/>
        <w:numPr>
          <w:ilvl w:val="0"/>
          <w:numId w:val="2"/>
        </w:numPr>
        <w:spacing w:after="80"/>
      </w:pPr>
      <w:r>
        <w:rPr>
          <w:rFonts w:ascii="Arial" w:cs="Arial" w:eastAsia="Arial" w:hAnsi="Arial"/>
          <w:sz w:val="22"/>
          <w:szCs w:val="22"/>
        </w:rPr>
        <w:t xml:space="preserve">Coder1, Coder2 — coder initials for reliability subset</w:t>
      </w:r>
    </w:p>
    <w:p>
      <w:pPr>
        <w:spacing w:after="100"/>
      </w:pPr>
      <w:r>
        <w:t xml:space="preserve"/>
      </w:r>
    </w:p>
    <w:p>
      <w:pPr>
        <w:pStyle w:val="Heading1"/>
        <w:spacing w:before="320" w:after="160"/>
      </w:pPr>
      <w:r>
        <w:rPr>
          <w:rFonts w:ascii="Arial" w:cs="Arial" w:eastAsia="Arial" w:hAnsi="Arial"/>
          <w:b/>
          <w:bCs/>
          <w:color w:val="1F3864"/>
          <w:sz w:val="32"/>
          <w:szCs w:val="32"/>
        </w:rPr>
        <w:t xml:space="preserve">PART B: CODEBOOK</w:t>
      </w:r>
    </w:p>
    <w:p>
      <w:pPr>
        <w:spacing w:after="140"/>
      </w:pPr>
      <w:r>
        <w:rPr>
          <w:rFonts w:ascii="Arial" w:cs="Arial" w:eastAsia="Arial" w:hAnsi="Arial"/>
          <w:sz w:val="22"/>
          <w:szCs w:val="22"/>
        </w:rPr>
        <w:t xml:space="preserve">This codebook operationalizes the five analytical variables applied to all units. All variables are coded from the unit’s primary content: headline, body text, and any explicit call-to-action language. Visual elements are not coded but may be noted in a supplementary field. The same coding scheme applies to both website and social media units.</w:t>
      </w:r>
    </w:p>
    <w:p>
      <w:pPr>
        <w:spacing w:after="100"/>
      </w:pPr>
      <w:r>
        <w:t xml:space="preserve"/>
      </w:r>
    </w:p>
    <w:p>
      <w:pPr>
        <w:pStyle w:val="Heading2"/>
        <w:spacing w:before="240" w:after="120"/>
      </w:pPr>
      <w:r>
        <w:rPr>
          <w:rFonts w:ascii="Arial" w:cs="Arial" w:eastAsia="Arial" w:hAnsi="Arial"/>
          <w:b/>
          <w:bCs/>
          <w:color w:val="2E75B6"/>
          <w:sz w:val="26"/>
          <w:szCs w:val="26"/>
        </w:rPr>
        <w:t xml:space="preserve">B1. Dominant Frame (FRAME1 and FRAME2)</w:t>
      </w:r>
    </w:p>
    <w:p>
      <w:pPr>
        <w:spacing w:after="140"/>
      </w:pPr>
      <w:r>
        <w:rPr>
          <w:rFonts w:ascii="Arial" w:cs="Arial" w:eastAsia="Arial" w:hAnsi="Arial"/>
          <w:sz w:val="22"/>
          <w:szCs w:val="22"/>
        </w:rPr>
        <w:t xml:space="preserve">Definition: The overarching interpretive logic through which the unit positions immigration enforcement as a social problem. A frame is identified by: (a) the problem it defines, (b) the causal attribution it implies, (c) the moral evaluation it carries, and (d) the remedy or response it suggests (Entman, 1993).</w:t>
      </w:r>
    </w:p>
    <w:p>
      <w:pPr>
        <w:spacing w:after="140"/>
      </w:pPr>
      <w:r>
        <w:rPr>
          <w:rFonts w:ascii="Arial" w:cs="Arial" w:eastAsia="Arial" w:hAnsi="Arial"/>
          <w:sz w:val="22"/>
          <w:szCs w:val="22"/>
        </w:rPr>
        <w:t xml:space="preserve">Coding rule: Code FRAME1 for all units. Code FRAME2 only when a distinct second frame is clearly and substantially present — not merely referenced. If only one frame is identifiable, code FRAME2 as “None.” When two frames seem equally present, assign FRAME1 to the frame appearing earlier in the text and receiving more elaboration.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60"/>
        <w:gridCol w:w="37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Operational Definition</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Anchor Example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Legal Rights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a constitutional, statutory, or procedural rights issue. Language foregrounds due process, Fourth/Fifth Amendment protections, right to counsel, court orders, or legal violations.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Know Your Rights advisory listing constitutional protections against warrantless entry; press release on court injunction blocking enforcement.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Human Rights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a violation of universal human dignity or international norms, independent of U.S. legal frameworks.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Statement that enforcement violates international refugee law; framing deportation as a crime against human dignity.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Humanitarian Care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producing human suffering requiring compassionate organizational response. Language foregrounds individual stories, family separation, fear, grief, or vulnerability.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Story of family separated by arrest; description of welfare checks and grocery deliveries to isolated families.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Crisis / Emergency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an acute and immediate threat requiring rapid protective action. Language foregrounds urgency, danger, time-sensitivity, and emergency response protocols.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Rapid response alert; emergency legal clinic announcement; real-time enforcement location updates.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Justice / Advocacy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systemic injustice requiring structural change or collective mobilization. Language foregrounds systemic racism, policy failure, or need for legislative or institutional reform.</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Statement calling for end to ICE cooperation agreements; campaign to pass state legislation limiting enforcement cooperation.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Community Solidarity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a shared community threat requiring mutual support and collective resilience. Language foregrounds communal bonds, shared fate, and responsibility to support one another.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Vigil announcement emphasizing community presence as protection; call for neighbor support networks.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Policy Reform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Enforcement framed as a policy failure requiring specific named legislative or administrative remedy.</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Campaign for named state or federal legislation (e.g., North STAR Act); advocacy for specific DHS policy change.</w:t>
            </w:r>
          </w:p>
        </w:tc>
      </w:tr>
    </w:tbl>
    <w:p>
      <w:pPr>
        <w:spacing w:after="100"/>
      </w:pPr>
      <w:r>
        <w:t xml:space="preserve"/>
      </w:r>
    </w:p>
    <w:p>
      <w:pPr>
        <w:pBdr>
          <w:left w:val="single" w:color="2E75B6" w:sz="6" w:space="6"/>
        </w:pBdr>
        <w:spacing w:before="80" w:after="140"/>
        <w:ind w:left="400"/>
      </w:pPr>
      <w:r>
        <w:rPr>
          <w:rFonts w:ascii="Arial" w:cs="Arial" w:eastAsia="Arial" w:hAnsi="Arial"/>
          <w:i/>
          <w:iCs/>
          <w:color w:val="2E75B6"/>
          <w:sz w:val="20"/>
          <w:szCs w:val="20"/>
        </w:rPr>
        <w:t xml:space="preserve">F1 vs F2: F1 foregrounds specific U.S. legal instruments or constitutional provisions. F2 foregrounds universal or international norms. A KYR advisory = F1. A statement that enforcement violates human dignity regardless of legal status = F2.</w:t>
      </w:r>
    </w:p>
    <w:p>
      <w:pPr>
        <w:pBdr>
          <w:left w:val="single" w:color="2E75B6" w:sz="6" w:space="6"/>
        </w:pBdr>
        <w:spacing w:before="80" w:after="140"/>
        <w:ind w:left="400"/>
      </w:pPr>
      <w:r>
        <w:rPr>
          <w:rFonts w:ascii="Arial" w:cs="Arial" w:eastAsia="Arial" w:hAnsi="Arial"/>
          <w:i/>
          <w:iCs/>
          <w:color w:val="2E75B6"/>
          <w:sz w:val="20"/>
          <w:szCs w:val="20"/>
        </w:rPr>
        <w:t xml:space="preserve">F5 vs F7: F5 foregrounds systemic critique and collective mobilization without naming specific legislation. F7 foregrounds a specific named legislative or regulatory remedy. “End the deportation machine” = F5. “Pass the North STAR Act” = F7.</w:t>
      </w:r>
    </w:p>
    <w:p>
      <w:pPr>
        <w:spacing w:after="100"/>
      </w:pPr>
      <w:r>
        <w:t xml:space="preserve"/>
      </w:r>
    </w:p>
    <w:p>
      <w:pPr>
        <w:pStyle w:val="Heading2"/>
        <w:spacing w:before="240" w:after="120"/>
      </w:pPr>
      <w:r>
        <w:rPr>
          <w:rFonts w:ascii="Arial" w:cs="Arial" w:eastAsia="Arial" w:hAnsi="Arial"/>
          <w:b/>
          <w:bCs/>
          <w:color w:val="2E75B6"/>
          <w:sz w:val="26"/>
          <w:szCs w:val="26"/>
        </w:rPr>
        <w:t xml:space="preserve">B2. Tone (TONE1 and TONE2)</w:t>
      </w:r>
    </w:p>
    <w:p>
      <w:pPr>
        <w:spacing w:after="140"/>
      </w:pPr>
      <w:r>
        <w:rPr>
          <w:rFonts w:ascii="Arial" w:cs="Arial" w:eastAsia="Arial" w:hAnsi="Arial"/>
          <w:sz w:val="22"/>
          <w:szCs w:val="22"/>
        </w:rPr>
        <w:t xml:space="preserve">Definition: The dominant affective and rhetorical register of the unit — the emotional stance the organization takes toward enforcement and toward its audience.</w:t>
      </w:r>
    </w:p>
    <w:p>
      <w:pPr>
        <w:spacing w:after="140"/>
      </w:pPr>
      <w:r>
        <w:rPr>
          <w:rFonts w:ascii="Arial" w:cs="Arial" w:eastAsia="Arial" w:hAnsi="Arial"/>
          <w:sz w:val="22"/>
          <w:szCs w:val="22"/>
        </w:rPr>
        <w:t xml:space="preserve">Coding rule: Code TONE1 for all units. Code TONE2 only if a second distinct affective register is clearly and substantially present. Tone is assessed at the unit level, not sentence level.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60"/>
        <w:gridCol w:w="37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Operational Definition</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Anchor Example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Urgent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Language conveys immediate threat, time pressure, or emergency. Imperative verbs, real-time updates, calls for immediate action.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“Act NOW.” “Enforcement is happening in your neighborhood today.” “Emergency legal clinic — tonight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Reassuring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Language conveys organizational reliability, community safety, and calm confidence. Emphasizes what the organization IS doing and can be trusted to do.</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“We are here for you.” “Our staff are available 24/7.” “Your rights remain intact.”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Informational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Neutral, factual, instructional language without marked emotional register. Facts, procedures, or resources presented without explicit advocacy or affect.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KYR factsheet in bullet-point format; resource directory listing; legal procedure explanation.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Mobilizing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Language explicitly calls for collective action, participation, or solidarity. Uses “we,” “join us,” “together.” Addresses the audience as agents of change.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“Join us at the vigil.” “Sign the petition.” “Call your legislator today.”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Compassionate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Language foregrounds emotional connection, grief, sorrow, or empathetic care for affected individuals. Centers human experience over legal or procedural content.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Tribute to community member killed by ICE; description of children separated from parents.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Confrontational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Language explicitly challenges government authority, names DHS/ICE as wrongdoers, or adopts an oppositional stance toward enforcement actors.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“ICE terrorizes communities.” “We condemn this illegal operation.” “Hold DHS accountable.”</w:t>
            </w:r>
          </w:p>
        </w:tc>
      </w:tr>
    </w:tbl>
    <w:p>
      <w:pPr>
        <w:spacing w:after="100"/>
      </w:pPr>
      <w:r>
        <w:t xml:space="preserve"/>
      </w:r>
    </w:p>
    <w:p>
      <w:pPr>
        <w:pBdr>
          <w:left w:val="single" w:color="2E75B6" w:sz="6" w:space="6"/>
        </w:pBdr>
        <w:spacing w:before="80" w:after="140"/>
        <w:ind w:left="400"/>
      </w:pPr>
      <w:r>
        <w:rPr>
          <w:rFonts w:ascii="Arial" w:cs="Arial" w:eastAsia="Arial" w:hAnsi="Arial"/>
          <w:i/>
          <w:iCs/>
          <w:color w:val="2E75B6"/>
          <w:sz w:val="20"/>
          <w:szCs w:val="20"/>
        </w:rPr>
        <w:t xml:space="preserve">T1 vs T4: T1 is about time pressure and immediate threat. T4 is about collective action and solidarity. Emergency rapid response alert = T1. Vigil invitation = T4. Both can co-occur (TONE1=T1, TONE2=T4).</w:t>
      </w:r>
    </w:p>
    <w:p>
      <w:pPr>
        <w:pBdr>
          <w:left w:val="single" w:color="2E75B6" w:sz="6" w:space="6"/>
        </w:pBdr>
        <w:spacing w:before="80" w:after="140"/>
        <w:ind w:left="400"/>
      </w:pPr>
      <w:r>
        <w:rPr>
          <w:rFonts w:ascii="Arial" w:cs="Arial" w:eastAsia="Arial" w:hAnsi="Arial"/>
          <w:i/>
          <w:iCs/>
          <w:color w:val="2E75B6"/>
          <w:sz w:val="20"/>
          <w:szCs w:val="20"/>
        </w:rPr>
        <w:t xml:space="preserve">T2 vs T3: T2 has an explicit affective register of comfort and organizational reliability. T3 is affectively neutral. A factsheet with no affective language = T3. The same factsheet opening with “We are here and we will protect you” = T2.</w:t>
      </w:r>
    </w:p>
    <w:p>
      <w:pPr>
        <w:spacing w:after="100"/>
      </w:pPr>
      <w:r>
        <w:t xml:space="preserve"/>
      </w:r>
    </w:p>
    <w:p>
      <w:pPr>
        <w:pStyle w:val="Heading2"/>
        <w:spacing w:before="240" w:after="120"/>
      </w:pPr>
      <w:r>
        <w:rPr>
          <w:rFonts w:ascii="Arial" w:cs="Arial" w:eastAsia="Arial" w:hAnsi="Arial"/>
          <w:b/>
          <w:bCs/>
          <w:color w:val="2E75B6"/>
          <w:sz w:val="26"/>
          <w:szCs w:val="26"/>
        </w:rPr>
        <w:t xml:space="preserve">B3. Target Public (TPUB)</w:t>
      </w:r>
    </w:p>
    <w:p>
      <w:pPr>
        <w:spacing w:after="140"/>
      </w:pPr>
      <w:r>
        <w:rPr>
          <w:rFonts w:ascii="Arial" w:cs="Arial" w:eastAsia="Arial" w:hAnsi="Arial"/>
          <w:sz w:val="22"/>
          <w:szCs w:val="22"/>
        </w:rPr>
        <w:t xml:space="preserve">Definition: The primary intended audience of the unit, inferred from content, language register, pronoun use, and any explicit address.</w:t>
      </w:r>
    </w:p>
    <w:p>
      <w:pPr>
        <w:spacing w:after="140"/>
      </w:pPr>
      <w:r>
        <w:rPr>
          <w:rFonts w:ascii="Arial" w:cs="Arial" w:eastAsia="Arial" w:hAnsi="Arial"/>
          <w:sz w:val="22"/>
          <w:szCs w:val="22"/>
        </w:rPr>
        <w:t xml:space="preserve">Coding rule: Code ONE target public per unit — the audience most directly and extensively addressed.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60"/>
        <w:gridCol w:w="37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Operational Definition</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Anchor Example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Immigrants / Families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directly addresses immigrants, refugees, or their family members. Uses second-person address to affected individuals or foregrounds their specific needs and rights.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KYR advisory addressed to “you and your family.” Rapid response guide for immigrants who encounter 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Donors / Supporters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primarily addresses financial or material supporters. Foregrounds fundraising, impact data, or donor gratitude.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End-of-year donor appeal. Fundraising campaign for emergency legal fund.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Volunteers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primarily addresses potential or current volunteers. Foregrounds volunteer roles, training, or time-based calls to action.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Volunteer recruitment post for KYR training. Call for interpreters.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Policymakers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primarily addresses elected officials, government agencies, or institutional decision-makers.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Letter to state legislature. Statement addressed to DHS Secretary. Testimony 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General Public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addresses broad civic audience without a specific identity marker. Seeks to educate, inform, or shift opinion among non-community members.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Media statement on Operation Metro Surge. General informational blog post.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Coalition / Partners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primarily addresses allied organizations, peer institutions, or the organizational network.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Coalition update from ICOM’s North STAR Alliance. Letter to partner organizations on rapid response coordination.</w:t>
            </w:r>
          </w:p>
        </w:tc>
      </w:tr>
    </w:tbl>
    <w:p>
      <w:pPr>
        <w:spacing w:after="100"/>
      </w:pPr>
      <w:r>
        <w:t xml:space="preserve"/>
      </w:r>
    </w:p>
    <w:p>
      <w:pPr>
        <w:pStyle w:val="Heading2"/>
        <w:spacing w:before="240" w:after="120"/>
      </w:pPr>
      <w:r>
        <w:rPr>
          <w:rFonts w:ascii="Arial" w:cs="Arial" w:eastAsia="Arial" w:hAnsi="Arial"/>
          <w:b/>
          <w:bCs/>
          <w:color w:val="2E75B6"/>
          <w:sz w:val="26"/>
          <w:szCs w:val="26"/>
        </w:rPr>
        <w:t xml:space="preserve">B4. Call to Action (CTA)</w:t>
      </w:r>
    </w:p>
    <w:p>
      <w:pPr>
        <w:spacing w:after="140"/>
      </w:pPr>
      <w:r>
        <w:rPr>
          <w:rFonts w:ascii="Arial" w:cs="Arial" w:eastAsia="Arial" w:hAnsi="Arial"/>
          <w:sz w:val="22"/>
          <w:szCs w:val="22"/>
        </w:rPr>
        <w:t xml:space="preserve">Definition: The most prominent explicit behavioral directive in the unit — what the organization asks its audience to DO.</w:t>
      </w:r>
    </w:p>
    <w:p>
      <w:pPr>
        <w:spacing w:after="140"/>
      </w:pPr>
      <w:r>
        <w:rPr>
          <w:rFonts w:ascii="Arial" w:cs="Arial" w:eastAsia="Arial" w:hAnsi="Arial"/>
          <w:sz w:val="22"/>
          <w:szCs w:val="22"/>
        </w:rPr>
        <w:t xml:space="preserve">Coding rule: Code ONE CTA per unit — the most prominent and specific directive. “Most prominent” means: appears earliest, occupies most space, or is expressed with the strongest imperative language. If no explicit directive, code CTA0.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60"/>
        <w:gridCol w:w="37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Operational Definition</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Anchor Example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Seek Legal Help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directs audience to contact a legal service, call a hotline, schedule a consultation, or access legal assistance.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“Call ILCM’s detention line.” “Schedule a free consultation.”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Donate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solicits financial contributions, gifts, or material donations.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“Donate to our emergency legal fund.” “Give today to support rapid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Volunteer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solicits time, labor, or skills from audience.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“Sign up to volunteer at our KYR clinic.” “We need interpreters.”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Attend Event / Training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directs audience to attend a specific event, vigil, training, or hearing.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“Join us Tuesday at Whipple.” “Attend our Know Your Rights training.” “March with us January 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Contact Lawmakers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directs audience to contact elected officials or government bodies.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“Call your senator.” “Sign the petition to Governor Walz.”</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Share Resources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directs audience to forward or distribute information to others.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“Share this with your neighbors.” “Forward this to your community network.”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 Enforcement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directs audience to report ICE sightings or enforcement activity to a rapid response network or hotline.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“Call the rapid response line if you see ICE.”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CTA0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 CTA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Unit contains no explicit behavioral directive. Informational, solidarity, or retrospective content without a specific audience action.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Statement of solidarity. News summary of court ruling. Tribute post.</w:t>
            </w:r>
          </w:p>
        </w:tc>
      </w:tr>
    </w:tbl>
    <w:p>
      <w:pPr>
        <w:spacing w:after="100"/>
      </w:pPr>
      <w:r>
        <w:t xml:space="preserve"/>
      </w:r>
    </w:p>
    <w:p>
      <w:pPr>
        <w:pStyle w:val="Heading2"/>
        <w:spacing w:before="240" w:after="120"/>
      </w:pPr>
      <w:r>
        <w:rPr>
          <w:rFonts w:ascii="Arial" w:cs="Arial" w:eastAsia="Arial" w:hAnsi="Arial"/>
          <w:b/>
          <w:bCs/>
          <w:color w:val="2E75B6"/>
          <w:sz w:val="26"/>
          <w:szCs w:val="26"/>
        </w:rPr>
        <w:t xml:space="preserve">B5. Projected Organizational Role (ROLE)</w:t>
      </w:r>
    </w:p>
    <w:p>
      <w:pPr>
        <w:spacing w:after="140"/>
      </w:pPr>
      <w:r>
        <w:rPr>
          <w:rFonts w:ascii="Arial" w:cs="Arial" w:eastAsia="Arial" w:hAnsi="Arial"/>
          <w:sz w:val="22"/>
          <w:szCs w:val="22"/>
        </w:rPr>
        <w:t xml:space="preserve">Definition: The institutional identity the organization implicitly projects through the unit’s content, framing, and self-presentation — the role being performed, not merely described.</w:t>
      </w:r>
    </w:p>
    <w:p>
      <w:pPr>
        <w:spacing w:after="140"/>
      </w:pPr>
      <w:r>
        <w:rPr>
          <w:rFonts w:ascii="Arial" w:cs="Arial" w:eastAsia="Arial" w:hAnsi="Arial"/>
          <w:sz w:val="22"/>
          <w:szCs w:val="22"/>
        </w:rPr>
        <w:t xml:space="preserve">Coding rule: Code ONE role per unit — the role most extensively performed by the unit’s content.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60"/>
        <w:gridCol w:w="37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Label</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Operational Definition</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Anchor Example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Legal Advocate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positions itself as a legal protector, rights defender, or judicial actor. Unit foregrounds legal representation, case outcomes, court action, or rights-based guidance.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Press release on class-action lawsuit filing. KYR advisory from legal staff. Court injunction update.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Service Provider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positions itself as a direct support provider meeting practical needs. Unit foregrounds services delivered, client outcomes, or resource provision.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Expanded legal clinic announcement. Grocery delivery and welfare check program. Resettlement services update.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Crisis Responder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positions itself as an emergency responder acting in real time. Unit foregrounds rapid response, urgency, deployment of staff, or real-time protective action.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Emergency rapid response alert. Real-time enforcement update with organizational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Community Defender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positions itself as a protector of community integrity against external threat. Unit foregrounds collective protection, community presence, or opposition to enforcement as threat.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Vigil announcement framing presence as community protection. Statement condemning enforcement targeting of specific community.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Coalition Builder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positions itself as a network connector or collaborative leader. Unit foregrounds interorganizational relationships, coalition membership, or cross-sector partnerships.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ICOM coalition update. Joint statement from multiple organizations. Announcement of coalition rapid response network.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Public Educator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Organization positions itself as an information provider or civic educator. Unit foregrounds educational content, resource curation, or public awareness.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Blog post explaining Operation PARRIS. Multilingual KYR resource page. Newsletter summary of enforcement landscape.</w:t>
            </w:r>
          </w:p>
        </w:tc>
      </w:tr>
    </w:tbl>
    <w:p>
      <w:pPr>
        <w:spacing w:after="100"/>
      </w:pPr>
      <w:r>
        <w:t xml:space="preserve"/>
      </w:r>
    </w:p>
    <w:p>
      <w:pPr>
        <w:pStyle w:val="Heading1"/>
        <w:spacing w:before="320" w:after="160"/>
      </w:pPr>
      <w:r>
        <w:rPr>
          <w:rFonts w:ascii="Arial" w:cs="Arial" w:eastAsia="Arial" w:hAnsi="Arial"/>
          <w:b/>
          <w:bCs/>
          <w:color w:val="1F3864"/>
          <w:sz w:val="32"/>
          <w:szCs w:val="32"/>
        </w:rPr>
        <w:t xml:space="preserve">PART C: RELIABILITY AND PILOT CODING</w:t>
      </w:r>
    </w:p>
    <w:p>
      <w:pPr>
        <w:pStyle w:val="Heading2"/>
        <w:spacing w:before="240" w:after="120"/>
      </w:pPr>
      <w:r>
        <w:rPr>
          <w:rFonts w:ascii="Arial" w:cs="Arial" w:eastAsia="Arial" w:hAnsi="Arial"/>
          <w:b/>
          <w:bCs/>
          <w:color w:val="2E75B6"/>
          <w:sz w:val="26"/>
          <w:szCs w:val="26"/>
        </w:rPr>
        <w:t xml:space="preserve">C1. Pilot Coding Procedure</w:t>
      </w:r>
    </w:p>
    <w:p>
      <w:pPr>
        <w:spacing w:after="140"/>
      </w:pPr>
      <w:r>
        <w:rPr>
          <w:rFonts w:ascii="Arial" w:cs="Arial" w:eastAsia="Arial" w:hAnsi="Arial"/>
          <w:sz w:val="22"/>
          <w:szCs w:val="22"/>
        </w:rPr>
        <w:t xml:space="preserve">Before full coding, pilot code 15–20 randomly selected units drawn from at least two organizations and both platform types. Pilot coding tests operational definitions and identifies decision-rule gaps. Both coders code independently, then meet to compare disagreements, discuss rules, and log amendments. No full coding begins until pilot amendments are finalized.</w:t>
      </w:r>
    </w:p>
    <w:p>
      <w:pPr>
        <w:pStyle w:val="Heading2"/>
        <w:spacing w:before="240" w:after="120"/>
      </w:pPr>
      <w:r>
        <w:rPr>
          <w:rFonts w:ascii="Arial" w:cs="Arial" w:eastAsia="Arial" w:hAnsi="Arial"/>
          <w:b/>
          <w:bCs/>
          <w:color w:val="2E75B6"/>
          <w:sz w:val="26"/>
          <w:szCs w:val="26"/>
        </w:rPr>
        <w:t xml:space="preserve">C2. Reliability Subset and Assessment</w:t>
      </w:r>
    </w:p>
    <w:p>
      <w:pPr>
        <w:spacing w:after="140"/>
      </w:pPr>
      <w:r>
        <w:rPr>
          <w:rFonts w:ascii="Arial" w:cs="Arial" w:eastAsia="Arial" w:hAnsi="Arial"/>
          <w:sz w:val="22"/>
          <w:szCs w:val="22"/>
        </w:rPr>
        <w:t xml:space="preserve">A minimum of 20% of all units will be independently double-coded, stratified across organizational types and platforms. Krippendorff’s alpha will be calculated per variable, separately for website and social media units. Target: α ≥ .80 for all variables.</w:t>
      </w:r>
    </w:p>
    <w:p>
      <w:pPr>
        <w:spacing w:after="140"/>
      </w:pPr>
      <w:r>
        <w:rPr>
          <w:rFonts w:ascii="Arial" w:cs="Arial" w:eastAsia="Arial" w:hAnsi="Arial"/>
          <w:sz w:val="22"/>
          <w:szCs w:val="22"/>
        </w:rPr>
        <w:t xml:space="preserve">Variables below threshold: coders re-examine all disagreements, revise the relevant definition or decision rule, and re-code the full reliability subset on that variable before full coding proceeds. FRAME1 and FRAME2 reliability are assessed independently.</w:t>
      </w:r>
    </w:p>
    <w:p>
      <w:pPr>
        <w:pStyle w:val="Heading2"/>
        <w:spacing w:before="240" w:after="120"/>
      </w:pPr>
      <w:r>
        <w:rPr>
          <w:rFonts w:ascii="Arial" w:cs="Arial" w:eastAsia="Arial" w:hAnsi="Arial"/>
          <w:b/>
          <w:bCs/>
          <w:color w:val="2E75B6"/>
          <w:sz w:val="26"/>
          <w:szCs w:val="26"/>
        </w:rPr>
        <w:t xml:space="preserve">C3. Codebook Version Control</w:t>
      </w:r>
    </w:p>
    <w:p>
      <w:pPr>
        <w:spacing w:after="140"/>
      </w:pPr>
      <w:r>
        <w:rPr>
          <w:rFonts w:ascii="Arial" w:cs="Arial" w:eastAsia="Arial" w:hAnsi="Arial"/>
          <w:sz w:val="22"/>
          <w:szCs w:val="22"/>
        </w:rPr>
        <w:t xml:space="preserve">All amendments made during or after pilot coding must be recorded in the revision log: date, variable affected, original definition, revised definition, and reason for change. No amendments may be made to operational definitions after full coding begins on a given variable.</w:t>
      </w:r>
    </w:p>
    <w:p>
      <w:pPr>
        <w:spacing w:after="100"/>
      </w:pPr>
      <w:r>
        <w:t xml:space="preserve"/>
      </w:r>
    </w:p>
    <w:p>
      <w:pPr>
        <w:pStyle w:val="Heading1"/>
        <w:spacing w:before="320" w:after="160"/>
      </w:pPr>
      <w:r>
        <w:rPr>
          <w:rFonts w:ascii="Arial" w:cs="Arial" w:eastAsia="Arial" w:hAnsi="Arial"/>
          <w:b/>
          <w:bCs/>
          <w:color w:val="1F3864"/>
          <w:sz w:val="32"/>
          <w:szCs w:val="32"/>
        </w:rPr>
        <w:t xml:space="preserve">PART D: DECISION RULES FOR COMMON BORDERLINE CASES</w:t>
      </w:r>
    </w:p>
    <w:p>
      <w:pPr>
        <w:spacing w:before="160" w:after="80"/>
      </w:pPr>
      <w:r>
        <w:rPr>
          <w:rFonts w:ascii="Arial" w:cs="Arial" w:eastAsia="Arial" w:hAnsi="Arial"/>
          <w:b/>
          <w:bCs/>
          <w:sz w:val="22"/>
          <w:szCs w:val="22"/>
        </w:rPr>
        <w:t xml:space="preserve">DR-1: Static resource pages</w:t>
      </w:r>
    </w:p>
    <w:p>
      <w:pPr>
        <w:spacing w:after="140"/>
      </w:pPr>
      <w:r>
        <w:rPr>
          <w:rFonts w:ascii="Arial" w:cs="Arial" w:eastAsia="Arial" w:hAnsi="Arial"/>
          <w:sz w:val="22"/>
          <w:szCs w:val="22"/>
        </w:rPr>
        <w:t xml:space="preserve">Know Your Rights pages created before the study period but updated within it are included if the update falls within October 1, 2025–March 26, 2026. Code from the page as it appears at time of collection.</w:t>
      </w:r>
    </w:p>
    <w:p>
      <w:pPr>
        <w:spacing w:before="160" w:after="80"/>
      </w:pPr>
      <w:r>
        <w:rPr>
          <w:rFonts w:ascii="Arial" w:cs="Arial" w:eastAsia="Arial" w:hAnsi="Arial"/>
          <w:b/>
          <w:bCs/>
          <w:sz w:val="22"/>
          <w:szCs w:val="22"/>
        </w:rPr>
        <w:t xml:space="preserve">DR-2: Social media posts linking to website content</w:t>
      </w:r>
    </w:p>
    <w:p>
      <w:pPr>
        <w:spacing w:after="140"/>
      </w:pPr>
      <w:r>
        <w:rPr>
          <w:rFonts w:ascii="Arial" w:cs="Arial" w:eastAsia="Arial" w:hAnsi="Arial"/>
          <w:sz w:val="22"/>
          <w:szCs w:val="22"/>
        </w:rPr>
        <w:t xml:space="preserve">A social media post consisting primarily of a link to an organizational website page is coded as a distinct unit. Both the post and the linked page are included if both pass relevance screening. Code the social media post from its own text, not from the linked page content.</w:t>
      </w:r>
    </w:p>
    <w:p>
      <w:pPr>
        <w:spacing w:before="160" w:after="80"/>
      </w:pPr>
      <w:r>
        <w:rPr>
          <w:rFonts w:ascii="Arial" w:cs="Arial" w:eastAsia="Arial" w:hAnsi="Arial"/>
          <w:b/>
          <w:bCs/>
          <w:sz w:val="22"/>
          <w:szCs w:val="22"/>
        </w:rPr>
        <w:t xml:space="preserve">DR-3: Joint statements</w:t>
      </w:r>
    </w:p>
    <w:p>
      <w:pPr>
        <w:spacing w:after="140"/>
      </w:pPr>
      <w:r>
        <w:rPr>
          <w:rFonts w:ascii="Arial" w:cs="Arial" w:eastAsia="Arial" w:hAnsi="Arial"/>
          <w:sz w:val="22"/>
          <w:szCs w:val="22"/>
        </w:rPr>
        <w:t xml:space="preserve">A statement co-signed by multiple organizations is coded as a unit belonging to the publishing organization (the organization whose channel it appears on), not to all signatories.</w:t>
      </w:r>
    </w:p>
    <w:p>
      <w:pPr>
        <w:spacing w:before="160" w:after="80"/>
      </w:pPr>
      <w:r>
        <w:rPr>
          <w:rFonts w:ascii="Arial" w:cs="Arial" w:eastAsia="Arial" w:hAnsi="Arial"/>
          <w:b/>
          <w:bCs/>
          <w:sz w:val="22"/>
          <w:szCs w:val="22"/>
        </w:rPr>
        <w:t xml:space="preserve">DR-4: Multilingual content</w:t>
      </w:r>
    </w:p>
    <w:p>
      <w:pPr>
        <w:spacing w:after="140"/>
      </w:pPr>
      <w:r>
        <w:rPr>
          <w:rFonts w:ascii="Arial" w:cs="Arial" w:eastAsia="Arial" w:hAnsi="Arial"/>
          <w:sz w:val="22"/>
          <w:szCs w:val="22"/>
        </w:rPr>
        <w:t xml:space="preserve">Pages or posts published in multiple languages are treated as a single unit. Code from the English version. If no English version exists, code from the original language with translation assistance and note this in the coding log.</w:t>
      </w:r>
    </w:p>
    <w:p>
      <w:pPr>
        <w:spacing w:before="160" w:after="80"/>
      </w:pPr>
      <w:r>
        <w:rPr>
          <w:rFonts w:ascii="Arial" w:cs="Arial" w:eastAsia="Arial" w:hAnsi="Arial"/>
          <w:b/>
          <w:bCs/>
          <w:sz w:val="22"/>
          <w:szCs w:val="22"/>
        </w:rPr>
        <w:t xml:space="preserve">DR-5: Pinned posts</w:t>
      </w:r>
    </w:p>
    <w:p>
      <w:pPr>
        <w:spacing w:after="140"/>
      </w:pPr>
      <w:r>
        <w:rPr>
          <w:rFonts w:ascii="Arial" w:cs="Arial" w:eastAsia="Arial" w:hAnsi="Arial"/>
          <w:sz w:val="22"/>
          <w:szCs w:val="22"/>
        </w:rPr>
        <w:t xml:space="preserve">Social media posts pinned to the top of a profile page are included even if their original publication date predates the study period, provided the pinning action falls within the study window. Note “pinned” in the data log.</w:t>
      </w:r>
    </w:p>
    <w:p>
      <w:pPr>
        <w:spacing w:before="160" w:after="80"/>
      </w:pPr>
      <w:r>
        <w:rPr>
          <w:rFonts w:ascii="Arial" w:cs="Arial" w:eastAsia="Arial" w:hAnsi="Arial"/>
          <w:b/>
          <w:bCs/>
          <w:sz w:val="22"/>
          <w:szCs w:val="22"/>
        </w:rPr>
        <w:t xml:space="preserve">DR-6: Low-text units</w:t>
      </w:r>
    </w:p>
    <w:p>
      <w:pPr>
        <w:spacing w:after="140"/>
      </w:pPr>
      <w:r>
        <w:rPr>
          <w:rFonts w:ascii="Arial" w:cs="Arial" w:eastAsia="Arial" w:hAnsi="Arial"/>
          <w:sz w:val="22"/>
          <w:szCs w:val="22"/>
        </w:rPr>
        <w:t xml:space="preserve">Event announcement pages or posts with fewer than 25 words of substantive content may not permit reliable coding of all variables. Include these units and flag as “low-text” in the data log. If a variable cannot be reliably coded, note “insufficient text” in the coding field rather than forcing a code.</w:t>
      </w:r>
    </w:p>
    <w:p>
      <w:pPr>
        <w:spacing w:after="100"/>
      </w:pPr>
      <w:r>
        <w:t xml:space="preserve"/>
      </w:r>
    </w:p>
    <w:p>
      <w:pPr>
        <w:pBdr>
          <w:top w:val="single" w:color="2E75B6" w:sz="4" w:space="4"/>
        </w:pBdr>
        <w:spacing w:before="280"/>
      </w:pPr>
      <w:r>
        <w:rPr>
          <w:rFonts w:ascii="Arial" w:cs="Arial" w:eastAsia="Arial" w:hAnsi="Arial"/>
          <w:i/>
          <w:iCs/>
          <w:color w:val="595959"/>
          <w:sz w:val="20"/>
          <w:szCs w:val="20"/>
        </w:rPr>
        <w:t xml:space="preserve">End of Codebook and Data Collection Protocol — Version 1.0  |  Pre-Pilot Draft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2026-03-27T17:37:18.165Z</dcterms:created>
  <dcterms:modified xsi:type="dcterms:W3CDTF">2026-03-27T17:37:18.166Z</dcterms:modified>
</cp:coreProperties>
</file>

<file path=docProps/custom.xml><?xml version="1.0" encoding="utf-8"?>
<Properties xmlns="http://schemas.openxmlformats.org/officeDocument/2006/custom-properties" xmlns:vt="http://schemas.openxmlformats.org/officeDocument/2006/docPropsVTypes"/>
</file>