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Strategic Communication and Immigration Enforcement:</w:t>
      </w:r>
    </w:p>
    <w:p>
      <w:pPr>
        <w:spacing w:after="160"/>
        <w:jc w:val="center"/>
      </w:pPr>
      <w:r>
        <w:rPr>
          <w:rFonts w:ascii="Arial" w:cs="Arial" w:eastAsia="Arial" w:hAnsi="Arial"/>
          <w:b/>
          <w:bCs/>
          <w:color w:val="1F3864"/>
          <w:sz w:val="28"/>
          <w:szCs w:val="28"/>
        </w:rPr>
        <w:t xml:space="preserve">A Quantitative Content Analysis of Twin Cities Nonprofit Multi-Platform Digital Communication</w:t>
      </w:r>
    </w:p>
    <w:p>
      <w:pPr>
        <w:spacing w:after="480"/>
        <w:jc w:val="center"/>
      </w:pPr>
      <w:r>
        <w:rPr>
          <w:rFonts w:ascii="Arial" w:cs="Arial" w:eastAsia="Arial" w:hAnsi="Arial"/>
          <w:i/>
          <w:iCs/>
          <w:color w:val="666666"/>
          <w:sz w:val="22"/>
          <w:szCs w:val="22"/>
        </w:rPr>
        <w:t xml:space="preserve">Working Draft — Target Journal: Journal of Public Relations Research</w:t>
      </w:r>
    </w:p>
    <w:p>
      <w:pPr>
        <w:pStyle w:val="Heading1"/>
        <w:spacing w:before="320" w:after="160"/>
      </w:pPr>
      <w:r>
        <w:rPr>
          <w:rFonts w:ascii="Arial" w:cs="Arial" w:eastAsia="Arial" w:hAnsi="Arial"/>
          <w:b/>
          <w:bCs/>
          <w:color w:val="1F3864"/>
          <w:sz w:val="32"/>
          <w:szCs w:val="32"/>
        </w:rPr>
        <w:t xml:space="preserve">Abstract</w:t>
      </w:r>
    </w:p>
    <w:p>
      <w:pPr>
        <w:pBdr>
          <w:left w:val="single" w:color="267342" w:sz="6" w:space="6"/>
        </w:pBdr>
        <w:spacing w:before="80" w:after="180"/>
        <w:ind w:left="400"/>
      </w:pPr>
      <w:r>
        <w:rPr>
          <w:rFonts w:ascii="Arial" w:cs="Arial" w:eastAsia="Arial" w:hAnsi="Arial"/>
          <w:i/>
          <w:iCs/>
          <w:color w:val="267342"/>
          <w:sz w:val="21"/>
          <w:szCs w:val="21"/>
        </w:rPr>
        <w:t xml:space="preserve">[V3 CHANGE: FULLY REVISED in v3. Key changes: (1) two frameworks only — nonprofit PR/relationship management + civil society enactment theory; (2) scope expanded to include Facebook and X as secondary data; (3) 'PR ecosystem' framing introduced; (4) three RQs signaled; (5) stronger originality claim. Review every sentence against your voice before submission.]</w:t>
      </w:r>
    </w:p>
    <w:p>
      <w:pPr>
        <w:spacing w:after="180"/>
      </w:pPr>
      <w:r>
        <w:rPr>
          <w:rFonts w:ascii="Arial" w:cs="Arial" w:eastAsia="Arial" w:hAnsi="Arial"/>
          <w:sz w:val="24"/>
          <w:szCs w:val="24"/>
        </w:rPr>
        <w:t xml:space="preserve">This study examines how immigrant-serving and immigrant-rights nonprofit organizations in the Twin Cities construct and deploy multi-platform digital communication in response to immigration enforcement. Drawing on nonprofit public relations and relationship management theory and civil society enactment theory, the study proposes a quantitative content analysis of organizational websites and linked social media channels — including Facebook and X — for selected nonprofits in Minnesota. These organizations operate simultaneously as legal advocates, direct service providers, and justice-oriented advocates, and have made immigration enforcement and ICE-related preparedness increasingly visible across their digital communication environments. Rather than treating organizational websites as neutral information repositories or social media as peripheral outreach tools, this study frames the multi-platform digital presence of each nonprofit as a strategically constructed PR ecosystem — a set of coordinated civil society instruments through which organizations define threats, manage organization-public relationships, establish legitimacy, and invite action across multiple publics and platforms. Websites serve as the primary unit of analysis; Facebook and X posts embedded in or linked from organizational websites constitute secondary data, enabling comparison of framing strategies across platforms and organizational types. Coding categories include dominant frame, tone, target public, call to action, and projected organizational role. The study asks how nonprofit communication strategies differ across legal-service, direct-service, and advocacy-oriented organizations, whether framing patterns differ across platform types within the same organization, and how these patterns together reflect distinctive civil society communication strategies under conditions of political threat. The project contributes to scholarship on nonprofit public relations, digital issue framing, and civil society communication by offering the first comparative multi-platform analysis of how immigrant-serving nonprofits in a major U.S. metro area construct their public-facing digital ecosystem in response to immigration enforcement — and by providing a reproducible model for studying nonprofit PR across interconnected digital channels.</w:t>
      </w:r>
    </w:p>
    <w:p>
      <w:pPr>
        <w:spacing w:after="160"/>
      </w:pPr>
      <w:r>
        <w:t xml:space="preserve"/>
      </w:r>
    </w:p>
    <w:p>
      <w:pPr>
        <w:pStyle w:val="Heading1"/>
        <w:spacing w:before="320" w:after="160"/>
      </w:pPr>
      <w:r>
        <w:rPr>
          <w:rFonts w:ascii="Arial" w:cs="Arial" w:eastAsia="Arial" w:hAnsi="Arial"/>
          <w:b/>
          <w:bCs/>
          <w:color w:val="1F3864"/>
          <w:sz w:val="32"/>
          <w:szCs w:val="32"/>
        </w:rPr>
        <w:t xml:space="preserve">Introduction</w:t>
      </w:r>
    </w:p>
    <w:p>
      <w:pPr>
        <w:pBdr>
          <w:left w:val="single" w:color="2E75B6" w:sz="6" w:space="6"/>
        </w:pBdr>
        <w:spacing w:before="80" w:after="180"/>
        <w:ind w:left="400"/>
      </w:pPr>
      <w:r>
        <w:rPr>
          <w:rFonts w:ascii="Arial" w:cs="Arial" w:eastAsia="Arial" w:hAnsi="Arial"/>
          <w:i/>
          <w:iCs/>
          <w:color w:val="2E75B6"/>
          <w:sz w:val="21"/>
          <w:szCs w:val="21"/>
        </w:rPr>
        <w:t xml:space="preserve">[V5 REVISION: Introduction fully rewritten. Leads with Operation Metro Surge events (Renee Good, Alex Pretti) grounded in journalistic citations — CNN, NBC News, NPR, Minnesota Reformer, Time, Labor Notes. Wikipedia citations removed entirely. Four condensed paragraphs. Review all citation details before submission.]</w:t>
      </w:r>
    </w:p>
    <w:p>
      <w:pPr>
        <w:spacing w:after="180"/>
      </w:pPr>
      <w:r>
        <w:rPr>
          <w:rFonts w:ascii="Arial" w:cs="Arial" w:eastAsia="Arial" w:hAnsi="Arial"/>
          <w:sz w:val="24"/>
          <w:szCs w:val="24"/>
        </w:rPr>
        <w:t xml:space="preserve">On January 7, 2026, Renee Nicole Good, a 37-year-old Minneapolis resident, was shot and killed by a masked ICE agent during Operation Metro Surge — a federal enforcement deployment that concentrated more than 3,000 Immigration and Customs Enforcement and Customs and Border Protection officers in the Twin Cities metropolitan area beginning in late November 2025. Independent video analysis by CNN, NBC News, and the New York Times contradicted the Department of Homeland Security’s official account of the shooting (CNN, 2026; NBC News, 2026). Seventeen days later, Alex Pretti, a 37-year-old VA intensive care nurse, was fatally shot by federal agents while documenting enforcement activity on a Minneapolis street; multiple bystander videos directly contradicted DHS Secretary Kristi Noem’s public claim that he had approached officers with a weapon (NPR, 2026; The Columbian, 2026). Both victims were U.S. citizens. Both deaths constitute the immediate political context of this study.</w:t>
      </w:r>
    </w:p>
    <w:p>
      <w:pPr>
        <w:spacing w:after="180"/>
      </w:pPr>
      <w:r>
        <w:rPr>
          <w:rFonts w:ascii="Arial" w:cs="Arial" w:eastAsia="Arial" w:hAnsi="Arial"/>
          <w:sz w:val="24"/>
          <w:szCs w:val="24"/>
        </w:rPr>
        <w:t xml:space="preserve">The civic response was exceptional in scale and character. On January 23, 2026, an estimated 50,000 residents marched through downtown Minneapolis in temperatures of negative twenty degrees Fahrenheit as part of a statewide Day of Truth and Freedom organized by a coalition of labor unions, faith organizations, and immigrant-rights nonprofits including Unidos MN and ISAIAH (Minnesota Reformer, 2026; Time, 2026). Hundreds of businesses closed in economic solidarity; approximately 100 clergy members were arrested at Minneapolis–Saint Paul International Airport protesting deportation flights; and federal agents deployed chemical irritants against demonstrators at multiple locations (Labor Notes, 2026). Minnesota filed suit against DHS in federal district court; on January 28, a federal judge found ICE had violated at least 96 court orders in the state since January 1; and on February 3, a second judge reported that the overwhelming majority of cases before him involved people lawfully present in the United States (NPR, 2026; CBS News Minnesota, 2026). On February 12, White House border czar Tom Homan announced the formal conclusion of Operation Metro Surge — a withdrawal Governor Walz publicly characterized as politically compelled rather than operationally motivated (NPR, 2026; Minnesota Reformer, 2026).</w:t>
      </w:r>
    </w:p>
    <w:p>
      <w:pPr>
        <w:spacing w:after="180"/>
      </w:pPr>
      <w:r>
        <w:rPr>
          <w:rFonts w:ascii="Arial" w:cs="Arial" w:eastAsia="Arial" w:hAnsi="Arial"/>
          <w:sz w:val="24"/>
          <w:szCs w:val="24"/>
        </w:rPr>
        <w:t xml:space="preserve">Throughout this period, Twin Cities nonprofit organizations engaged in a consequential and underexamined form of public action: strategic multi-platform digital communication. The Minnesota Council of Nonprofits maintained a publicly accessible ICE preparedness hub disseminating legal guidance, rapid response protocols, and family preparedness resources in real time (Minnesota Council of Nonprofits, 2026). The Immigrant Law Center of Minnesota operated weekly legal clinics while maintaining enforcement-related guidance on its public website. Unidos MN coordinated direct action at Minneapolis–Saint Paul International Airport while simultaneously publishing community guidance across its website and social media channels (Truthout, 2026). Across the digital platforms of immigrant-serving nonprofits — websites, Facebook pages, and X accounts — a patterned repertoire of enforcement-related communication emerged: know-your-rights advisories, detainee locator guidance, family preparedness checklists, legal referrals, and solidarity statements that collectively framed immigration enforcement as a constitutional, humanitarian, and civic concern. This communication was not incidental to the civil society response; it constituted a structural component of it.</w:t>
      </w:r>
    </w:p>
    <w:p>
      <w:pPr>
        <w:spacing w:after="180"/>
      </w:pPr>
      <w:r>
        <w:rPr>
          <w:rFonts w:ascii="Arial" w:cs="Arial" w:eastAsia="Arial" w:hAnsi="Arial"/>
          <w:sz w:val="24"/>
          <w:szCs w:val="24"/>
        </w:rPr>
        <w:t xml:space="preserve">This study examines that communication systematically. Drawing on nonprofit public relations and relationship management theory (Hon &amp; Grunig, 1999; Ledingham &amp; Bruning, 2000) and civil society enactment theory (Taylor, 2009, 2010; Taylor &amp; Doerfel, 2003), the study proposes a quantitative content analysis of multi-platform digital communication produced by selected Twin Cities immigrant-serving and immigrant-rights nonprofit organizations during this period of documented enforcement escalation. Organizational websites serve as the primary unit of analysis; Facebook and X posts embedded in or linked from organizational websites constitute secondary data, enabling systematic cross-platform and cross-organizational comparison. The study asks how communication strategies differ across legal-service, direct-service, and advocacy-oriented organizational types; whether framing patterns differ across platform types within the same organizational sample; and how these patterns together illuminate the character and function of digital civil society work when political conditions directly threaten the communities these organizations serve.</w:t>
      </w:r>
    </w:p>
    <w:p>
      <w:pPr>
        <w:spacing w:after="160"/>
      </w:pPr>
      <w:r>
        <w:t xml:space="preserve"/>
      </w:r>
    </w:p>
    <w:p>
      <w:pPr>
        <w:pStyle w:val="Heading1"/>
        <w:spacing w:before="320" w:after="160"/>
      </w:pPr>
      <w:r>
        <w:rPr>
          <w:rFonts w:ascii="Arial" w:cs="Arial" w:eastAsia="Arial" w:hAnsi="Arial"/>
          <w:b/>
          <w:bCs/>
          <w:color w:val="1F3864"/>
          <w:sz w:val="32"/>
          <w:szCs w:val="32"/>
        </w:rPr>
        <w:t xml:space="preserve">Problem Statement</w:t>
      </w:r>
    </w:p>
    <w:p>
      <w:pPr>
        <w:spacing w:after="180"/>
      </w:pPr>
      <w:r>
        <w:rPr>
          <w:rFonts w:ascii="Arial" w:cs="Arial" w:eastAsia="Arial" w:hAnsi="Arial"/>
          <w:sz w:val="24"/>
          <w:szCs w:val="24"/>
        </w:rPr>
        <w:t xml:space="preserve">Research on immigration communication has often centered on news media, electoral discourse, public opinion, and state messaging. By contrast, relatively little attention has been given to nonprofit organizations as strategic communicators in enforcement-related contexts — and even less to the multi-platform digital ecosystems through which contemporary nonprofits conduct that communication. Yet nonprofits are often among the first institutional actors to translate enforcement developments into public-facing communication: they explain legal risk, provide 'know your rights' guidance, connect families to services, and frame enforcement as a matter of law, justice, safety, or community defense — doing so simultaneously across websites, Facebook pages, and X accounts that are often interlinked and mutually reinforcing.</w:t>
      </w:r>
    </w:p>
    <w:p>
      <w:pPr>
        <w:spacing w:after="180"/>
      </w:pPr>
      <w:r>
        <w:rPr>
          <w:rFonts w:ascii="Arial" w:cs="Arial" w:eastAsia="Arial" w:hAnsi="Arial"/>
          <w:sz w:val="24"/>
          <w:szCs w:val="24"/>
        </w:rPr>
        <w:t xml:space="preserve">Importantly, this communication work has measurable civic consequences. Chand et al. (2021) found that regions with greater concentrations of nonprofit legal aid organizations produce measurably fewer immigration removals, and that the presence of non-attorney advocates predicts fewer non-criminal immigrant removals. Nonprofit communication and service delivery together actively reshape enforcement outcomes at the regional level. Understanding how that communication is constructed — what frames it deploys, what tones it adopts, which publics it addresses, and how these patterns vary across platforms and organizational types — is therefore both a PR scholarship question and a civic one.</w:t>
      </w:r>
    </w:p>
    <w:p>
      <w:pPr>
        <w:spacing w:after="180"/>
      </w:pPr>
      <w:r>
        <w:rPr>
          <w:rFonts w:ascii="Arial" w:cs="Arial" w:eastAsia="Arial" w:hAnsi="Arial"/>
          <w:sz w:val="24"/>
          <w:szCs w:val="24"/>
        </w:rPr>
        <w:t xml:space="preserve">The gap is empirical and conceptual. Empirically, we know relatively little about how nonprofit organizations systematically frame immigration enforcement across their digital platforms. Conceptually, the multi-platform nonprofit digital presence offers a valuable new site for studying public relations under conditions of political threat: it reveals how organizations coordinate advocacy, information, reassurance, and institutional positioning across an interconnected digital ecosystem. This project addresses that gap by developing a replicable data collection and coding framework for multi-platform nonprofit communication and applying it to a purposive sample of Twin Cities organizations during a period of active enforcement escalation.</w:t>
      </w:r>
    </w:p>
    <w:p>
      <w:pPr>
        <w:spacing w:after="160"/>
      </w:pPr>
      <w:r>
        <w:t xml:space="preserve"/>
      </w:r>
    </w:p>
    <w:p>
      <w:pPr>
        <w:pStyle w:val="Heading1"/>
        <w:spacing w:before="320" w:after="160"/>
      </w:pPr>
      <w:r>
        <w:rPr>
          <w:rFonts w:ascii="Arial" w:cs="Arial" w:eastAsia="Arial" w:hAnsi="Arial"/>
          <w:b/>
          <w:bCs/>
          <w:color w:val="1F3864"/>
          <w:sz w:val="32"/>
          <w:szCs w:val="32"/>
        </w:rPr>
        <w:t xml:space="preserve">Purpose of the Study</w:t>
      </w:r>
    </w:p>
    <w:p>
      <w:pPr>
        <w:spacing w:after="180"/>
      </w:pPr>
      <w:r>
        <w:rPr>
          <w:rFonts w:ascii="Arial" w:cs="Arial" w:eastAsia="Arial" w:hAnsi="Arial"/>
          <w:sz w:val="24"/>
          <w:szCs w:val="24"/>
        </w:rPr>
        <w:t xml:space="preserve">The purpose of this study is to examine how selected Twin Cities nonprofit organizations construct multi-platform digital communication to frame immigration enforcement and related issues. More specifically, the project seeks to identify the dominant frames used in enforcement-related digital messaging across websites, Facebook, and X; compare communication patterns across legal-service, direct-service, and advocacy-oriented nonprofits; assess whether and how framing patterns differ across platform types within the same organizational sample; and evaluate how websites and social media together function as coordinated PR tools for education, reassurance, mobilization, and legitimacy-building.</w:t>
      </w:r>
    </w:p>
    <w:p>
      <w:pPr>
        <w:spacing w:after="160"/>
      </w:pPr>
      <w:r>
        <w:t xml:space="preserve"/>
      </w:r>
    </w:p>
    <w:p>
      <w:pPr>
        <w:pStyle w:val="Heading1"/>
        <w:spacing w:before="320" w:after="160"/>
      </w:pPr>
      <w:r>
        <w:rPr>
          <w:rFonts w:ascii="Arial" w:cs="Arial" w:eastAsia="Arial" w:hAnsi="Arial"/>
          <w:b/>
          <w:bCs/>
          <w:color w:val="1F3864"/>
          <w:sz w:val="32"/>
          <w:szCs w:val="32"/>
        </w:rPr>
        <w:t xml:space="preserve">Significance of the Study</w:t>
      </w:r>
    </w:p>
    <w:p>
      <w:pPr>
        <w:spacing w:after="180"/>
      </w:pPr>
      <w:r>
        <w:rPr>
          <w:rFonts w:ascii="Arial" w:cs="Arial" w:eastAsia="Arial" w:hAnsi="Arial"/>
          <w:sz w:val="24"/>
          <w:szCs w:val="24"/>
        </w:rPr>
        <w:t xml:space="preserve">This project contributes to public relations scholarship by extending nonprofit PR research into a context marked by legal risk, emotional vulnerability, and public controversy — and by treating the multi-platform digital presence of nonprofits as a theoretically meaningful unit of analysis rather than a collection of separate communication outputs. Nonprofit public relations and relationship management scholarship has emphasized trust, legitimacy, and organization-public relationships as core concerns. This study brings those concerns into conversation with the specific and urgent challenge of maintaining civil society conditions under enforcement pressure, and with the multi-platform digital environments through which contemporary nonprofits enact those relationships.</w:t>
      </w:r>
    </w:p>
    <w:p>
      <w:pPr>
        <w:spacing w:after="180"/>
      </w:pPr>
      <w:r>
        <w:rPr>
          <w:rFonts w:ascii="Arial" w:cs="Arial" w:eastAsia="Arial" w:hAnsi="Arial"/>
          <w:sz w:val="24"/>
          <w:szCs w:val="24"/>
        </w:rPr>
        <w:t xml:space="preserve">It also contributes to research on civil society and immigration by shifting attention from media coverage and government discourse to the coordinated digital communication work of nonprofit organizations themselves. Research has documented that immigration enforcement produces chilling effects that reduce immigrant communities' engagement with healthcare, legal systems, schools, and public life (Friedman &amp; Venkataramani, 2021; Herring &amp; Barnow, 2025). Nonprofit digital communication that counters these chilling effects — through rights-based information, practical guidance, reassurance, and mobilization delivered consistently across websites and social media — is performing a civil society function that extends well beyond organizational promotion. Finally, the project offers a methodologically reproducible model for multi-platform nonprofit PR analysis that can be applied in other contested policy environments.</w:t>
      </w:r>
    </w:p>
    <w:p>
      <w:pPr>
        <w:spacing w:after="160"/>
      </w:pPr>
      <w:r>
        <w:t xml:space="preserve"/>
      </w:r>
    </w:p>
    <w:p>
      <w:pPr>
        <w:pStyle w:val="Heading1"/>
        <w:spacing w:before="320" w:after="160"/>
      </w:pPr>
      <w:r>
        <w:rPr>
          <w:rFonts w:ascii="Arial" w:cs="Arial" w:eastAsia="Arial" w:hAnsi="Arial"/>
          <w:b/>
          <w:bCs/>
          <w:color w:val="1F3864"/>
          <w:sz w:val="32"/>
          <w:szCs w:val="32"/>
        </w:rPr>
        <w:t xml:space="preserve">Literature Review</w:t>
      </w:r>
    </w:p>
    <w:p>
      <w:pPr>
        <w:pStyle w:val="Heading2"/>
        <w:spacing w:before="240" w:after="120"/>
      </w:pPr>
      <w:r>
        <w:rPr>
          <w:rFonts w:ascii="Arial" w:cs="Arial" w:eastAsia="Arial" w:hAnsi="Arial"/>
          <w:b/>
          <w:bCs/>
          <w:color w:val="2E75B6"/>
          <w:sz w:val="28"/>
          <w:szCs w:val="28"/>
        </w:rPr>
        <w:t xml:space="preserve">Nonprofit Public Relations and Relationship Management</w:t>
      </w:r>
    </w:p>
    <w:p>
      <w:pPr>
        <w:pBdr>
          <w:left w:val="single" w:color="2E75B6" w:sz="6" w:space="6"/>
        </w:pBdr>
        <w:spacing w:before="80" w:after="180"/>
        <w:ind w:left="400"/>
      </w:pPr>
      <w:r>
        <w:rPr>
          <w:rFonts w:ascii="Arial" w:cs="Arial" w:eastAsia="Arial" w:hAnsi="Arial"/>
          <w:i/>
          <w:iCs/>
          <w:color w:val="2E75B6"/>
          <w:sz w:val="21"/>
          <w:szCs w:val="21"/>
        </w:rPr>
        <w:t xml:space="preserve">[NOTE: Elevated to first position in lit review — now the primary theoretical pillar alongside civil society theory. Framing theory and public interest communication moved to supporting roles.]</w:t>
      </w:r>
    </w:p>
    <w:p>
      <w:pPr>
        <w:spacing w:after="180"/>
      </w:pPr>
      <w:r>
        <w:rPr>
          <w:rFonts w:ascii="Arial" w:cs="Arial" w:eastAsia="Arial" w:hAnsi="Arial"/>
          <w:sz w:val="24"/>
          <w:szCs w:val="24"/>
        </w:rPr>
        <w:t xml:space="preserve">Public relations scholarship has increasingly emphasized organization-public relationships as the central concern of the field, shifting attention from message production to the quality and durability of relationships between organizations and their publics (Hon &amp; Grunig, 1999; Ledingham &amp; Bruning, 2000). Relationship management theory positions public relations as a strategic function concerned with trust, mutual understanding, legitimacy, and commitment — outcomes that are negotiated through communication over time rather than delivered through individual messages. In nonprofit settings, these concerns are especially pronounced because organizations must communicate simultaneously with clients, communities, volunteers, partners, donors, and policymakers, often with limited resources and competing demands.</w:t>
      </w:r>
    </w:p>
    <w:p>
      <w:pPr>
        <w:spacing w:after="180"/>
      </w:pPr>
      <w:r>
        <w:rPr>
          <w:rFonts w:ascii="Arial" w:cs="Arial" w:eastAsia="Arial" w:hAnsi="Arial"/>
          <w:sz w:val="24"/>
          <w:szCs w:val="24"/>
        </w:rPr>
        <w:t xml:space="preserve">For immigrant-serving nonprofits operating in enforcement contexts, relationship management is not merely reputational. It concerns credibility under pressure — the capacity to be recognized as a trustworthy interpreter of legal and political conditions by communities whose safety may depend on that trust. Website and social media communication can therefore be understood as relationship-building practices: they reassure some publics, educate others, mobilize still others, and signal organizational identity and commitment to all of them simultaneously. This study treats those functions as observable through frame choice, tone, target public, and calls to action — and as varying systematically across organizational types and digital platforms.</w:t>
      </w:r>
    </w:p>
    <w:p>
      <w:pPr>
        <w:spacing w:after="180"/>
      </w:pPr>
      <w:r>
        <w:rPr>
          <w:rFonts w:ascii="Arial" w:cs="Arial" w:eastAsia="Arial" w:hAnsi="Arial"/>
          <w:sz w:val="24"/>
          <w:szCs w:val="24"/>
        </w:rPr>
        <w:t xml:space="preserve">Recent scholarship has extended nonprofit PR into crisis communication contexts that parallel the present study. A 2024 systematic review found that nonprofit crisis communication literature clusters around four themes — crisis sensemaking, leadership and governance, organizational structure, and communication tools and networks — and that the nonprofit sector remains significantly underexamined in crisis communication scholarship despite its central role in service delivery and information dissemination during crises (Haupt &amp; Azevedo, 2024). Research on nonprofit communication during COVID-19 found that organizations investing in external communication and adapting messaging to evolving community needs demonstrated greater resilience and took on novel roles as civil society stabilizers (Fuller &amp; Rice, 2022). The present study extends this crisis communication framework to immigration enforcement as a sustained, politically generated crisis rather than a natural disaster — one that demands ongoing rather than episodic communicative response.</w:t>
      </w:r>
    </w:p>
    <w:p>
      <w:pPr>
        <w:spacing w:after="160"/>
      </w:pPr>
      <w:r>
        <w:t xml:space="preserve"/>
      </w:r>
    </w:p>
    <w:p>
      <w:pPr>
        <w:pStyle w:val="Heading2"/>
        <w:spacing w:before="240" w:after="120"/>
      </w:pPr>
      <w:r>
        <w:rPr>
          <w:rFonts w:ascii="Arial" w:cs="Arial" w:eastAsia="Arial" w:hAnsi="Arial"/>
          <w:b/>
          <w:bCs/>
          <w:color w:val="2E75B6"/>
          <w:sz w:val="28"/>
          <w:szCs w:val="28"/>
        </w:rPr>
        <w:t xml:space="preserve">Civil Society Enactment Theory and Interorganizational Communication</w:t>
      </w:r>
    </w:p>
    <w:p>
      <w:pPr>
        <w:pBdr>
          <w:left w:val="single" w:color="2E75B6" w:sz="6" w:space="6"/>
        </w:pBdr>
        <w:spacing w:before="80" w:after="180"/>
        <w:ind w:left="400"/>
      </w:pPr>
      <w:r>
        <w:rPr>
          <w:rFonts w:ascii="Arial" w:cs="Arial" w:eastAsia="Arial" w:hAnsi="Arial"/>
          <w:i/>
          <w:iCs/>
          <w:color w:val="2E75B6"/>
          <w:sz w:val="21"/>
          <w:szCs w:val="21"/>
        </w:rPr>
        <w:t xml:space="preserve">[NOTE: Primary macro-level theoretical pillar. Integrates Taylor (2009, 2010) and Taylor &amp; Doerfel (2003). Connects directly to the multi-platform expansion in v3.]</w:t>
      </w:r>
    </w:p>
    <w:p>
      <w:pPr>
        <w:spacing w:after="180"/>
      </w:pPr>
      <w:r>
        <w:rPr>
          <w:rFonts w:ascii="Arial" w:cs="Arial" w:eastAsia="Arial" w:hAnsi="Arial"/>
          <w:sz w:val="24"/>
          <w:szCs w:val="24"/>
        </w:rPr>
        <w:t xml:space="preserve">Taylor's (2009, 2010) civil society enactment theory provides the macro-level framework that situates the present study within its broadest theoretical context. Taylor argues that public relations' highest-order societal function is not to produce strategic messages or even to manage relationships, but to create and re-create the conditions that make civil society possible. Those conditions are rhetorical in nature: there must be actors who feel safe enough to create discourse, trusted channels carrying that discourse, audiences capable of receiving and considering it, and societal processes enabling people to act on what they hear. Taylor positions nonprofit organizations — the third sector — as the primary institutional producers of social capital, and notes explicitly that every webpage generated by a nonprofit has the potential to create social capital.</w:t>
      </w:r>
    </w:p>
    <w:p>
      <w:pPr>
        <w:spacing w:after="180"/>
      </w:pPr>
      <w:r>
        <w:rPr>
          <w:rFonts w:ascii="Arial" w:cs="Arial" w:eastAsia="Arial" w:hAnsi="Arial"/>
          <w:sz w:val="24"/>
          <w:szCs w:val="24"/>
        </w:rPr>
        <w:t xml:space="preserve">Taylor's framework takes on special urgency in the context of immigration enforcement. Enforcement operations directly threaten all four of the communicative conditions civil society requires: they generate fear that suppresses public discourse, erode trust in institutional channels, disengage communities from civic participation, and disrupt the legal and social processes through which people seek help. The nonprofits examined in this study are therefore engaged in more than strategic communication. They are communicating in defense of the civil society conditions that enforcement threatens — working across websites and social media to restore informed choice, trusted information channels, and the capacity for civic action in communities under pressure.</w:t>
      </w:r>
    </w:p>
    <w:p>
      <w:pPr>
        <w:spacing w:after="180"/>
      </w:pPr>
      <w:r>
        <w:rPr>
          <w:rFonts w:ascii="Arial" w:cs="Arial" w:eastAsia="Arial" w:hAnsi="Arial"/>
          <w:sz w:val="24"/>
          <w:szCs w:val="24"/>
        </w:rPr>
        <w:t xml:space="preserve">Taylor and Doerfel's (2003) landmark study of Croatian civil society NGOs provides direct empirical precedent. Analyzing 17 organizations during Croatia's 2000 democratic transition, they demonstrated that interorganizational communication was the mechanism through which civil society was built and sustained during political transformation. Foundational organizations that bridged structural holes in the civil society network enabled information sharing and coordination that contributed to the country's first free and fair election. The parallel to Twin Cities nonprofit communication during enforcement escalation is instructive: in both cases, organizations operating under political pressure deploy communication strategically across multiple channels to protect community participation and enable civic action. Three interorganizational relationships are especially critical in civil society efforts: the NGO-NGO relationship, the NGO-media relationship, and the NGO-donor relationship (Taylor &amp; Doerfel, 2003) — all of which are managed simultaneously through organizational websites and social media channels.</w:t>
      </w:r>
    </w:p>
    <w:p>
      <w:pPr>
        <w:spacing w:after="180"/>
      </w:pPr>
      <w:r>
        <w:rPr>
          <w:rFonts w:ascii="Arial" w:cs="Arial" w:eastAsia="Arial" w:hAnsi="Arial"/>
          <w:sz w:val="24"/>
          <w:szCs w:val="24"/>
        </w:rPr>
        <w:t xml:space="preserve">The multi-platform dimension of the present study extends Taylor's framework in a direction she anticipated but did not fully develop. Taylor (2010) argued that internet-based communication — including websites, social media, and linked digital channels — represents critical civil society infrastructure because it allows geographically dispersed organizations and communities to share information, coordinate action, and sustain the relationships that make civil society possible. Applying this insight to the present study, each nonprofit's digital ecosystem — website plus linked Facebook and X accounts — is not simply a set of communication outputs but a civil society infrastructure system through which the organization simultaneously serves clients, builds relationships with allies, signals institutional identity, and maintains the informational conditions that enforcement threatens to destroy.</w:t>
      </w:r>
    </w:p>
    <w:p>
      <w:pPr>
        <w:spacing w:after="160"/>
      </w:pPr>
      <w:r>
        <w:t xml:space="preserve"/>
      </w:r>
    </w:p>
    <w:p>
      <w:pPr>
        <w:pStyle w:val="Heading2"/>
        <w:spacing w:before="240" w:after="120"/>
      </w:pPr>
      <w:r>
        <w:rPr>
          <w:rFonts w:ascii="Arial" w:cs="Arial" w:eastAsia="Arial" w:hAnsi="Arial"/>
          <w:b/>
          <w:bCs/>
          <w:color w:val="2E75B6"/>
          <w:sz w:val="28"/>
          <w:szCs w:val="28"/>
        </w:rPr>
        <w:t xml:space="preserve">Framing Theory in Nonprofit and Immigration Communication</w:t>
      </w:r>
    </w:p>
    <w:p>
      <w:pPr>
        <w:pBdr>
          <w:left w:val="single" w:color="2E75B6" w:sz="6" w:space="6"/>
        </w:pBdr>
        <w:spacing w:before="80" w:after="180"/>
        <w:ind w:left="400"/>
      </w:pPr>
      <w:r>
        <w:rPr>
          <w:rFonts w:ascii="Arial" w:cs="Arial" w:eastAsia="Arial" w:hAnsi="Arial"/>
          <w:i/>
          <w:iCs/>
          <w:color w:val="2E75B6"/>
          <w:sz w:val="21"/>
          <w:szCs w:val="21"/>
        </w:rPr>
        <w:t xml:space="preserve">[NOTE: Retained as supporting framework. Grounds the coding scheme theoretically. Not a primary pillar but essential for operationalizing the study.]</w:t>
      </w:r>
    </w:p>
    <w:p>
      <w:pPr>
        <w:spacing w:after="180"/>
      </w:pPr>
      <w:r>
        <w:rPr>
          <w:rFonts w:ascii="Arial" w:cs="Arial" w:eastAsia="Arial" w:hAnsi="Arial"/>
          <w:sz w:val="24"/>
          <w:szCs w:val="24"/>
        </w:rPr>
        <w:t xml:space="preserve">Framing theory provides the analytical foundation for the study's coding scheme. Entman's (1993) classic formulation describes framing as the selection and salience of certain aspects of perceived reality in order to define problems, diagnose causes, make moral judgments, and suggest remedies. A webpage or social media post about immigration enforcement can frame raids as a legal threat, a humanitarian crisis, a human rights issue, or a community emergency requiring mobilization — and each choice reflects a deliberate organizational decision about how to position the issue and invite public response.</w:t>
      </w:r>
    </w:p>
    <w:p>
      <w:pPr>
        <w:spacing w:after="180"/>
      </w:pPr>
      <w:r>
        <w:rPr>
          <w:rFonts w:ascii="Arial" w:cs="Arial" w:eastAsia="Arial" w:hAnsi="Arial"/>
          <w:sz w:val="24"/>
          <w:szCs w:val="24"/>
        </w:rPr>
        <w:t xml:space="preserve">Hallahan (1999) extended framing theory to public relations specifically, arguing that strategic message construction is fundamentally a framing process and that framing offers a productive paradigm for understanding both message production and audience response. Research in the American immigration context has demonstrated that framing choices carry measurable consequences: studies of newspaper coverage found that dominant frames shift significantly in response to political context, and that negative framing has stronger effects on policy support than positive framing (Collingwood et al., 2022; Haynes, Merolla, &amp; Ramakrishnan, 2016). Studies of pro-refugee advocacy in Midwestern communities found that organizations strategically combine humanitarian, economic, and civic frames to reach diverse audiences while maintaining consistent advocacy goals (Dixon et al., 2019). The present study treats nonprofit digital communication as a site of deliberate frame construction, observable through systematic coding of websites and social media content.</w:t>
      </w:r>
    </w:p>
    <w:p>
      <w:pPr>
        <w:spacing w:after="160"/>
      </w:pPr>
      <w:r>
        <w:t xml:space="preserve"/>
      </w:r>
    </w:p>
    <w:p>
      <w:pPr>
        <w:pStyle w:val="Heading2"/>
        <w:spacing w:before="240" w:after="120"/>
      </w:pPr>
      <w:r>
        <w:rPr>
          <w:rFonts w:ascii="Arial" w:cs="Arial" w:eastAsia="Arial" w:hAnsi="Arial"/>
          <w:b/>
          <w:bCs/>
          <w:color w:val="2E75B6"/>
          <w:sz w:val="28"/>
          <w:szCs w:val="28"/>
        </w:rPr>
        <w:t xml:space="preserve">NGO Digital Communication: Websites and Social Media as PR Infrastructure</w:t>
      </w:r>
    </w:p>
    <w:p>
      <w:pPr>
        <w:pBdr>
          <w:left w:val="single" w:color="2E75B6" w:sz="6" w:space="6"/>
        </w:pBdr>
        <w:spacing w:before="80" w:after="180"/>
        <w:ind w:left="400"/>
      </w:pPr>
      <w:r>
        <w:rPr>
          <w:rFonts w:ascii="Arial" w:cs="Arial" w:eastAsia="Arial" w:hAnsi="Arial"/>
          <w:i/>
          <w:iCs/>
          <w:color w:val="2E75B6"/>
          <w:sz w:val="21"/>
          <w:szCs w:val="21"/>
        </w:rPr>
        <w:t xml:space="preserve">[NOTE: Expanded in v3 to integrate social media platforms explicitly alongside websites. Grounds the multi-platform design methodologically.]</w:t>
      </w:r>
    </w:p>
    <w:p>
      <w:pPr>
        <w:spacing w:after="180"/>
      </w:pPr>
      <w:r>
        <w:rPr>
          <w:rFonts w:ascii="Arial" w:cs="Arial" w:eastAsia="Arial" w:hAnsi="Arial"/>
          <w:sz w:val="24"/>
          <w:szCs w:val="24"/>
        </w:rPr>
        <w:t xml:space="preserve">Scholarship on NGO digital communication has established that organizational websites and social media channels function as primary infrastructure for relationship building, public education, and advocacy mobilization. Research has consistently found that NGO internet presence is characterized by asymmetrical, one-way communication — with organizations using digital channels primarily to disseminate information rather than to enable dialogue — but that this asymmetry is strategic rather than incidental: organizations use their controlled digital channels to position themselves, frame issues, and guide publics toward specific understandings and actions (Saxton &amp; Guo, 2011).</w:t>
      </w:r>
    </w:p>
    <w:p>
      <w:pPr>
        <w:spacing w:after="180"/>
      </w:pPr>
      <w:r>
        <w:rPr>
          <w:rFonts w:ascii="Arial" w:cs="Arial" w:eastAsia="Arial" w:hAnsi="Arial"/>
          <w:sz w:val="24"/>
          <w:szCs w:val="24"/>
        </w:rPr>
        <w:t xml:space="preserve">Lovejoy and Saxton's (2012) foundational typology of nonprofit digital communication categorizes organizational messages along three dimensions — Information, Community, and Action — and has been validated and extended across more than 100 subsequent studies. Research synthesizing a decade of applications found that nonprofit digital content averages approximately 51% information, 24% community, and 26% action messages, with organizations tending to prioritize information dissemination even when mobilization is an explicit goal. The present study's coding categories — including tone, call to action, and target public — build on this framework while extending it to the specific context of enforcement-related communication across websites and social media, where the balance between informational, reassuring, and mobilizing messages is expected to vary by both organizational type and platform.</w:t>
      </w:r>
    </w:p>
    <w:p>
      <w:pPr>
        <w:spacing w:after="180"/>
      </w:pPr>
      <w:r>
        <w:rPr>
          <w:rFonts w:ascii="Arial" w:cs="Arial" w:eastAsia="Arial" w:hAnsi="Arial"/>
          <w:sz w:val="24"/>
          <w:szCs w:val="24"/>
        </w:rPr>
        <w:t xml:space="preserve">Research specifically examining nonprofit use of Facebook and X in advocacy contexts has found that these platforms enable what Lee and Xu (2020) call strategic frame adaptation — the transformation of broader organizational frames to fit platform-specific audiences and communication norms. Studies of immigrant-advocacy NGOs on social media found that organizations engage in frame adaptation across platforms, using hashtags, visual content, and short-form text to translate institutional positions into community-resonant messages (Lee &amp; Xu, 2020). The present study's two-tier design — websites as primary data, Facebook and X as secondary data — allows direct examination of whether and how this adaptation occurs across an organization's digital ecosystem, and whether legal-service, direct-service, and advocacy organizations display different patterns of cross-platform consistency or adaptation.</w:t>
      </w:r>
    </w:p>
    <w:p>
      <w:pPr>
        <w:spacing w:after="160"/>
      </w:pPr>
      <w:r>
        <w:t xml:space="preserve"/>
      </w:r>
    </w:p>
    <w:p>
      <w:pPr>
        <w:pStyle w:val="Heading2"/>
        <w:spacing w:before="240" w:after="120"/>
      </w:pPr>
      <w:r>
        <w:rPr>
          <w:rFonts w:ascii="Arial" w:cs="Arial" w:eastAsia="Arial" w:hAnsi="Arial"/>
          <w:b/>
          <w:bCs/>
          <w:color w:val="2E75B6"/>
          <w:sz w:val="28"/>
          <w:szCs w:val="28"/>
        </w:rPr>
        <w:t xml:space="preserve">Immigration Communication and Civil Society in the American Context</w:t>
      </w:r>
    </w:p>
    <w:p>
      <w:pPr>
        <w:pBdr>
          <w:left w:val="single" w:color="C4880A" w:sz="6" w:space="6"/>
        </w:pBdr>
        <w:spacing w:before="80" w:after="180"/>
        <w:ind w:left="400"/>
      </w:pPr>
      <w:r>
        <w:rPr>
          <w:rFonts w:ascii="Arial" w:cs="Arial" w:eastAsia="Arial" w:hAnsi="Arial"/>
          <w:i/>
          <w:iCs/>
          <w:color w:val="C4880A"/>
          <w:sz w:val="21"/>
          <w:szCs w:val="21"/>
        </w:rPr>
        <w:t xml:space="preserve">[NEW LIT: Substantially expanded. All new citations flagged for verification before submission.]</w:t>
      </w:r>
    </w:p>
    <w:p>
      <w:pPr>
        <w:spacing w:after="180"/>
      </w:pPr>
      <w:r>
        <w:rPr>
          <w:rFonts w:ascii="Arial" w:cs="Arial" w:eastAsia="Arial" w:hAnsi="Arial"/>
          <w:sz w:val="24"/>
          <w:szCs w:val="24"/>
        </w:rPr>
        <w:t xml:space="preserve">Research on immigration communication has focused primarily on news media framing, electoral discourse, and government messaging. This body of work has demonstrated that how immigration is framed in public discourse has measurable consequences for public attitudes and policy support. Studies comparing newspaper coverage across enforcement periods have found that dominant frames shift significantly in response to political context — from economic frames to criminal frames to family-based frames — and that negative framing has stronger effects on policy support than positive framing (Collingwood et al., 2022; Haynes, Merolla, &amp; Ramakrishnan, 2016).</w:t>
      </w:r>
    </w:p>
    <w:p>
      <w:pPr>
        <w:spacing w:after="180"/>
      </w:pPr>
      <w:r>
        <w:rPr>
          <w:rFonts w:ascii="Arial" w:cs="Arial" w:eastAsia="Arial" w:hAnsi="Arial"/>
          <w:sz w:val="24"/>
          <w:szCs w:val="24"/>
        </w:rPr>
        <w:t xml:space="preserve">Beyond media framing, research has established that immigration enforcement itself produces communicative consequences that make nonprofit digital PR work urgent. The 'chilling effect' literature documents that enforcement programs reduce immigrant communities' engagement with public services, healthcare, legal systems, and civic life — not only among undocumented individuals but among lawfully present immigrants, mixed-status families, and U.S. citizen community members (Friedman &amp; Venkataramani, 2021; Herring &amp; Barnow, 2025; Watson &amp; Thompson, 2022). Nonprofit digital communication that provides trusted information, practical guidance, and rights-based reassurance is a direct counter-intervention against this civic withdrawal.</w:t>
      </w:r>
    </w:p>
    <w:p>
      <w:pPr>
        <w:spacing w:after="180"/>
      </w:pPr>
      <w:r>
        <w:rPr>
          <w:rFonts w:ascii="Arial" w:cs="Arial" w:eastAsia="Arial" w:hAnsi="Arial"/>
          <w:sz w:val="24"/>
          <w:szCs w:val="24"/>
        </w:rPr>
        <w:t xml:space="preserve">Chand et al. (2021) provided the most direct empirical evidence of nonprofit communicative efficacy in enforcement contexts, demonstrating through analysis of 1,079 nonprofits that the availability of nonprofit legal aid predicts local removal rates — meaning nonprofit communication and service delivery together measurably reshape enforcement outcomes. De Graauw (2016) documented how immigrant-serving nonprofits use strategic issue framing alongside cross-organizational collaboration to achieve policy gains despite resource constraints. Sorrell-Medina (2022) identified more than 100 distinct strategies that U.S. immigrant-serving nonprofits use to contribute to immigrant inclusion, finding communication to be central rather than peripheral to organizational strategy under enforcement pressure.</w:t>
      </w:r>
    </w:p>
    <w:p>
      <w:pPr>
        <w:spacing w:after="180"/>
      </w:pPr>
      <w:r>
        <w:rPr>
          <w:rFonts w:ascii="Arial" w:cs="Arial" w:eastAsia="Arial" w:hAnsi="Arial"/>
          <w:sz w:val="24"/>
          <w:szCs w:val="24"/>
        </w:rPr>
        <w:t xml:space="preserve">Research on nonprofit advocacy NGOs on social media has shown that organizations engage in strategic frame adaptation and digital coordination in response to sudden political change, with disparate organizations converging around shared frames and messaging networks in enforcement contexts (Lee &amp; Xu, 2020). Recent reporting has also documented the emergence of sophisticated digital rapid response networks through which nonprofit organizations coordinate enforcement alerts, legal referrals, and solidarity messaging across platforms — and the political contestation of these networks (Deng, 2025). This context, in which nonprofit digital communication is simultaneously protective, informational, and politically contested, makes systematic multi-platform analysis both timely and theoretically significant.</w:t>
      </w:r>
    </w:p>
    <w:p>
      <w:pPr>
        <w:spacing w:after="160"/>
      </w:pPr>
      <w:r>
        <w:t xml:space="preserve"/>
      </w:r>
    </w:p>
    <w:p>
      <w:pPr>
        <w:pStyle w:val="Heading2"/>
        <w:spacing w:before="240" w:after="120"/>
      </w:pPr>
      <w:r>
        <w:rPr>
          <w:rFonts w:ascii="Arial" w:cs="Arial" w:eastAsia="Arial" w:hAnsi="Arial"/>
          <w:b/>
          <w:bCs/>
          <w:color w:val="2E75B6"/>
          <w:sz w:val="28"/>
          <w:szCs w:val="28"/>
        </w:rPr>
        <w:t xml:space="preserve">Gap in the Literature</w:t>
      </w:r>
    </w:p>
    <w:p>
      <w:pPr>
        <w:spacing w:after="180"/>
      </w:pPr>
      <w:r>
        <w:rPr>
          <w:rFonts w:ascii="Arial" w:cs="Arial" w:eastAsia="Arial" w:hAnsi="Arial"/>
          <w:sz w:val="24"/>
          <w:szCs w:val="24"/>
        </w:rPr>
        <w:t xml:space="preserve">Although nonprofit PR, civil society theory, immigration communication, and NGO digital communication research are each well developed, their intersection in the specific context of multi-platform immigrant-serving nonprofit communication during enforcement escalation remains unstudied. Existing work provides strong conceptual tools for analyzing issue framing, organization-public relationships, and civil society network dynamics. However, it has not produced systematic comparative analysis of whether legal-service, direct-service, and advocacy organizations display different communicative strategies across their digital ecosystems — and has not examined how framing patterns on organizational websites compare to or extend into linked social media channels.</w:t>
      </w:r>
    </w:p>
    <w:p>
      <w:pPr>
        <w:spacing w:after="180"/>
      </w:pPr>
      <w:r>
        <w:rPr>
          <w:rFonts w:ascii="Arial" w:cs="Arial" w:eastAsia="Arial" w:hAnsi="Arial"/>
          <w:sz w:val="24"/>
          <w:szCs w:val="24"/>
        </w:rPr>
        <w:t xml:space="preserve">This gap is especially meaningful in a context like the Twin Cities, where multiple organizations publicly engage immigration as simultaneously legal, humanitarian, and justice-oriented work, and where Minnesota’s nonprofit infrastructure has made ICE preparedness and enforcement response highly visible across organizational digital channels. The present study addresses this gap by developing a replicable two-tier coding framework — websites as primary units, Facebook and X as secondary data — and applying it comparatively across organizational types during a period of active enforcement escalation.</w:t>
      </w:r>
    </w:p>
    <w:p>
      <w:pPr>
        <w:pBdr>
          <w:left w:val="single" w:color="267342" w:sz="6" w:space="6"/>
        </w:pBdr>
        <w:spacing w:before="80" w:after="180"/>
        <w:ind w:left="400"/>
      </w:pPr>
      <w:r>
        <w:rPr>
          <w:rFonts w:ascii="Arial" w:cs="Arial" w:eastAsia="Arial" w:hAnsi="Arial"/>
          <w:i/>
          <w:iCs/>
          <w:color w:val="267342"/>
          <w:sz w:val="21"/>
          <w:szCs w:val="21"/>
        </w:rPr>
        <w:t xml:space="preserve">[V3 ADDITION: L’Etang (2005) integrated here to position the study within the critical turn in PR scholarship. Use sparingly — one to two sentences maximum. Do not over-cite this source.]</w:t>
      </w:r>
    </w:p>
    <w:p>
      <w:pPr>
        <w:spacing w:after="180"/>
      </w:pPr>
      <w:r>
        <w:rPr>
          <w:rFonts w:ascii="Arial" w:cs="Arial" w:eastAsia="Arial" w:hAnsi="Arial"/>
          <w:sz w:val="24"/>
          <w:szCs w:val="24"/>
        </w:rPr>
        <w:t xml:space="preserve">The present study’s theoretical orientation reflects a deliberate alignment with what L’Etang (2005) identified as the critical and cocreational turn in public relations scholarship — a tradition that moves beyond the functional, organization-centered paradigm to ask how PR communication operates in relation to power, vulnerability, and the conditions of public life. Immigrant-serving nonprofits communicating about immigration enforcement are not using PR to manage organizational reputation or promote organizational interests in the conventional sense; they are using communication in defense of communities whose civic participation is under threat. That is precisely the kind of PR work the critical tradition insists the field must be equipped to study. By grounding the analysis in civil society enactment theory and nonprofit relationship management rather than the excellence framework, this study positions itself to examine not only what these organizations communicate, but what that communication means for the communities and civic conditions it is designed to protect.</w:t>
      </w:r>
    </w:p>
    <w:p>
      <w:pPr>
        <w:spacing w:after="160"/>
      </w:pPr>
      <w:r>
        <w:t xml:space="preserve"/>
      </w:r>
    </w:p>
    <w:p>
      <w:pPr>
        <w:pStyle w:val="Heading1"/>
        <w:spacing w:before="320" w:after="160"/>
      </w:pPr>
      <w:r>
        <w:rPr>
          <w:rFonts w:ascii="Arial" w:cs="Arial" w:eastAsia="Arial" w:hAnsi="Arial"/>
          <w:b/>
          <w:bCs/>
          <w:color w:val="1F3864"/>
          <w:sz w:val="32"/>
          <w:szCs w:val="32"/>
        </w:rPr>
        <w:t xml:space="preserve">Theoretical Framework</w:t>
      </w:r>
    </w:p>
    <w:p>
      <w:pPr>
        <w:pBdr>
          <w:left w:val="single" w:color="267342" w:sz="6" w:space="6"/>
        </w:pBdr>
        <w:spacing w:before="80" w:after="180"/>
        <w:ind w:left="400"/>
      </w:pPr>
      <w:r>
        <w:rPr>
          <w:rFonts w:ascii="Arial" w:cs="Arial" w:eastAsia="Arial" w:hAnsi="Arial"/>
          <w:i/>
          <w:iCs/>
          <w:color w:val="267342"/>
          <w:sz w:val="21"/>
          <w:szCs w:val="21"/>
        </w:rPr>
        <w:t xml:space="preserve">[V3 CHANGE: Revised to reflect two-framework design. Framing theory retained as analytical tool for operationalizing the coding scheme, not as a primary theoretical pillar. Public interest communication removed.]</w:t>
      </w:r>
    </w:p>
    <w:p>
      <w:pPr>
        <w:spacing w:after="180"/>
      </w:pPr>
      <w:r>
        <w:rPr>
          <w:rFonts w:ascii="Arial" w:cs="Arial" w:eastAsia="Arial" w:hAnsi="Arial"/>
          <w:sz w:val="24"/>
          <w:szCs w:val="24"/>
        </w:rPr>
        <w:t xml:space="preserve">This study is grounded in two primary theoretical frameworks: nonprofit public relations and relationship management theory, and Taylor's (2009, 2010) civil society enactment theory. These two frameworks are complementary at different levels of analysis. Relationship management theory explains what nonprofit organizations are doing when they communicate — building trust, managing legitimacy, and sustaining relationships with multiple publics across digital channels. Civil society enactment theory explains why that communication matters at a societal level — and what is at stake when enforcement conditions threaten the communicative infrastructure that civil society requires.</w:t>
      </w:r>
    </w:p>
    <w:p>
      <w:pPr>
        <w:spacing w:after="180"/>
      </w:pPr>
      <w:r>
        <w:rPr>
          <w:rFonts w:ascii="Arial" w:cs="Arial" w:eastAsia="Arial" w:hAnsi="Arial"/>
          <w:sz w:val="24"/>
          <w:szCs w:val="24"/>
        </w:rPr>
        <w:t xml:space="preserve">Nonprofit public relations and relationship management theory (Hon &amp; Grunig, 1999; Ledingham &amp; Bruning, 2000) positions PR as a strategic function concerned with the quality and durability of organization-public relationships. In the context of this study, the websites and social media channels of immigrant-serving nonprofits are analyzed as relationship-building instruments — tools through which organizations simultaneously communicate trust to vulnerable clients, signal institutional identity to donor and partner publics, and mobilize civic engagement from broader community audiences. The multi-platform design of the study reflects the reality that these relationship-building functions now operate across integrated digital ecosystems, not through any single channel.</w:t>
      </w:r>
    </w:p>
    <w:p>
      <w:pPr>
        <w:spacing w:after="180"/>
      </w:pPr>
      <w:r>
        <w:rPr>
          <w:rFonts w:ascii="Arial" w:cs="Arial" w:eastAsia="Arial" w:hAnsi="Arial"/>
          <w:sz w:val="24"/>
          <w:szCs w:val="24"/>
        </w:rPr>
        <w:t xml:space="preserve">Civil society enactment theory (Taylor, 2009, 2010; Taylor &amp; Doerfel, 2003) provides the macro-level frame that situates relationship management within a larger societal purpose. Taylor argues that nonprofit organizations — as the third sector — are the primary producers of social capital, and that their communication work creates and sustains the conditions that make civil society possible. Immigration enforcement disrupts precisely those conditions: it generates fear, restricts discourse, and withdraws communities from civic life. The digital communication of immigrant-serving nonprofits is therefore not simply organizational PR — it is civil society infrastructure work, performed under conditions of political threat.</w:t>
      </w:r>
    </w:p>
    <w:p>
      <w:pPr>
        <w:spacing w:after="180"/>
      </w:pPr>
      <w:r>
        <w:rPr>
          <w:rFonts w:ascii="Arial" w:cs="Arial" w:eastAsia="Arial" w:hAnsi="Arial"/>
          <w:sz w:val="24"/>
          <w:szCs w:val="24"/>
        </w:rPr>
        <w:t xml:space="preserve">Framing theory (Entman, 1993; Hallahan, 1999) serves as the analytical bridge between these two frameworks and the empirical coding scheme. Framing explains how organizations make the rhetorical choices that constitute both relationship management and civil society enactment — defining problems, diagnosing causes, making moral judgments, and suggesting remedies through the selection and salience of specific message elements. The coding categories in this study — dominant frame, tone, target public, call to action, and projected organizational role — operationalize framing theory in a way that is observable across both websites and social media content and comparable across organizational types and platform types.</w:t>
      </w:r>
    </w:p>
    <w:p>
      <w:pPr>
        <w:spacing w:after="180"/>
      </w:pPr>
      <w:r>
        <w:rPr>
          <w:rFonts w:ascii="Arial" w:cs="Arial" w:eastAsia="Arial" w:hAnsi="Arial"/>
          <w:sz w:val="24"/>
          <w:szCs w:val="24"/>
        </w:rPr>
        <w:t xml:space="preserve">Together, these theoretical commitments produce the central argument of the study: the multi-platform digital ecosystem of immigrant-serving nonprofits is a strategically constructed civil society instrument. It performs relationship management and social capital functions simultaneously, across interconnected channels, under conditions that make those functions both more difficult and more necessary. The study's comparative design — across organizational types and across platforms — tests whether different organizations enact civil society through different communicative strategies, and whether those strategies are consistent or adapted across the digital channels they control.</w:t>
      </w:r>
    </w:p>
    <w:p>
      <w:pPr>
        <w:spacing w:after="160"/>
      </w:pPr>
      <w:r>
        <w:t xml:space="preserve"/>
      </w:r>
    </w:p>
    <w:p>
      <w:pPr>
        <w:pStyle w:val="Heading1"/>
        <w:spacing w:before="320" w:after="160"/>
      </w:pPr>
      <w:r>
        <w:rPr>
          <w:rFonts w:ascii="Arial" w:cs="Arial" w:eastAsia="Arial" w:hAnsi="Arial"/>
          <w:b/>
          <w:bCs/>
          <w:color w:val="1F3864"/>
          <w:sz w:val="32"/>
          <w:szCs w:val="32"/>
        </w:rPr>
        <w:t xml:space="preserve">Research Questions and Hypotheses</w:t>
      </w:r>
    </w:p>
    <w:p>
      <w:pPr>
        <w:pBdr>
          <w:left w:val="single" w:color="267342" w:sz="6" w:space="6"/>
        </w:pBdr>
        <w:spacing w:before="80" w:after="180"/>
        <w:ind w:left="400"/>
      </w:pPr>
      <w:r>
        <w:rPr>
          <w:rFonts w:ascii="Arial" w:cs="Arial" w:eastAsia="Arial" w:hAnsi="Arial"/>
          <w:i/>
          <w:iCs/>
          <w:color w:val="267342"/>
          <w:sz w:val="21"/>
          <w:szCs w:val="21"/>
        </w:rPr>
        <w:t xml:space="preserve">[V3 CHANGE: RQ6 and H5 added in v3 to reflect the multi-platform expansion. RQ6 addresses platform-type differences in framing. H5 addresses cross-platform framing consistency by organizational type.]</w:t>
      </w:r>
    </w:p>
    <w:p>
      <w:pPr>
        <w:spacing w:after="180"/>
      </w:pPr>
      <w:r>
        <w:rPr>
          <w:rFonts w:ascii="Arial" w:cs="Arial" w:eastAsia="Arial" w:hAnsi="Arial"/>
          <w:sz w:val="24"/>
          <w:szCs w:val="24"/>
        </w:rPr>
        <w:t xml:space="preserve">The study is guided by the following research questions:</w:t>
      </w:r>
    </w:p>
    <w:p>
      <w:pPr>
        <w:spacing w:after="180"/>
      </w:pPr>
      <w:r>
        <w:rPr>
          <w:rFonts w:ascii="Arial" w:cs="Arial" w:eastAsia="Arial" w:hAnsi="Arial"/>
          <w:sz w:val="24"/>
          <w:szCs w:val="24"/>
        </w:rPr>
        <w:t xml:space="preserve">RQ1: What communication frames appear most frequently in Twin Cities nonprofit digital communication about immigration enforcement across websites, Facebook, and X?</w:t>
      </w:r>
    </w:p>
    <w:p>
      <w:pPr>
        <w:spacing w:after="180"/>
      </w:pPr>
      <w:r>
        <w:rPr>
          <w:rFonts w:ascii="Arial" w:cs="Arial" w:eastAsia="Arial" w:hAnsi="Arial"/>
          <w:sz w:val="24"/>
          <w:szCs w:val="24"/>
        </w:rPr>
        <w:t xml:space="preserve">RQ2: How do communication frames differ across legal-service, direct-service, and advocacy-oriented nonprofits?</w:t>
      </w:r>
    </w:p>
    <w:p>
      <w:pPr>
        <w:spacing w:after="180"/>
      </w:pPr>
      <w:r>
        <w:rPr>
          <w:rFonts w:ascii="Arial" w:cs="Arial" w:eastAsia="Arial" w:hAnsi="Arial"/>
          <w:sz w:val="24"/>
          <w:szCs w:val="24"/>
        </w:rPr>
        <w:t xml:space="preserve">RQ3: What tones are most common in nonprofit digital communication about immigration enforcement?</w:t>
      </w:r>
    </w:p>
    <w:p>
      <w:pPr>
        <w:spacing w:after="180"/>
      </w:pPr>
      <w:r>
        <w:rPr>
          <w:rFonts w:ascii="Arial" w:cs="Arial" w:eastAsia="Arial" w:hAnsi="Arial"/>
          <w:sz w:val="24"/>
          <w:szCs w:val="24"/>
        </w:rPr>
        <w:t xml:space="preserve">RQ4: Which target publics are most frequently addressed in nonprofit digital communication on immigration enforcement?</w:t>
      </w:r>
    </w:p>
    <w:p>
      <w:pPr>
        <w:spacing w:after="180"/>
      </w:pPr>
      <w:r>
        <w:rPr>
          <w:rFonts w:ascii="Arial" w:cs="Arial" w:eastAsia="Arial" w:hAnsi="Arial"/>
          <w:sz w:val="24"/>
          <w:szCs w:val="24"/>
        </w:rPr>
        <w:t xml:space="preserve">RQ5: What types of calls to action are most commonly used in nonprofit digital communication about immigration enforcement?</w:t>
      </w:r>
    </w:p>
    <w:p>
      <w:pPr>
        <w:spacing w:after="180"/>
      </w:pPr>
      <w:r>
        <w:rPr>
          <w:rFonts w:ascii="Arial" w:cs="Arial" w:eastAsia="Arial" w:hAnsi="Arial"/>
          <w:sz w:val="24"/>
          <w:szCs w:val="24"/>
        </w:rPr>
        <w:t xml:space="preserve">RQ6: How do communication frames, tones, target publics, and calls to action differ across platform types — organizational websites versus Facebook versus X — within the same organizational sample?</w:t>
      </w:r>
    </w:p>
    <w:p>
      <w:pPr>
        <w:spacing w:after="160"/>
      </w:pPr>
      <w:r>
        <w:t xml:space="preserve"/>
      </w:r>
    </w:p>
    <w:p>
      <w:pPr>
        <w:spacing w:after="180"/>
      </w:pPr>
      <w:r>
        <w:rPr>
          <w:rFonts w:ascii="Arial" w:cs="Arial" w:eastAsia="Arial" w:hAnsi="Arial"/>
          <w:sz w:val="24"/>
          <w:szCs w:val="24"/>
        </w:rPr>
        <w:t xml:space="preserve">The following hypotheses are proposed:</w:t>
      </w:r>
    </w:p>
    <w:p>
      <w:pPr>
        <w:spacing w:after="180"/>
      </w:pPr>
      <w:r>
        <w:rPr>
          <w:rFonts w:ascii="Arial" w:cs="Arial" w:eastAsia="Arial" w:hAnsi="Arial"/>
          <w:sz w:val="24"/>
          <w:szCs w:val="24"/>
        </w:rPr>
        <w:t xml:space="preserve">H1: Advocacy-oriented nonprofits will use justice and mobilization frames more frequently than direct-service nonprofits across all platforms.</w:t>
      </w:r>
    </w:p>
    <w:p>
      <w:pPr>
        <w:spacing w:after="180"/>
      </w:pPr>
      <w:r>
        <w:rPr>
          <w:rFonts w:ascii="Arial" w:cs="Arial" w:eastAsia="Arial" w:hAnsi="Arial"/>
          <w:sz w:val="24"/>
          <w:szCs w:val="24"/>
        </w:rPr>
        <w:t xml:space="preserve">H2: Legal-service nonprofits will use legal-rights frames more frequently than other nonprofit types across all platforms.</w:t>
      </w:r>
    </w:p>
    <w:p>
      <w:pPr>
        <w:spacing w:after="180"/>
      </w:pPr>
      <w:r>
        <w:rPr>
          <w:rFonts w:ascii="Arial" w:cs="Arial" w:eastAsia="Arial" w:hAnsi="Arial"/>
          <w:sz w:val="24"/>
          <w:szCs w:val="24"/>
        </w:rPr>
        <w:t xml:space="preserve">H3: Direct-service nonprofits will use reassuring and informational tones more frequently than advocacy-oriented nonprofits.</w:t>
      </w:r>
    </w:p>
    <w:p>
      <w:pPr>
        <w:spacing w:after="180"/>
      </w:pPr>
      <w:r>
        <w:rPr>
          <w:rFonts w:ascii="Arial" w:cs="Arial" w:eastAsia="Arial" w:hAnsi="Arial"/>
          <w:sz w:val="24"/>
          <w:szCs w:val="24"/>
        </w:rPr>
        <w:t xml:space="preserve">H4: Advocacy-oriented nonprofits will include policy-action and collective-action calls to action more frequently than legal-service and direct-service nonprofits.</w:t>
      </w:r>
    </w:p>
    <w:p>
      <w:pPr>
        <w:spacing w:after="180"/>
      </w:pPr>
      <w:r>
        <w:rPr>
          <w:rFonts w:ascii="Arial" w:cs="Arial" w:eastAsia="Arial" w:hAnsi="Arial"/>
          <w:sz w:val="24"/>
          <w:szCs w:val="24"/>
        </w:rPr>
        <w:t xml:space="preserve">H5: Advocacy-oriented nonprofits will display greater framing consistency across websites and social media platforms than direct-service nonprofits, whose social media content will tend toward community-building tones while website content remains more informational.</w:t>
      </w:r>
    </w:p>
    <w:p>
      <w:pPr>
        <w:spacing w:after="160"/>
      </w:pPr>
      <w:r>
        <w:t xml:space="preserve"/>
      </w:r>
    </w:p>
    <w:p>
      <w:pPr>
        <w:pStyle w:val="Heading1"/>
        <w:spacing w:before="320" w:after="160"/>
      </w:pPr>
      <w:r>
        <w:rPr>
          <w:rFonts w:ascii="Arial" w:cs="Arial" w:eastAsia="Arial" w:hAnsi="Arial"/>
          <w:b/>
          <w:bCs/>
          <w:color w:val="1F3864"/>
          <w:sz w:val="32"/>
          <w:szCs w:val="32"/>
        </w:rPr>
        <w:t xml:space="preserve">Methodology</w:t>
      </w:r>
    </w:p>
    <w:p>
      <w:pPr>
        <w:pStyle w:val="Heading2"/>
        <w:spacing w:before="240" w:after="120"/>
      </w:pPr>
      <w:r>
        <w:rPr>
          <w:rFonts w:ascii="Arial" w:cs="Arial" w:eastAsia="Arial" w:hAnsi="Arial"/>
          <w:b/>
          <w:bCs/>
          <w:color w:val="2E75B6"/>
          <w:sz w:val="28"/>
          <w:szCs w:val="28"/>
        </w:rPr>
        <w:t xml:space="preserve">Research Design</w:t>
      </w:r>
    </w:p>
    <w:p>
      <w:pPr>
        <w:spacing w:after="180"/>
      </w:pPr>
      <w:r>
        <w:rPr>
          <w:rFonts w:ascii="Arial" w:cs="Arial" w:eastAsia="Arial" w:hAnsi="Arial"/>
          <w:sz w:val="24"/>
          <w:szCs w:val="24"/>
        </w:rPr>
        <w:t xml:space="preserve">This study employs quantitative content analysis to examine the multi-platform digital communication of selected Twin Cities nonprofit organizations in response to immigration enforcement. Quantitative content analysis is well suited for identifying recurring patterns across communication texts and for enabling systematic comparison across organizational categories and platform types (Neuendorf, 2017). The design is primarily deductive: theory-informed coding categories derived from framing theory, nonprofit public relations, and civil society enactment theory are applied to a purposive corpus of digital content. A secondary inductive allowance permits identification of emergent patterns not anticipated by the coding scheme. The two-tier data structure — websites as primary units, Facebook and X posts as secondary units — enables both within-organization cross-platform comparison and between-organization comparison across organizational types.</w:t>
      </w:r>
    </w:p>
    <w:p>
      <w:pPr>
        <w:pStyle w:val="Heading2"/>
        <w:spacing w:before="240" w:after="120"/>
      </w:pPr>
      <w:r>
        <w:rPr>
          <w:rFonts w:ascii="Arial" w:cs="Arial" w:eastAsia="Arial" w:hAnsi="Arial"/>
          <w:b/>
          <w:bCs/>
          <w:color w:val="2E75B6"/>
          <w:sz w:val="28"/>
          <w:szCs w:val="28"/>
        </w:rPr>
        <w:t xml:space="preserve">Population and Sampling Frame</w:t>
      </w:r>
    </w:p>
    <w:p>
      <w:pPr>
        <w:spacing w:after="180"/>
      </w:pPr>
      <w:r>
        <w:rPr>
          <w:rFonts w:ascii="Arial" w:cs="Arial" w:eastAsia="Arial" w:hAnsi="Arial"/>
          <w:sz w:val="24"/>
          <w:szCs w:val="24"/>
        </w:rPr>
        <w:t xml:space="preserve">The population consists of immigrant-serving and immigrant-rights nonprofit organizations operating in the Twin Cities metropolitan area and maintaining public websites with active linked social media accounts. Organizations are classified into three types on the basis of primary mandate: legal-service (organizations whose principal activity is immigration legal representation), direct-service (organizations providing non-legal support services to immigrant or refugee communities), and advocacy-oriented (organizations whose principal activity is policy change, rights promotion, or community organizing). The purposive sample for this study comprises eight organizations selected to ensure a minimum of two per organizational type and to capture meaningful variation in organizational mission, community served, and institutional character.</w:t>
      </w:r>
    </w:p>
    <w:p>
      <w:pPr>
        <w:spacing w:after="180"/>
      </w:pPr>
      <w:r>
        <w:rPr>
          <w:rFonts w:ascii="Arial" w:cs="Arial" w:eastAsia="Arial" w:hAnsi="Arial"/>
          <w:sz w:val="24"/>
          <w:szCs w:val="24"/>
        </w:rPr>
        <w:t xml:space="preserve">Two legal-service organizations are included. The Immigrant Law Center of Minnesota (ILCM; ilcm.org) is the only statewide comprehensive free immigration legal services provider in Minnesota, offering legal representation, community education, and policy advocacy across six offices. The Advocates for Human Rights (theadvocatesforhumanrights.org) provides legal representation in asylum, detention, and trafficking cases and combines direct legal service with systemic advocacy, making it a bridge organization between the legal-service and advocacy types.</w:t>
      </w:r>
    </w:p>
    <w:p>
      <w:pPr>
        <w:spacing w:after="180"/>
      </w:pPr>
      <w:r>
        <w:rPr>
          <w:rFonts w:ascii="Arial" w:cs="Arial" w:eastAsia="Arial" w:hAnsi="Arial"/>
          <w:sz w:val="24"/>
          <w:szCs w:val="24"/>
        </w:rPr>
        <w:t xml:space="preserve">Two advocacy-oriented organizations are included. Unidos MN (unidos-mn.org) is an immigrant-led, multiracial grassroots organization that combines justice-oriented advocacy with direct community organizing, and was among the organizations that coordinated the January 23, 2026 airport action while simultaneously publishing community guidance across its digital channels. The Minnesota Interfaith Coalition on Immigration (ICOM; mnicom.org) is a faith-grounded antiracist advocacy organization founded in 2008, active at the Whipple Federal Building vigils, and engaged in legislative campaigns to limit local law enforcement cooperation with ICE. Together these two organizations represent secular-political and faith-based advocacy framings.</w:t>
      </w:r>
    </w:p>
    <w:p>
      <w:pPr>
        <w:spacing w:after="180"/>
      </w:pPr>
      <w:r>
        <w:rPr>
          <w:rFonts w:ascii="Arial" w:cs="Arial" w:eastAsia="Arial" w:hAnsi="Arial"/>
          <w:sz w:val="24"/>
          <w:szCs w:val="24"/>
        </w:rPr>
        <w:t xml:space="preserve">Three direct-service organizations are included, selected to represent institutional, ethnic-community-founded, and faith-based variants of the type. The International Institute of Minnesota (IIMN; iimn.org), founded in 1919, is one of Minnesota’s largest refugee and immigrant service providers, offering resettlement, legal assistance, English education, and workforce development to more than 5,700 clients annually; its website and social media confirmed active enforcement-response communication during the study period. The Karen Organization of Minnesota (KOM; mnkaren.org) is the first social services agency in the country founded by Karen refugees from Burma, serving the largest Karen community in the United States alongside clients from Afghanistan, Ukraine, Southeast Asia, East Africa, and Latin America; as a community-founded organization, KOM provides a theoretically important contrast to large institutional providers. Arrive Ministries (arriveministries.org) is a Christian nonprofit refugee resettlement agency accredited by the Department of Justice for immigration legal services, partnering with more than 50 Twin Cities churches; its inclusion allows examination of faith-based direct-service framing, which research suggests may foreground humanitarian and compassion frames more consistently than secular providers. A potential eighth organization — Catholic Charities of St. Paul and Minneapolis — will be confirmed prior to data collection pending verification that the Twin Cities entity (distinct from the Southern Minnesota affiliate) maintains active enforcement-related digital communication within the study period.</w:t>
      </w:r>
    </w:p>
    <w:p>
      <w:pPr>
        <w:spacing w:after="180"/>
      </w:pPr>
      <w:r>
        <w:rPr>
          <w:rFonts w:ascii="Arial" w:cs="Arial" w:eastAsia="Arial" w:hAnsi="Arial"/>
          <w:sz w:val="24"/>
          <w:szCs w:val="24"/>
        </w:rPr>
        <w:t xml:space="preserve">The final sample will comprise seven to eight organizations, with a minimum of two per organizational type. The study period is October 1, 2025 through March 26, 2026 — encompassing the pre-surge period, the full duration of Operation Metro Surge, and its immediate aftermath — chosen to capture nonprofit digital communication across a documented sequence of escalating enforcement intensity directly relevant to the Twin Cities context. For social media data, a bounded sample of up to 30 enforcement-relevant posts per organization per platform (Facebook and X separately) will be collected within the study period. Posts will be selected in reverse chronological order from within the study window, prioritizing posts that substantively address immigration enforcement, detention, legal rights, rapid response, or related organizational responses. This cap ensures cross-organizational comparability while remaining analytically manageable for a single-study design.</w:t>
      </w:r>
    </w:p>
    <w:p>
      <w:pPr>
        <w:pStyle w:val="Heading2"/>
        <w:spacing w:before="240" w:after="120"/>
      </w:pPr>
      <w:r>
        <w:rPr>
          <w:rFonts w:ascii="Arial" w:cs="Arial" w:eastAsia="Arial" w:hAnsi="Arial"/>
          <w:b/>
          <w:bCs/>
          <w:color w:val="2E75B6"/>
          <w:sz w:val="28"/>
          <w:szCs w:val="28"/>
        </w:rPr>
        <w:t xml:space="preserve">Data Collection</w:t>
      </w:r>
    </w:p>
    <w:p>
      <w:pPr>
        <w:spacing w:after="180"/>
      </w:pPr>
      <w:r>
        <w:rPr>
          <w:rFonts w:ascii="Arial" w:cs="Arial" w:eastAsia="Arial" w:hAnsi="Arial"/>
          <w:sz w:val="24"/>
          <w:szCs w:val="24"/>
        </w:rPr>
        <w:t xml:space="preserve">Website data will be collected using a hybrid process combining keyword-based site search and web scraping with manual verification. Search terms applied to each organizational website will include: immigration, immigrant, ICE, raid, deportation, detention, asylum, undocumented, rapid response, enforcement, know your rights, and Operation Metro Surge. Where site structure permits, Python-based tools using requests, BeautifulSoup, and pandas will extract webpage title, URL, publication date, and main body text. JavaScript-rendered or dynamically loaded pages will be collected via manual browser-based archiving. All candidate pages will be manually screened against the relevance criteria before inclusion in the coding corpus.</w:t>
      </w:r>
    </w:p>
    <w:p>
      <w:pPr>
        <w:spacing w:after="180"/>
      </w:pPr>
      <w:r>
        <w:rPr>
          <w:rFonts w:ascii="Arial" w:cs="Arial" w:eastAsia="Arial" w:hAnsi="Arial"/>
          <w:sz w:val="24"/>
          <w:szCs w:val="24"/>
        </w:rPr>
        <w:t xml:space="preserve">Social media data will be collected from the publicly accessible Facebook pages and X accounts of each organization. Given current platform API restrictions, data collection will proceed through systematic manual archiving of public page content within the study period, supplemented by Internet Archive captures where available. Posts will be archived with full text, date, and visible engagement metrics (reactions, shares, comments). Collection will proceed in reverse chronological order within the study window until the 30-post cap per platform per organization is reached or the study period is exhausted. Only posts substantively addressing immigration enforcement, detention, legal rights, rapid response, solidarity, or related organizational responses will be retained. Platform terms-of-service compliance and IRB requirements for public social media data collection will be verified before data collection begins.</w:t>
      </w:r>
    </w:p>
    <w:p>
      <w:pPr>
        <w:pBdr>
          <w:left w:val="single" w:color="2E75B6" w:sz="6" w:space="6"/>
        </w:pBdr>
        <w:spacing w:before="80" w:after="180"/>
        <w:ind w:left="400"/>
      </w:pPr>
      <w:r>
        <w:rPr>
          <w:rFonts w:ascii="Arial" w:cs="Arial" w:eastAsia="Arial" w:hAnsi="Arial"/>
          <w:i/>
          <w:iCs/>
          <w:color w:val="2E75B6"/>
          <w:sz w:val="21"/>
          <w:szCs w:val="21"/>
        </w:rPr>
        <w:t xml:space="preserve">[NOTE: API access and data collection methods for Facebook and X may require IRB review and platform terms-of-service verification before data collection begins. Build this into Month 1 of the timeline.]</w:t>
      </w:r>
    </w:p>
    <w:p>
      <w:pPr>
        <w:pStyle w:val="Heading2"/>
        <w:spacing w:before="240" w:after="120"/>
      </w:pPr>
      <w:r>
        <w:rPr>
          <w:rFonts w:ascii="Arial" w:cs="Arial" w:eastAsia="Arial" w:hAnsi="Arial"/>
          <w:b/>
          <w:bCs/>
          <w:color w:val="2E75B6"/>
          <w:sz w:val="28"/>
          <w:szCs w:val="28"/>
        </w:rPr>
        <w:t xml:space="preserve">Unit of Analysis</w:t>
      </w:r>
    </w:p>
    <w:p>
      <w:pPr>
        <w:spacing w:after="180"/>
      </w:pPr>
      <w:r>
        <w:rPr>
          <w:rFonts w:ascii="Arial" w:cs="Arial" w:eastAsia="Arial" w:hAnsi="Arial"/>
          <w:sz w:val="24"/>
          <w:szCs w:val="24"/>
        </w:rPr>
        <w:t xml:space="preserve">Two units of analysis are employed. The primary unit is the individual webpage or public website post, including press releases, resource pages, action alerts, blog posts, legal guidance pages, and event pages, provided they contain substantive communication about immigration enforcement or its consequences. The secondary unit is the individual social media post on Facebook or X, collected from the linked accounts of each organization in the sample, meeting the same substantive relevance criteria.</w:t>
      </w:r>
    </w:p>
    <w:p>
      <w:pPr>
        <w:pStyle w:val="Heading2"/>
        <w:spacing w:before="240" w:after="120"/>
      </w:pPr>
      <w:r>
        <w:rPr>
          <w:rFonts w:ascii="Arial" w:cs="Arial" w:eastAsia="Arial" w:hAnsi="Arial"/>
          <w:b/>
          <w:bCs/>
          <w:color w:val="2E75B6"/>
          <w:sz w:val="28"/>
          <w:szCs w:val="28"/>
        </w:rPr>
        <w:t xml:space="preserve">Coding Scheme</w:t>
      </w:r>
    </w:p>
    <w:p>
      <w:pPr>
        <w:spacing w:after="180"/>
      </w:pPr>
      <w:r>
        <w:rPr>
          <w:rFonts w:ascii="Arial" w:cs="Arial" w:eastAsia="Arial" w:hAnsi="Arial"/>
          <w:sz w:val="24"/>
          <w:szCs w:val="24"/>
        </w:rPr>
        <w:t xml:space="preserve">Each unit will be coded for one set of descriptive variables and five analytical variables. Descriptive variables record organization name, organizational type, platform (website, Facebook, or X), URL or post identifier, publication date, and approximate word or character count.</w:t>
      </w:r>
    </w:p>
    <w:p>
      <w:pPr>
        <w:spacing w:after="180"/>
      </w:pPr>
      <w:r>
        <w:rPr>
          <w:rFonts w:ascii="Arial" w:cs="Arial" w:eastAsia="Arial" w:hAnsi="Arial"/>
          <w:sz w:val="24"/>
          <w:szCs w:val="24"/>
        </w:rPr>
        <w:t xml:space="preserve">The first analytical variable is dominant frame, defined as the overarching interpretive logic through which the unit positions immigration enforcement as a social problem. Consistent with Entman’s (1993) formulation, a frame is identified by the problem definition it advances, the causal attribution it implies, the moral evaluation it carries, and the remedy it suggests. Up to two frames may be coded per unit — a primary frame (most extensively developed) and a secondary frame (present but subordinate). Seven frame categories are employed: legal rights (enforcement framed as a constitutional or statutory rights issue requiring legal response); human rights (enforcement framed as a violation of universal human dignity or international norms); humanitarian care (enforcement framed as producing suffering requiring compassionate response); crisis or emergency response (enforcement framed as an acute threat requiring immediate protective action); justice or advocacy (enforcement framed as systemic injustice requiring structural change or collective mobilization); community solidarity (enforcement framed as a shared community threat requiring mutual support); and policy reform (enforcement framed as a policy failure requiring legislative or administrative remedy). When only one frame is identifiable, the secondary frame field is coded as absent.</w:t>
      </w:r>
    </w:p>
    <w:p>
      <w:pPr>
        <w:spacing w:after="180"/>
      </w:pPr>
      <w:r>
        <w:rPr>
          <w:rFonts w:ascii="Arial" w:cs="Arial" w:eastAsia="Arial" w:hAnsi="Arial"/>
          <w:sz w:val="24"/>
          <w:szCs w:val="24"/>
        </w:rPr>
        <w:t xml:space="preserve">The second analytical variable is tone, capturing the affective and rhetorical register of the unit. Six tone categories are employed: urgent (language conveying immediate threat or time-sensitive action); reassuring (language conveying safety, protection, and organizational reliability); informational (neutral, factual, instructional language without marked affective register); mobilizing (language explicitly calling for collective action or participation); compassionate (language foregrounding emotional connection, grief, or care for affected individuals); and confrontational (language explicitly challenging government authority or opposing enforcement actions). Tone categories are not mutually exclusive; up to two tones may be coded per unit, with the primary tone recorded first.</w:t>
      </w:r>
    </w:p>
    <w:p>
      <w:pPr>
        <w:spacing w:after="180"/>
      </w:pPr>
      <w:r>
        <w:rPr>
          <w:rFonts w:ascii="Arial" w:cs="Arial" w:eastAsia="Arial" w:hAnsi="Arial"/>
          <w:sz w:val="24"/>
          <w:szCs w:val="24"/>
        </w:rPr>
        <w:t xml:space="preserve">The third variable is target public, identifying the primary intended audience inferred from content, language register, and any explicit address. Six categories are used: immigrants or immigrant families (direct address to affected community members); donors or supporters (appeal to financial or material contribution); volunteers (appeal to time and labor); policymakers (address to elected officials or government agencies); general public (broad civic or educational address without specific audience signal); and coalition or community partners (address to allied organizations or peer institutions). One target public is coded per unit.</w:t>
      </w:r>
    </w:p>
    <w:p>
      <w:pPr>
        <w:spacing w:after="180"/>
      </w:pPr>
      <w:r>
        <w:rPr>
          <w:rFonts w:ascii="Arial" w:cs="Arial" w:eastAsia="Arial" w:hAnsi="Arial"/>
          <w:sz w:val="24"/>
          <w:szCs w:val="24"/>
        </w:rPr>
        <w:t xml:space="preserve">The fourth variable is call to action, recording the most prominent explicit behavioral directive in the unit. Eight categories are used: seek legal help (directing to legal services); donate (soliciting financial contributions); volunteer (soliciting time or labor); attend event or training (directing to a specific event); contact lawmakers (directing to elected officials); share resources (directing to distribute information to others); report enforcement activity (directing to rapid response networks or hotlines); and no explicit call to action (informational or solidarity content without a behavioral directive). One call-to-action code is assigned per unit.</w:t>
      </w:r>
    </w:p>
    <w:p>
      <w:pPr>
        <w:spacing w:after="180"/>
      </w:pPr>
      <w:r>
        <w:rPr>
          <w:rFonts w:ascii="Arial" w:cs="Arial" w:eastAsia="Arial" w:hAnsi="Arial"/>
          <w:sz w:val="24"/>
          <w:szCs w:val="24"/>
        </w:rPr>
        <w:t xml:space="preserve">The fifth variable is projected organizational role, capturing how the organization implicitly positions itself through the unit’s content and framing. Six categories are used: legal advocate (organization positioned as legal protector or rights defender); service provider (organization positioned as direct support provider); crisis responder (organization positioned as emergency responder); community defender (organization positioned as protector against external threat); coalition builder (organization positioned as connector across organizational networks); and public educator (organization positioned as information provider or civic educator). One role is coded per unit. Operational definitions, constructed anchor examples from pilot coding, and decision rules for borderline cases will be compiled in a full codebook before coding begins.</w:t>
      </w:r>
    </w:p>
    <w:p>
      <w:pPr>
        <w:pBdr>
          <w:left w:val="single" w:color="2E75B6" w:sz="6" w:space="6"/>
        </w:pBdr>
        <w:spacing w:before="80" w:after="180"/>
        <w:ind w:left="400"/>
      </w:pPr>
      <w:r>
        <w:rPr>
          <w:rFonts w:ascii="Arial" w:cs="Arial" w:eastAsia="Arial" w:hAnsi="Arial"/>
          <w:i/>
          <w:iCs/>
          <w:color w:val="2E75B6"/>
          <w:sz w:val="21"/>
          <w:szCs w:val="21"/>
        </w:rPr>
        <w:t xml:space="preserve">[NOTE: Applying the same coding scheme across websites and social media posts is a methodological strength — it enables direct comparison — but also a challenge, since social media posts are shorter and more context-dependent than webpages. The codebook should include platform-specific coding guidance and examples for each category.]</w:t>
      </w:r>
    </w:p>
    <w:p>
      <w:pPr>
        <w:pStyle w:val="Heading2"/>
        <w:spacing w:before="240" w:after="120"/>
      </w:pPr>
      <w:r>
        <w:rPr>
          <w:rFonts w:ascii="Arial" w:cs="Arial" w:eastAsia="Arial" w:hAnsi="Arial"/>
          <w:b/>
          <w:bCs/>
          <w:color w:val="2E75B6"/>
          <w:sz w:val="28"/>
          <w:szCs w:val="28"/>
        </w:rPr>
        <w:t xml:space="preserve">Coding Reliability</w:t>
      </w:r>
    </w:p>
    <w:p>
      <w:pPr>
        <w:spacing w:after="180"/>
      </w:pPr>
      <w:r>
        <w:rPr>
          <w:rFonts w:ascii="Arial" w:cs="Arial" w:eastAsia="Arial" w:hAnsi="Arial"/>
          <w:sz w:val="24"/>
          <w:szCs w:val="24"/>
        </w:rPr>
        <w:t xml:space="preserve">A codebook with operational definitions, constructed examples for each category, and decision rules for ambiguous cases will be developed and piloted before full coding begins. Pilot coding will be conducted on a randomly selected subset of 15 to 20 units drawn from both platforms and at least two organizational types; variable definitions will be revised iteratively until operational clarity is achieved. A second coder, trained on the finalized codebook, will independently code a minimum of 20% of all units, stratified across organizational types and platforms. Intercoder reliability will be assessed using Krippendorff’s alpha, with a target threshold of .80 or above for all variables (Krippendorff, 2013). Reliability will be calculated separately for website and social media units to assess whether the coding scheme performs consistently across platform types. Variables falling below threshold will trigger codebook revision and re-coding of the affected subset before full coding proceeds. For the dual-frame variable, reliability will be assessed on both the primary and secondary frame codes independently.</w:t>
      </w:r>
    </w:p>
    <w:p>
      <w:pPr>
        <w:pStyle w:val="Heading2"/>
        <w:spacing w:before="240" w:after="120"/>
      </w:pPr>
      <w:r>
        <w:rPr>
          <w:rFonts w:ascii="Arial" w:cs="Arial" w:eastAsia="Arial" w:hAnsi="Arial"/>
          <w:b/>
          <w:bCs/>
          <w:color w:val="2E75B6"/>
          <w:sz w:val="28"/>
          <w:szCs w:val="28"/>
        </w:rPr>
        <w:t xml:space="preserve">Data Analysis</w:t>
      </w:r>
    </w:p>
    <w:p>
      <w:pPr>
        <w:spacing w:after="180"/>
      </w:pPr>
      <w:r>
        <w:rPr>
          <w:rFonts w:ascii="Arial" w:cs="Arial" w:eastAsia="Arial" w:hAnsi="Arial"/>
          <w:sz w:val="24"/>
          <w:szCs w:val="24"/>
        </w:rPr>
        <w:t xml:space="preserve">Analysis proceeds in four stages. First, descriptive statistics — frequencies and percentages — characterize the distribution of frames, tones, target publics, calls to action, and projected organizational roles across the full dataset, disaggregated by platform and organizational type. Second, cross-tabulations compare all coding variables across the three organizational types, testing whether legal-service, direct-service, and advocacy-oriented organizations display statistically different communication patterns (RQ1–RQ5, H1–H4). Third, cross-tabulations compare the same variables across platform types — websites, Facebook, and X — within the full sample and within each organizational type (RQ6, H5). Fourth, chi-square tests of independence assess the statistical significance of observed differences, with Cramer’s V reported as an effect size measure for all results regardless of significance. Given the purposive and bounded sample, effect size interpretation will be prioritized over significance testing in the discussion of findings. Frame analysis will be conducted twice for units carrying both a primary and secondary frame: once using primary frame only (for direct comparability with single-code studies) and once treating both frames as present (for a fuller picture of frame co-occurrence patterns). Both analyses will be reported.</w:t>
      </w:r>
    </w:p>
    <w:p>
      <w:pPr>
        <w:spacing w:after="160"/>
      </w:pPr>
      <w:r>
        <w:t xml:space="preserve"/>
      </w:r>
    </w:p>
    <w:p>
      <w:pPr>
        <w:pStyle w:val="Heading1"/>
        <w:spacing w:before="320" w:after="160"/>
      </w:pPr>
      <w:r>
        <w:rPr>
          <w:rFonts w:ascii="Arial" w:cs="Arial" w:eastAsia="Arial" w:hAnsi="Arial"/>
          <w:b/>
          <w:bCs/>
          <w:color w:val="1F3864"/>
          <w:sz w:val="32"/>
          <w:szCs w:val="32"/>
        </w:rPr>
        <w:t xml:space="preserve">Limitations</w:t>
      </w:r>
    </w:p>
    <w:p>
      <w:pPr>
        <w:spacing w:after="180"/>
      </w:pPr>
      <w:r>
        <w:rPr>
          <w:rFonts w:ascii="Arial" w:cs="Arial" w:eastAsia="Arial" w:hAnsi="Arial"/>
          <w:sz w:val="24"/>
          <w:szCs w:val="24"/>
        </w:rPr>
        <w:t xml:space="preserve">This study is limited to public digital communication and does not capture the full range of nonprofit messaging, including email lists, text alerts, in-person events, or offline materials. It cannot determine how audiences interpret these messages or whether they achieve intended effects. Variation in website structure, social media posting frequency, and archival completeness may affect the comparability of data across organizations. The two-platform social media sample — Facebook and X — excludes TikTok and YouTube, which are increasingly important channels for some immigrant-serving nonprofits, particularly those reaching younger audiences; these platforms represent a natural extension for future research. The purposive sample limits generalizability to other regions or organizational populations. Finally, the study period — defined by active enforcement escalation — may produce findings that reflect crisis-mode communication rather than typical organizational practice, and future research should examine whether patterns identified here persist or shift in periods of lower enforcement intensity.</w:t>
      </w:r>
    </w:p>
    <w:p>
      <w:pPr>
        <w:spacing w:after="160"/>
      </w:pPr>
      <w:r>
        <w:t xml:space="preserve"/>
      </w:r>
    </w:p>
    <w:p>
      <w:pPr>
        <w:pStyle w:val="Heading1"/>
        <w:spacing w:before="320" w:after="160"/>
      </w:pPr>
      <w:r>
        <w:rPr>
          <w:rFonts w:ascii="Arial" w:cs="Arial" w:eastAsia="Arial" w:hAnsi="Arial"/>
          <w:b/>
          <w:bCs/>
          <w:color w:val="1F3864"/>
          <w:sz w:val="32"/>
          <w:szCs w:val="32"/>
        </w:rPr>
        <w:t xml:space="preserve">Ethical Considerations</w:t>
      </w:r>
    </w:p>
    <w:p>
      <w:pPr>
        <w:spacing w:after="180"/>
      </w:pPr>
      <w:r>
        <w:rPr>
          <w:rFonts w:ascii="Arial" w:cs="Arial" w:eastAsia="Arial" w:hAnsi="Arial"/>
          <w:sz w:val="24"/>
          <w:szCs w:val="24"/>
        </w:rPr>
        <w:t xml:space="preserve">The project relies on publicly available digital content and does not involve direct interaction with human subjects. However, the topic concerns vulnerable populations in a high-surveillance environment, and the chilling effects literature suggests that even research attention to immigrant communities requires care. The research team should consult platform terms-of-service agreements and seek IRB guidance on the collection and storage of social media data before beginning data collection. Quotations and examples used in publication should be handled responsibly, with attention to context and potential community impact, especially when discussing detention, deportation, or emergency guidance. The research team should consult with community partner organizations before publication to ensure that findings are not used in ways that could harm the organizations or communities under study.</w:t>
      </w:r>
    </w:p>
    <w:p>
      <w:pPr>
        <w:spacing w:after="160"/>
      </w:pPr>
      <w:r>
        <w:t xml:space="preserve"/>
      </w:r>
    </w:p>
    <w:p>
      <w:pPr>
        <w:pStyle w:val="Heading1"/>
        <w:spacing w:before="320" w:after="160"/>
      </w:pPr>
      <w:r>
        <w:rPr>
          <w:rFonts w:ascii="Arial" w:cs="Arial" w:eastAsia="Arial" w:hAnsi="Arial"/>
          <w:b/>
          <w:bCs/>
          <w:color w:val="1F3864"/>
          <w:sz w:val="32"/>
          <w:szCs w:val="32"/>
        </w:rPr>
        <w:t xml:space="preserve">Proposed Timeline</w:t>
      </w:r>
    </w:p>
    <w:p>
      <w:pPr>
        <w:spacing w:after="180"/>
      </w:pPr>
      <w:r>
        <w:rPr>
          <w:rFonts w:ascii="Arial" w:cs="Arial" w:eastAsia="Arial" w:hAnsi="Arial"/>
          <w:sz w:val="24"/>
          <w:szCs w:val="24"/>
        </w:rPr>
        <w:t xml:space="preserve">Month 1: Finalize organization sample, study period, keyword list, and social media collection protocol; confirm platform API access and IRB requirements; build and pilot web scraper.</w:t>
      </w:r>
    </w:p>
    <w:p>
      <w:pPr>
        <w:spacing w:after="180"/>
      </w:pPr>
      <w:r>
        <w:rPr>
          <w:rFonts w:ascii="Arial" w:cs="Arial" w:eastAsia="Arial" w:hAnsi="Arial"/>
          <w:sz w:val="24"/>
          <w:szCs w:val="24"/>
        </w:rPr>
        <w:t xml:space="preserve">Month 2: Collect website pages and social media posts; complete manual relevance screening across both data tiers.</w:t>
      </w:r>
    </w:p>
    <w:p>
      <w:pPr>
        <w:spacing w:after="180"/>
      </w:pPr>
      <w:r>
        <w:rPr>
          <w:rFonts w:ascii="Arial" w:cs="Arial" w:eastAsia="Arial" w:hAnsi="Arial"/>
          <w:sz w:val="24"/>
          <w:szCs w:val="24"/>
        </w:rPr>
        <w:t xml:space="preserve">Month 3: Finalize codebook with platform-specific examples; pilot coding across website and social media units; revise variable definitions.</w:t>
      </w:r>
    </w:p>
    <w:p>
      <w:pPr>
        <w:spacing w:after="180"/>
      </w:pPr>
      <w:r>
        <w:rPr>
          <w:rFonts w:ascii="Arial" w:cs="Arial" w:eastAsia="Arial" w:hAnsi="Arial"/>
          <w:sz w:val="24"/>
          <w:szCs w:val="24"/>
        </w:rPr>
        <w:t xml:space="preserve">Month 4: Complete full coding and reliability check across both platforms; resolve intercoder disagreements.</w:t>
      </w:r>
    </w:p>
    <w:p>
      <w:pPr>
        <w:spacing w:after="180"/>
      </w:pPr>
      <w:r>
        <w:rPr>
          <w:rFonts w:ascii="Arial" w:cs="Arial" w:eastAsia="Arial" w:hAnsi="Arial"/>
          <w:sz w:val="24"/>
          <w:szCs w:val="24"/>
        </w:rPr>
        <w:t xml:space="preserve">Month 5: Run descriptive statistics, cross-tabulations, and chi-square tests; analyze organizational-type and platform-type patterns.</w:t>
      </w:r>
    </w:p>
    <w:p>
      <w:pPr>
        <w:spacing w:after="180"/>
      </w:pPr>
      <w:r>
        <w:rPr>
          <w:rFonts w:ascii="Arial" w:cs="Arial" w:eastAsia="Arial" w:hAnsi="Arial"/>
          <w:sz w:val="24"/>
          <w:szCs w:val="24"/>
        </w:rPr>
        <w:t xml:space="preserve">Month 6: Write results, discussion, and conclusion; prepare manuscript for submission.</w:t>
      </w:r>
    </w:p>
    <w:p>
      <w:pPr>
        <w:spacing w:after="160"/>
      </w:pPr>
      <w:r>
        <w:t xml:space="preserve"/>
      </w:r>
    </w:p>
    <w:p>
      <w:pPr>
        <w:pStyle w:val="Heading1"/>
        <w:spacing w:before="320" w:after="160"/>
      </w:pPr>
      <w:r>
        <w:rPr>
          <w:rFonts w:ascii="Arial" w:cs="Arial" w:eastAsia="Arial" w:hAnsi="Arial"/>
          <w:b/>
          <w:bCs/>
          <w:color w:val="1F3864"/>
          <w:sz w:val="32"/>
          <w:szCs w:val="32"/>
        </w:rPr>
        <w:t xml:space="preserve">Expected Contribution</w:t>
      </w:r>
    </w:p>
    <w:p>
      <w:pPr>
        <w:spacing w:after="180"/>
      </w:pPr>
      <w:r>
        <w:rPr>
          <w:rFonts w:ascii="Arial" w:cs="Arial" w:eastAsia="Arial" w:hAnsi="Arial"/>
          <w:sz w:val="24"/>
          <w:szCs w:val="24"/>
        </w:rPr>
        <w:t xml:space="preserve">The study is expected to show that nonprofit digital communication about immigration enforcement is patterned rather than incidental — shaped by organizational type, platform affordances, and the civil society functions each organization performs. Legal-service organizations are expected to foreground rights, process, and representation across both websites and social media. Advocacy organizations are expected to stress injustice, mobilization, and collective action. Direct-service organizations are expected to emphasize support, reassurance, and practical guidance — with greater platform variation, as they use social media for community-building while reserving websites for informational content. These patterns, if confirmed, would provide empirical support for the argument that civil society enactment strategy is shaped by organizational mission and adapted across platform type.</w:t>
      </w:r>
    </w:p>
    <w:p>
      <w:pPr>
        <w:spacing w:after="180"/>
      </w:pPr>
      <w:r>
        <w:rPr>
          <w:rFonts w:ascii="Arial" w:cs="Arial" w:eastAsia="Arial" w:hAnsi="Arial"/>
          <w:sz w:val="24"/>
          <w:szCs w:val="24"/>
        </w:rPr>
        <w:t xml:space="preserve">More broadly, the project contributes to public relations scholarship by demonstrating that the multi-platform digital ecosystem of nonprofit organizations — not any single channel — is the appropriate unit of analysis for studying civil society communication in the contemporary environment. It contributes to immigration and civil society research by providing the first comparative multi-platform analysis of how immigrant-serving nonprofits construct their digital presence in response to enforcement. And it provides a methodologically reproducible two-tier content analysis framework that can be applied to nonprofit digital communication in other contested policy environments where organizational type, mission, and platform strategy may intersect in theoretically meaningful ways.</w:t>
      </w:r>
    </w:p>
    <w:p>
      <w:pPr>
        <w:spacing w:after="160"/>
      </w:pPr>
      <w:r>
        <w:t xml:space="preserve"/>
      </w:r>
    </w:p>
    <w:p>
      <w:pPr>
        <w:pStyle w:val="Heading1"/>
        <w:spacing w:before="320" w:after="160"/>
      </w:pPr>
      <w:r>
        <w:rPr>
          <w:rFonts w:ascii="Arial" w:cs="Arial" w:eastAsia="Arial" w:hAnsi="Arial"/>
          <w:b/>
          <w:bCs/>
          <w:color w:val="1F3864"/>
          <w:sz w:val="32"/>
          <w:szCs w:val="32"/>
        </w:rPr>
        <w:t xml:space="preserve">Selected References</w:t>
      </w:r>
    </w:p>
    <w:p>
      <w:pPr>
        <w:pBdr>
          <w:left w:val="single" w:color="2E75B6" w:sz="6" w:space="6"/>
        </w:pBdr>
        <w:spacing w:before="80" w:after="180"/>
        <w:ind w:left="400"/>
      </w:pPr>
      <w:r>
        <w:rPr>
          <w:rFonts w:ascii="Arial" w:cs="Arial" w:eastAsia="Arial" w:hAnsi="Arial"/>
          <w:i/>
          <w:iCs/>
          <w:color w:val="2E75B6"/>
          <w:sz w:val="21"/>
          <w:szCs w:val="21"/>
        </w:rPr>
        <w:t xml:space="preserve">[NOTE: All references updated to reflect v3 revisions. New entries marked (*). Verify all against APA 7th edition before submission. Entries marked [VERIFY] need full citation details confirmed.]</w:t>
      </w:r>
    </w:p>
    <w:p>
      <w:pPr>
        <w:spacing w:after="160"/>
      </w:pPr>
      <w:r>
        <w:t xml:space="preserve"/>
      </w:r>
    </w:p>
    <w:p>
      <w:pPr>
        <w:spacing w:after="120"/>
        <w:ind w:left="720" w:hanging="720"/>
      </w:pPr>
      <w:r>
        <w:rPr>
          <w:rFonts w:ascii="Arial" w:cs="Arial" w:eastAsia="Arial" w:hAnsi="Arial"/>
          <w:sz w:val="22"/>
          <w:szCs w:val="22"/>
        </w:rPr>
        <w:t xml:space="preserve">*Bauer, S. (2026, March). Rage against ICE in Minnesota was born out of heartbreak. Truthout. https://truthout.org/articles/rage-against-ice-in-minnesota-was-born-out-of-heartbreak/</w:t>
      </w:r>
    </w:p>
    <w:p>
      <w:pPr>
        <w:spacing w:after="120"/>
        <w:ind w:left="720" w:hanging="720"/>
      </w:pPr>
      <w:r>
        <w:rPr>
          <w:rFonts w:ascii="Arial" w:cs="Arial" w:eastAsia="Arial" w:hAnsi="Arial"/>
          <w:sz w:val="22"/>
          <w:szCs w:val="22"/>
        </w:rPr>
        <w:t xml:space="preserve">Alsan, M., &amp; Yang, C. (2022). Fear and the safety net: Evidence from Secure Communities. Review of Economics and Statistics, 104(4), 832–848.</w:t>
      </w:r>
    </w:p>
    <w:p>
      <w:pPr>
        <w:spacing w:after="120"/>
        <w:ind w:left="720" w:hanging="720"/>
      </w:pPr>
      <w:r>
        <w:rPr>
          <w:rFonts w:ascii="Arial" w:cs="Arial" w:eastAsia="Arial" w:hAnsi="Arial"/>
          <w:sz w:val="22"/>
          <w:szCs w:val="22"/>
        </w:rPr>
        <w:t xml:space="preserve">*CBS News Minnesota. (2026, January–February). General strike and ICE protest live coverage [Live updates]. https://www.cbsnews.com/minnesota/live-updates/general-strike-rally-planned-in-minnesota-friday-to-protest-ice/</w:t>
      </w:r>
    </w:p>
    <w:p>
      <w:pPr>
        <w:spacing w:after="120"/>
        <w:ind w:left="720" w:hanging="720"/>
      </w:pPr>
      <w:r>
        <w:rPr>
          <w:rFonts w:ascii="Arial" w:cs="Arial" w:eastAsia="Arial" w:hAnsi="Arial"/>
          <w:sz w:val="22"/>
          <w:szCs w:val="22"/>
        </w:rPr>
        <w:t xml:space="preserve">*Chand, D.E., Calderon, M.A., Hawes, D.P., et al. (2021). Serving immigrant communities: Effectiveness of nonprofit legal aid organizations in an age of heightened enforcement. Voluntas, 32, 621–633. https://doi.org/10.1007/s11266-020-00205-w</w:t>
      </w:r>
    </w:p>
    <w:p>
      <w:pPr>
        <w:spacing w:after="120"/>
        <w:ind w:left="720" w:hanging="720"/>
      </w:pPr>
      <w:r>
        <w:rPr>
          <w:rFonts w:ascii="Arial" w:cs="Arial" w:eastAsia="Arial" w:hAnsi="Arial"/>
          <w:sz w:val="22"/>
          <w:szCs w:val="22"/>
        </w:rPr>
        <w:t xml:space="preserve">*Collingwood, L., Morin, J., &amp; El-Khatib, S.O. (2022). Coverage and framing of immigration policy in U.S. newspapers. Annals of Epidemiology, 75, 44–51.</w:t>
      </w:r>
    </w:p>
    <w:p>
      <w:pPr>
        <w:spacing w:after="120"/>
        <w:ind w:left="720" w:hanging="720"/>
      </w:pPr>
      <w:r>
        <w:rPr>
          <w:rFonts w:ascii="Arial" w:cs="Arial" w:eastAsia="Arial" w:hAnsi="Arial"/>
          <w:sz w:val="22"/>
          <w:szCs w:val="22"/>
        </w:rPr>
        <w:t xml:space="preserve">*CNN. (2026, January 9–10). Cell phone footage raises new questions about ICE agent’s tactics before fatal shooting. https://www.cnn.com/2026/01/09/us/ice-shooting-minneapolis-renee-good-cell-phone-invs</w:t>
      </w:r>
    </w:p>
    <w:p>
      <w:pPr>
        <w:spacing w:after="120"/>
        <w:ind w:left="720" w:hanging="720"/>
      </w:pPr>
      <w:r>
        <w:rPr>
          <w:rFonts w:ascii="Arial" w:cs="Arial" w:eastAsia="Arial" w:hAnsi="Arial"/>
          <w:sz w:val="22"/>
          <w:szCs w:val="22"/>
        </w:rPr>
        <w:t xml:space="preserve">*The Columbian. (2026, February 15). Video evidence contradicts ICE accounts in five shootings. https://www.columbian.com/news/2026/feb/15/video-evidence-contradicts-ice-accounts-in-5-shootings/</w:t>
      </w:r>
    </w:p>
    <w:p>
      <w:pPr>
        <w:spacing w:after="120"/>
        <w:ind w:left="720" w:hanging="720"/>
      </w:pPr>
      <w:r>
        <w:rPr>
          <w:rFonts w:ascii="Arial" w:cs="Arial" w:eastAsia="Arial" w:hAnsi="Arial"/>
          <w:sz w:val="22"/>
          <w:szCs w:val="22"/>
        </w:rPr>
        <w:t xml:space="preserve">de Graauw, E. (2016). Making immigrant rights real: Nonprofits and the politics of integration in San Francisco. Cornell University Press.</w:t>
      </w:r>
    </w:p>
    <w:p>
      <w:pPr>
        <w:spacing w:after="120"/>
        <w:ind w:left="720" w:hanging="720"/>
      </w:pPr>
      <w:r>
        <w:rPr>
          <w:rFonts w:ascii="Arial" w:cs="Arial" w:eastAsia="Arial" w:hAnsi="Arial"/>
          <w:sz w:val="22"/>
          <w:szCs w:val="22"/>
        </w:rPr>
        <w:t xml:space="preserve">*Deng, J. (2025, September 15). These sites help communities avoid ICE — and now they're under attack. LA Public Press.</w:t>
      </w:r>
    </w:p>
    <w:p>
      <w:pPr>
        <w:spacing w:after="120"/>
        <w:ind w:left="720" w:hanging="720"/>
      </w:pPr>
      <w:r>
        <w:rPr>
          <w:rFonts w:ascii="Arial" w:cs="Arial" w:eastAsia="Arial" w:hAnsi="Arial"/>
          <w:sz w:val="22"/>
          <w:szCs w:val="22"/>
        </w:rPr>
        <w:t xml:space="preserve">Dixon, G., et al. (2019). Pro-refugee values frames and contributions frames in advocacy communication. [VERIFY full citation — journal and volume needed].</w:t>
      </w:r>
    </w:p>
    <w:p>
      <w:pPr>
        <w:spacing w:after="120"/>
        <w:ind w:left="720" w:hanging="720"/>
      </w:pPr>
      <w:r>
        <w:rPr>
          <w:rFonts w:ascii="Arial" w:cs="Arial" w:eastAsia="Arial" w:hAnsi="Arial"/>
          <w:sz w:val="22"/>
          <w:szCs w:val="22"/>
        </w:rPr>
        <w:t xml:space="preserve">Entman, R.M. (1993). Framing: Toward clarification of a fractured paradigm. Journal of Communication, 43(4), 51–58. https://doi.org/10.1111/j.1460-2466.1993.tb01304.x</w:t>
      </w:r>
    </w:p>
    <w:p>
      <w:pPr>
        <w:spacing w:after="120"/>
        <w:ind w:left="720" w:hanging="720"/>
      </w:pPr>
      <w:r>
        <w:rPr>
          <w:rFonts w:ascii="Arial" w:cs="Arial" w:eastAsia="Arial" w:hAnsi="Arial"/>
          <w:sz w:val="22"/>
          <w:szCs w:val="22"/>
        </w:rPr>
        <w:t xml:space="preserve">*Friedman, A.S., &amp; Venkataramani, A.S. (2021). Chilling effects: US immigration enforcement and health care seeking among Hispanic adults. Health Affairs, 40(7), 1081–1089. https://doi.org/10.1377/hlthaff.2020.02356</w:t>
      </w:r>
    </w:p>
    <w:p>
      <w:pPr>
        <w:spacing w:after="120"/>
        <w:ind w:left="720" w:hanging="720"/>
      </w:pPr>
      <w:r>
        <w:rPr>
          <w:rFonts w:ascii="Arial" w:cs="Arial" w:eastAsia="Arial" w:hAnsi="Arial"/>
          <w:sz w:val="22"/>
          <w:szCs w:val="22"/>
        </w:rPr>
        <w:t xml:space="preserve">*Fuller, R.P., &amp; Rice, R.E. (2022). Nonprofit organization communication, crisis planning, and strategic responses to the COVID-19 pandemic. Journal of Philanthropy and Marketing, e1750. https://doi.org/10.1002/nvsm.1750</w:t>
      </w:r>
    </w:p>
    <w:p>
      <w:pPr>
        <w:spacing w:after="120"/>
        <w:ind w:left="720" w:hanging="720"/>
      </w:pPr>
      <w:r>
        <w:rPr>
          <w:rFonts w:ascii="Arial" w:cs="Arial" w:eastAsia="Arial" w:hAnsi="Arial"/>
          <w:sz w:val="22"/>
          <w:szCs w:val="22"/>
        </w:rPr>
        <w:t xml:space="preserve">Guo, C., &amp; Saxton, G.D. (2014). Tweeting social change: How social media are changing nonprofit advocacy. Nonprofit and Voluntary Sector Quarterly, 43(1), 57–79.</w:t>
      </w:r>
    </w:p>
    <w:p>
      <w:pPr>
        <w:spacing w:after="120"/>
        <w:ind w:left="720" w:hanging="720"/>
      </w:pPr>
      <w:r>
        <w:rPr>
          <w:rFonts w:ascii="Arial" w:cs="Arial" w:eastAsia="Arial" w:hAnsi="Arial"/>
          <w:sz w:val="22"/>
          <w:szCs w:val="22"/>
        </w:rPr>
        <w:t xml:space="preserve">*Griffith, M. (2026, January 23). Tens of thousands gather in downtown Minneapolis for ‘ICE Out’ day. Minnesota Reformer. https://minnesotareformer.com/2026/01/23/thousands-expected-in-minneapolis-for-ice-out-day/</w:t>
      </w:r>
    </w:p>
    <w:p>
      <w:pPr>
        <w:spacing w:after="120"/>
        <w:ind w:left="720" w:hanging="720"/>
      </w:pPr>
      <w:r>
        <w:rPr>
          <w:rFonts w:ascii="Arial" w:cs="Arial" w:eastAsia="Arial" w:hAnsi="Arial"/>
          <w:sz w:val="22"/>
          <w:szCs w:val="22"/>
        </w:rPr>
        <w:t xml:space="preserve">Hallahan, K. (1999). Seven models of framing: Implications for public relations. Journal of Public Relations Research, 11(3), 205–242.</w:t>
      </w:r>
    </w:p>
    <w:p>
      <w:pPr>
        <w:spacing w:after="120"/>
        <w:ind w:left="720" w:hanging="720"/>
      </w:pPr>
      <w:r>
        <w:rPr>
          <w:rFonts w:ascii="Arial" w:cs="Arial" w:eastAsia="Arial" w:hAnsi="Arial"/>
          <w:sz w:val="22"/>
          <w:szCs w:val="22"/>
        </w:rPr>
        <w:t xml:space="preserve">Hallahan, K. (1999). Seven models of framing: Implications for public relations. Journal of Public Relations Research, 11(3), 205–242.</w:t>
      </w:r>
    </w:p>
    <w:p>
      <w:pPr>
        <w:spacing w:after="120"/>
        <w:ind w:left="720" w:hanging="720"/>
      </w:pPr>
      <w:r>
        <w:rPr>
          <w:rFonts w:ascii="Arial" w:cs="Arial" w:eastAsia="Arial" w:hAnsi="Arial"/>
          <w:sz w:val="22"/>
          <w:szCs w:val="22"/>
        </w:rPr>
        <w:t xml:space="preserve">*Haupt, B., &amp; Azevedo, A. (2024). The state of crisis communication in contemporary nonprofit literature. Journal of Nonprofit &amp; Public Sector Marketing, 37(1), 58–79. https://doi.org/10.1080/10495142.2024.2347376</w:t>
      </w:r>
    </w:p>
    <w:p>
      <w:pPr>
        <w:spacing w:after="120"/>
        <w:ind w:left="720" w:hanging="720"/>
      </w:pPr>
      <w:r>
        <w:rPr>
          <w:rFonts w:ascii="Arial" w:cs="Arial" w:eastAsia="Arial" w:hAnsi="Arial"/>
          <w:sz w:val="22"/>
          <w:szCs w:val="22"/>
        </w:rPr>
        <w:t xml:space="preserve">*Hensley, N. (2026, January 25). Videos refute DHS account of fatal shooting in Minneapolis. NPR. https://www.npr.org/2026/01/25/nx-s1-5687384/minneapolis-minnesota-shooting-video-dhs</w:t>
      </w:r>
    </w:p>
    <w:p>
      <w:pPr>
        <w:spacing w:after="120"/>
        <w:ind w:left="720" w:hanging="720"/>
      </w:pPr>
      <w:r>
        <w:rPr>
          <w:rFonts w:ascii="Arial" w:cs="Arial" w:eastAsia="Arial" w:hAnsi="Arial"/>
          <w:sz w:val="22"/>
          <w:szCs w:val="22"/>
        </w:rPr>
        <w:t xml:space="preserve">Haynes, C., Merolla, J., &amp; Ramakrishnan, S.K. (2016). Framing immigrants: News coverage, public opinion, and policy. Russell Sage Foundation.</w:t>
      </w:r>
    </w:p>
    <w:p>
      <w:pPr>
        <w:spacing w:after="120"/>
        <w:ind w:left="720" w:hanging="720"/>
      </w:pPr>
      <w:r>
        <w:rPr>
          <w:rFonts w:ascii="Arial" w:cs="Arial" w:eastAsia="Arial" w:hAnsi="Arial"/>
          <w:sz w:val="22"/>
          <w:szCs w:val="22"/>
        </w:rPr>
        <w:t xml:space="preserve">*Herring, J., &amp; Barnow, B. (2025). Indirect effects of immigration enforcement on health care utilization among lawfully present older Hispanics. Social Science &amp; Medicine. https://doi.org/10.1016/j.socscimed.2025.117853</w:t>
      </w:r>
    </w:p>
    <w:p>
      <w:pPr>
        <w:spacing w:after="120"/>
        <w:ind w:left="720" w:hanging="720"/>
      </w:pPr>
      <w:r>
        <w:rPr>
          <w:rFonts w:ascii="Arial" w:cs="Arial" w:eastAsia="Arial" w:hAnsi="Arial"/>
          <w:sz w:val="22"/>
          <w:szCs w:val="22"/>
        </w:rPr>
        <w:t xml:space="preserve">Hon, L.C., &amp; Grunig, J.E. (1999). Measuring relationships in public relations. Institute for Public Relations.</w:t>
      </w:r>
    </w:p>
    <w:p>
      <w:pPr>
        <w:spacing w:after="120"/>
        <w:ind w:left="720" w:hanging="720"/>
      </w:pPr>
      <w:r>
        <w:rPr>
          <w:rFonts w:ascii="Arial" w:cs="Arial" w:eastAsia="Arial" w:hAnsi="Arial"/>
          <w:sz w:val="22"/>
          <w:szCs w:val="22"/>
        </w:rPr>
        <w:t xml:space="preserve">Immigrant Law Center of Minnesota. About us / Our work pages. https://www.ilcm.org</w:t>
      </w:r>
    </w:p>
    <w:p>
      <w:pPr>
        <w:spacing w:after="120"/>
        <w:ind w:left="720" w:hanging="720"/>
      </w:pPr>
      <w:r>
        <w:rPr>
          <w:rFonts w:ascii="Arial" w:cs="Arial" w:eastAsia="Arial" w:hAnsi="Arial"/>
          <w:sz w:val="22"/>
          <w:szCs w:val="22"/>
        </w:rPr>
        <w:t xml:space="preserve">Krippendorff, K. (2013). Content analysis: An introduction to its methodology (3rd ed.). Sage.</w:t>
      </w:r>
    </w:p>
    <w:p>
      <w:pPr>
        <w:spacing w:after="120"/>
        <w:ind w:left="720" w:hanging="720"/>
      </w:pPr>
      <w:r>
        <w:rPr>
          <w:rFonts w:ascii="Arial" w:cs="Arial" w:eastAsia="Arial" w:hAnsi="Arial"/>
          <w:sz w:val="22"/>
          <w:szCs w:val="22"/>
        </w:rPr>
        <w:t xml:space="preserve">*L’Etang, J. (2005). Critical public relations: Some reflections. Public Relations Review, 31(4), 521–526. https://doi.org/10.1016/j.pubrev.2005.08.011</w:t>
      </w:r>
    </w:p>
    <w:p>
      <w:pPr>
        <w:spacing w:after="120"/>
        <w:ind w:left="720" w:hanging="720"/>
      </w:pPr>
      <w:r>
        <w:rPr>
          <w:rFonts w:ascii="Arial" w:cs="Arial" w:eastAsia="Arial" w:hAnsi="Arial"/>
          <w:sz w:val="22"/>
          <w:szCs w:val="22"/>
        </w:rPr>
        <w:t xml:space="preserve">*Labor Notes / Wallitt, S. (2026, January–February). In the Twin Cities, a massive strike against ICE. Labor Notes. https://labornotes.org/2026/01/twin-cities-massive-strike-against-ice/</w:t>
      </w:r>
    </w:p>
    <w:p>
      <w:pPr>
        <w:spacing w:after="120"/>
        <w:ind w:left="720" w:hanging="720"/>
      </w:pPr>
      <w:r>
        <w:rPr>
          <w:rFonts w:ascii="Arial" w:cs="Arial" w:eastAsia="Arial" w:hAnsi="Arial"/>
          <w:sz w:val="22"/>
          <w:szCs w:val="22"/>
        </w:rPr>
        <w:t xml:space="preserve">Ledingham, J.A., &amp; Bruning, S.D. (Eds.). (2000). Public relations as relationship management. Lawrence Erlbaum.</w:t>
      </w:r>
    </w:p>
    <w:p>
      <w:pPr>
        <w:spacing w:after="120"/>
        <w:ind w:left="720" w:hanging="720"/>
      </w:pPr>
      <w:r>
        <w:rPr>
          <w:rFonts w:ascii="Arial" w:cs="Arial" w:eastAsia="Arial" w:hAnsi="Arial"/>
          <w:sz w:val="22"/>
          <w:szCs w:val="22"/>
        </w:rPr>
        <w:t xml:space="preserve">Lee, Y., &amp; Xu, J. (2020). Immigrant NGOs and strategic framing on Twitter. International Journal of Communication, 14, 6049–6071.</w:t>
      </w:r>
    </w:p>
    <w:p>
      <w:pPr>
        <w:spacing w:after="120"/>
        <w:ind w:left="720" w:hanging="720"/>
      </w:pPr>
      <w:r>
        <w:rPr>
          <w:rFonts w:ascii="Arial" w:cs="Arial" w:eastAsia="Arial" w:hAnsi="Arial"/>
          <w:sz w:val="22"/>
          <w:szCs w:val="22"/>
        </w:rPr>
        <w:t xml:space="preserve">Lovejoy, K., &amp; Saxton, G.D. (2012). Information, community, and action: How nonprofit organizations use social media. Journal of Computer-Mediated Communication, 17(3), 337–353.</w:t>
      </w:r>
    </w:p>
    <w:p>
      <w:pPr>
        <w:spacing w:after="120"/>
        <w:ind w:left="720" w:hanging="720"/>
      </w:pPr>
      <w:r>
        <w:rPr>
          <w:rFonts w:ascii="Arial" w:cs="Arial" w:eastAsia="Arial" w:hAnsi="Arial"/>
          <w:sz w:val="22"/>
          <w:szCs w:val="22"/>
        </w:rPr>
        <w:t xml:space="preserve">*Minnesota Council of Nonprofits. (2026). Resources: Supporting community during ICE operations. https://minnesotanonprofits.org/ice-resources</w:t>
      </w:r>
    </w:p>
    <w:p>
      <w:pPr>
        <w:spacing w:after="120"/>
        <w:ind w:left="720" w:hanging="720"/>
      </w:pPr>
      <w:r>
        <w:rPr>
          <w:rFonts w:ascii="Arial" w:cs="Arial" w:eastAsia="Arial" w:hAnsi="Arial"/>
          <w:sz w:val="22"/>
          <w:szCs w:val="22"/>
        </w:rPr>
        <w:t xml:space="preserve">*Nesterak, M. (2026, February 12). Border czar Tom Homan announces end to Operation Metro Surge, claiming success. Minnesota Reformer. https://minnesotareformer.com/2026/02/12/border-czar-tom-homan-announces-end-to-operation-metro-surge-claiming-success/</w:t>
      </w:r>
    </w:p>
    <w:p>
      <w:pPr>
        <w:spacing w:after="120"/>
        <w:ind w:left="720" w:hanging="720"/>
      </w:pPr>
      <w:r>
        <w:rPr>
          <w:rFonts w:ascii="Arial" w:cs="Arial" w:eastAsia="Arial" w:hAnsi="Arial"/>
          <w:sz w:val="22"/>
          <w:szCs w:val="22"/>
        </w:rPr>
        <w:t xml:space="preserve">*NPR / Bebernes, E., &amp; Pfeiffer, S. (2026, February 12). Trump border czar Tom Homan announces Minnesota immigration surge is ending. NPR. https://www.npr.org/2026/02/12/nx-s1-5712280/minnesota-ice-surge-ends</w:t>
      </w:r>
    </w:p>
    <w:p>
      <w:pPr>
        <w:spacing w:after="120"/>
        <w:ind w:left="720" w:hanging="720"/>
      </w:pPr>
      <w:r>
        <w:rPr>
          <w:rFonts w:ascii="Arial" w:cs="Arial" w:eastAsia="Arial" w:hAnsi="Arial"/>
          <w:sz w:val="22"/>
          <w:szCs w:val="22"/>
        </w:rPr>
        <w:t xml:space="preserve">Neuendorf, K.A. (2017). The content analysis guidebook (2nd ed.). Sage.</w:t>
      </w:r>
    </w:p>
    <w:p>
      <w:pPr>
        <w:spacing w:after="120"/>
        <w:ind w:left="720" w:hanging="720"/>
      </w:pPr>
      <w:r>
        <w:rPr>
          <w:rFonts w:ascii="Arial" w:cs="Arial" w:eastAsia="Arial" w:hAnsi="Arial"/>
          <w:sz w:val="22"/>
          <w:szCs w:val="22"/>
        </w:rPr>
        <w:t xml:space="preserve">Saxton, G.D., &amp; Guo, C. (2011). Accountability online: Understanding the web-based accountability practices of nonprofit organizations. Nonprofit and Voluntary Sector Quarterly, 40(2), 270–295.</w:t>
      </w:r>
    </w:p>
    <w:p>
      <w:pPr>
        <w:spacing w:after="120"/>
        <w:ind w:left="720" w:hanging="720"/>
      </w:pPr>
      <w:r>
        <w:rPr>
          <w:rFonts w:ascii="Arial" w:cs="Arial" w:eastAsia="Arial" w:hAnsi="Arial"/>
          <w:sz w:val="22"/>
          <w:szCs w:val="22"/>
        </w:rPr>
        <w:t xml:space="preserve">*Schuppe, J., &amp; Ortiz, E. (2026, January 16). Videos contradict Trump’s account of fatal ICE shooting in Minneapolis. NBC News. https://www.nbcnews.com/news/us-news/videos-contradict-trump-account-fatal-ice-shooting-minneapolis-rcna253107</w:t>
      </w:r>
    </w:p>
    <w:p>
      <w:pPr>
        <w:spacing w:after="120"/>
        <w:ind w:left="720" w:hanging="720"/>
      </w:pPr>
      <w:r>
        <w:rPr>
          <w:rFonts w:ascii="Arial" w:cs="Arial" w:eastAsia="Arial" w:hAnsi="Arial"/>
          <w:sz w:val="22"/>
          <w:szCs w:val="22"/>
        </w:rPr>
        <w:t xml:space="preserve">*Simons, A. (2026, January 23). Minnesotans protest ICE with economic blackout day. Time. https://time.com/7357523/minnesota-ice-protest-business-immigration-minneapolis/</w:t>
      </w:r>
    </w:p>
    <w:p>
      <w:pPr>
        <w:spacing w:after="120"/>
        <w:ind w:left="720" w:hanging="720"/>
      </w:pPr>
      <w:r>
        <w:rPr>
          <w:rFonts w:ascii="Arial" w:cs="Arial" w:eastAsia="Arial" w:hAnsi="Arial"/>
          <w:sz w:val="22"/>
          <w:szCs w:val="22"/>
        </w:rPr>
        <w:t xml:space="preserve">*Sorrell-Medina, Z. (2022). A strategy typology: Unearthing how U.S. immigrant-serving nonprofits contribute to immigrant inclusion outcomes. Journal of Immigrant &amp; Refugee Studies, 22(4). https://doi.org/10.1080/15562948.2022.2132571</w:t>
      </w:r>
    </w:p>
    <w:p>
      <w:pPr>
        <w:spacing w:after="120"/>
        <w:ind w:left="720" w:hanging="720"/>
      </w:pPr>
      <w:r>
        <w:rPr>
          <w:rFonts w:ascii="Arial" w:cs="Arial" w:eastAsia="Arial" w:hAnsi="Arial"/>
          <w:sz w:val="22"/>
          <w:szCs w:val="22"/>
        </w:rPr>
        <w:t xml:space="preserve">Taylor, M. (2009). Civil society as a rhetorical public relations process. In R.L. Heath, E.L. Toth, &amp; D. Waymer (Eds.), Rhetorical and critical approaches to public relations II (pp. 76–91). Lawrence Erlbaum.</w:t>
      </w:r>
    </w:p>
    <w:p>
      <w:pPr>
        <w:spacing w:after="120"/>
        <w:ind w:left="720" w:hanging="720"/>
      </w:pPr>
      <w:r>
        <w:rPr>
          <w:rFonts w:ascii="Arial" w:cs="Arial" w:eastAsia="Arial" w:hAnsi="Arial"/>
          <w:sz w:val="22"/>
          <w:szCs w:val="22"/>
        </w:rPr>
        <w:t xml:space="preserve">Taylor, M. (2010). Public relations in the enactment of civil society. In R.L. Heath (Ed.), The Sage handbook of public relations (pp. 5–16). Sage.</w:t>
      </w:r>
    </w:p>
    <w:p>
      <w:pPr>
        <w:spacing w:after="120"/>
        <w:ind w:left="720" w:hanging="720"/>
      </w:pPr>
      <w:r>
        <w:rPr>
          <w:rFonts w:ascii="Arial" w:cs="Arial" w:eastAsia="Arial" w:hAnsi="Arial"/>
          <w:sz w:val="22"/>
          <w:szCs w:val="22"/>
        </w:rPr>
        <w:t xml:space="preserve">Taylor, M., &amp; Doerfel, M.L. (2003). Building interorganizational relationships that build nations. Human Communication Research, 29(2), 153–181. https://doi.org/10.1111/j.1468-2958.2003.tb00835.x</w:t>
      </w:r>
    </w:p>
    <w:p>
      <w:pPr>
        <w:spacing w:after="120"/>
        <w:ind w:left="720" w:hanging="720"/>
      </w:pPr>
      <w:r>
        <w:rPr>
          <w:rFonts w:ascii="Arial" w:cs="Arial" w:eastAsia="Arial" w:hAnsi="Arial"/>
          <w:sz w:val="22"/>
          <w:szCs w:val="22"/>
        </w:rPr>
        <w:t xml:space="preserve">The Advocates for Human Rights. Home page and detained immigrants page. https://www.theadvocatesforhumanrights.org</w:t>
      </w:r>
    </w:p>
    <w:p>
      <w:pPr>
        <w:spacing w:after="120"/>
        <w:ind w:left="720" w:hanging="720"/>
      </w:pPr>
      <w:r>
        <w:rPr>
          <w:rFonts w:ascii="Arial" w:cs="Arial" w:eastAsia="Arial" w:hAnsi="Arial"/>
          <w:sz w:val="22"/>
          <w:szCs w:val="22"/>
        </w:rPr>
        <w:t xml:space="preserve">Unidos MN. Home, platform, and communications pages. https://www.unidosmn.org</w:t>
      </w:r>
    </w:p>
    <w:p>
      <w:pPr>
        <w:spacing w:after="120"/>
        <w:ind w:left="720" w:hanging="720"/>
      </w:pPr>
      <w:r>
        <w:rPr>
          <w:rFonts w:ascii="Arial" w:cs="Arial" w:eastAsia="Arial" w:hAnsi="Arial"/>
          <w:sz w:val="22"/>
          <w:szCs w:val="22"/>
        </w:rPr>
        <w:t xml:space="preserve">Watson, T., &amp; Thompson, M. (2022). Immigration enforcement and public safety. NBER Working Paper No. 32109.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2026-03-27T05:12:09.552Z</dcterms:created>
  <dcterms:modified xsi:type="dcterms:W3CDTF">2026-03-27T05:12:09.552Z</dcterms:modified>
</cp:coreProperties>
</file>

<file path=docProps/custom.xml><?xml version="1.0" encoding="utf-8"?>
<Properties xmlns="http://schemas.openxmlformats.org/officeDocument/2006/custom-properties" xmlns:vt="http://schemas.openxmlformats.org/officeDocument/2006/docPropsVTypes"/>
</file>